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2D8E">
      <w:pPr>
        <w:adjustRightInd w:val="0"/>
        <w:snapToGrid w:val="0"/>
        <w:jc w:val="center"/>
        <w:outlineLvl w:val="0"/>
        <w:rPr>
          <w:rFonts w:ascii="黑体" w:hAnsi="黑体" w:eastAsia="黑体"/>
          <w:bCs/>
          <w:kern w:val="2"/>
          <w:sz w:val="66"/>
          <w:szCs w:val="66"/>
        </w:rPr>
      </w:pPr>
    </w:p>
    <w:p w14:paraId="718C6950">
      <w:pPr>
        <w:adjustRightInd w:val="0"/>
        <w:snapToGrid w:val="0"/>
        <w:jc w:val="center"/>
        <w:outlineLvl w:val="0"/>
        <w:rPr>
          <w:rFonts w:ascii="黑体" w:hAnsi="黑体" w:eastAsia="黑体"/>
          <w:bCs/>
          <w:kern w:val="2"/>
          <w:sz w:val="66"/>
          <w:szCs w:val="66"/>
        </w:rPr>
      </w:pPr>
    </w:p>
    <w:p w14:paraId="03D49E24">
      <w:pPr>
        <w:adjustRightInd w:val="0"/>
        <w:snapToGrid w:val="0"/>
        <w:jc w:val="center"/>
        <w:outlineLvl w:val="0"/>
        <w:rPr>
          <w:rFonts w:ascii="黑体" w:hAnsi="黑体" w:eastAsia="黑体"/>
          <w:bCs/>
          <w:kern w:val="2"/>
          <w:sz w:val="66"/>
          <w:szCs w:val="66"/>
        </w:rPr>
      </w:pPr>
      <w:r>
        <w:rPr>
          <w:rFonts w:ascii="黑体" w:hAnsi="黑体" w:eastAsia="黑体"/>
          <w:bCs/>
          <w:kern w:val="2"/>
          <w:sz w:val="66"/>
          <w:szCs w:val="66"/>
        </w:rPr>
        <w:t>建设项目环境影响报告表</w:t>
      </w:r>
    </w:p>
    <w:p w14:paraId="622275A5">
      <w:pPr>
        <w:adjustRightInd w:val="0"/>
        <w:snapToGrid w:val="0"/>
        <w:spacing w:beforeLines="80"/>
        <w:jc w:val="center"/>
        <w:rPr>
          <w:rFonts w:ascii="Calibri" w:hAnsi="Calibri"/>
          <w:bCs/>
          <w:kern w:val="2"/>
          <w:sz w:val="48"/>
          <w:szCs w:val="48"/>
        </w:rPr>
      </w:pPr>
      <w:r>
        <w:rPr>
          <w:rFonts w:ascii="Calibri" w:hAnsi="宋体"/>
          <w:bCs/>
          <w:kern w:val="2"/>
          <w:sz w:val="48"/>
          <w:szCs w:val="48"/>
        </w:rPr>
        <w:t>（</w:t>
      </w:r>
      <w:r>
        <w:rPr>
          <w:rFonts w:hint="eastAsia" w:ascii="楷体" w:hAnsi="楷体" w:eastAsia="楷体"/>
          <w:bCs/>
          <w:kern w:val="2"/>
          <w:sz w:val="44"/>
          <w:szCs w:val="48"/>
        </w:rPr>
        <w:t>污染</w:t>
      </w:r>
      <w:r>
        <w:rPr>
          <w:rFonts w:ascii="楷体" w:hAnsi="楷体" w:eastAsia="楷体"/>
          <w:bCs/>
          <w:kern w:val="2"/>
          <w:sz w:val="44"/>
          <w:szCs w:val="48"/>
        </w:rPr>
        <w:t>影响类</w:t>
      </w:r>
      <w:r>
        <w:rPr>
          <w:rFonts w:ascii="Calibri" w:hAnsi="宋体"/>
          <w:bCs/>
          <w:kern w:val="2"/>
          <w:sz w:val="48"/>
          <w:szCs w:val="48"/>
        </w:rPr>
        <w:t>）</w:t>
      </w:r>
    </w:p>
    <w:p w14:paraId="17981B65">
      <w:pPr>
        <w:jc w:val="center"/>
        <w:rPr>
          <w:rFonts w:ascii="Calibri" w:hAnsi="Calibri"/>
          <w:kern w:val="2"/>
          <w:sz w:val="52"/>
          <w:szCs w:val="52"/>
        </w:rPr>
      </w:pPr>
      <w:bookmarkStart w:id="0" w:name="_Hlk57883728"/>
    </w:p>
    <w:p w14:paraId="68174928">
      <w:pPr>
        <w:ind w:firstLine="1040"/>
        <w:rPr>
          <w:rFonts w:ascii="Calibri" w:hAnsi="Calibri"/>
          <w:kern w:val="2"/>
          <w:sz w:val="44"/>
          <w:szCs w:val="44"/>
        </w:rPr>
      </w:pPr>
    </w:p>
    <w:p w14:paraId="75BA8DBC">
      <w:pPr>
        <w:ind w:firstLine="1040"/>
        <w:rPr>
          <w:rFonts w:ascii="Calibri" w:hAnsi="Calibri"/>
          <w:kern w:val="2"/>
          <w:sz w:val="44"/>
          <w:szCs w:val="44"/>
        </w:rPr>
      </w:pPr>
    </w:p>
    <w:p w14:paraId="5B280383">
      <w:pPr>
        <w:ind w:firstLine="1040"/>
        <w:rPr>
          <w:rFonts w:ascii="Calibri" w:hAnsi="Calibri"/>
          <w:kern w:val="2"/>
          <w:sz w:val="44"/>
          <w:szCs w:val="44"/>
        </w:rPr>
      </w:pPr>
    </w:p>
    <w:p w14:paraId="70640DE5">
      <w:pPr>
        <w:ind w:firstLine="1040"/>
        <w:rPr>
          <w:rFonts w:ascii="Calibri" w:hAnsi="Calibri"/>
          <w:kern w:val="2"/>
          <w:sz w:val="44"/>
          <w:szCs w:val="44"/>
        </w:rPr>
      </w:pPr>
    </w:p>
    <w:p w14:paraId="01A7114A">
      <w:pPr>
        <w:ind w:firstLine="1040"/>
        <w:rPr>
          <w:rFonts w:ascii="Calibri" w:hAnsi="Calibri"/>
          <w:kern w:val="2"/>
          <w:sz w:val="44"/>
          <w:szCs w:val="44"/>
        </w:rPr>
      </w:pPr>
    </w:p>
    <w:tbl>
      <w:tblPr>
        <w:tblStyle w:val="16"/>
        <w:tblW w:w="8448" w:type="dxa"/>
        <w:jc w:val="center"/>
        <w:tblLayout w:type="autofit"/>
        <w:tblCellMar>
          <w:top w:w="0" w:type="dxa"/>
          <w:left w:w="108" w:type="dxa"/>
          <w:bottom w:w="0" w:type="dxa"/>
          <w:right w:w="108" w:type="dxa"/>
        </w:tblCellMar>
      </w:tblPr>
      <w:tblGrid>
        <w:gridCol w:w="2765"/>
        <w:gridCol w:w="5683"/>
      </w:tblGrid>
      <w:tr w14:paraId="3A96E168">
        <w:tblPrEx>
          <w:tblCellMar>
            <w:top w:w="0" w:type="dxa"/>
            <w:left w:w="108" w:type="dxa"/>
            <w:bottom w:w="0" w:type="dxa"/>
            <w:right w:w="108" w:type="dxa"/>
          </w:tblCellMar>
        </w:tblPrEx>
        <w:trPr>
          <w:jc w:val="center"/>
        </w:trPr>
        <w:tc>
          <w:tcPr>
            <w:tcW w:w="2765" w:type="dxa"/>
            <w:noWrap/>
            <w:vAlign w:val="center"/>
          </w:tcPr>
          <w:p w14:paraId="39EBE247">
            <w:pPr>
              <w:spacing w:line="220" w:lineRule="atLeast"/>
              <w:jc w:val="distribute"/>
              <w:rPr>
                <w:rFonts w:hAnsi="宋体" w:eastAsia="仿宋_GB2312"/>
                <w:kern w:val="2"/>
                <w:sz w:val="32"/>
                <w:szCs w:val="36"/>
              </w:rPr>
            </w:pPr>
            <w:r>
              <w:rPr>
                <w:rFonts w:hint="eastAsia" w:hAnsi="宋体" w:eastAsia="仿宋_GB2312"/>
                <w:kern w:val="2"/>
                <w:sz w:val="32"/>
                <w:szCs w:val="36"/>
              </w:rPr>
              <w:t>项目名称</w:t>
            </w:r>
            <w:r>
              <w:rPr>
                <w:rFonts w:hAnsi="宋体" w:eastAsia="仿宋_GB2312"/>
                <w:kern w:val="2"/>
                <w:sz w:val="32"/>
                <w:szCs w:val="36"/>
              </w:rPr>
              <w:t>：</w:t>
            </w:r>
          </w:p>
        </w:tc>
        <w:tc>
          <w:tcPr>
            <w:tcW w:w="5683" w:type="dxa"/>
            <w:tcBorders>
              <w:bottom w:val="single" w:color="auto" w:sz="4" w:space="0"/>
            </w:tcBorders>
            <w:noWrap/>
            <w:vAlign w:val="center"/>
          </w:tcPr>
          <w:p w14:paraId="35852960">
            <w:pPr>
              <w:snapToGrid w:val="0"/>
              <w:jc w:val="center"/>
              <w:rPr>
                <w:rFonts w:hAnsi="宋体" w:eastAsia="仿宋_GB2312"/>
                <w:spacing w:val="-24"/>
                <w:kern w:val="2"/>
                <w:sz w:val="32"/>
                <w:szCs w:val="36"/>
              </w:rPr>
            </w:pPr>
            <w:r>
              <w:rPr>
                <w:rFonts w:hint="eastAsia" w:hAnsi="宋体" w:eastAsia="仿宋_GB2312"/>
                <w:kern w:val="2"/>
                <w:sz w:val="32"/>
                <w:szCs w:val="36"/>
              </w:rPr>
              <w:t>安徽集杰汽车零部件制造有限公司汽车悬挂系统及支臂总成制造基地项目</w:t>
            </w:r>
          </w:p>
        </w:tc>
      </w:tr>
      <w:tr w14:paraId="6389AE06">
        <w:tblPrEx>
          <w:tblCellMar>
            <w:top w:w="0" w:type="dxa"/>
            <w:left w:w="108" w:type="dxa"/>
            <w:bottom w:w="0" w:type="dxa"/>
            <w:right w:w="108" w:type="dxa"/>
          </w:tblCellMar>
        </w:tblPrEx>
        <w:trPr>
          <w:jc w:val="center"/>
        </w:trPr>
        <w:tc>
          <w:tcPr>
            <w:tcW w:w="2765" w:type="dxa"/>
            <w:noWrap/>
            <w:vAlign w:val="center"/>
          </w:tcPr>
          <w:p w14:paraId="0A3B238E">
            <w:pPr>
              <w:spacing w:line="220" w:lineRule="atLeast"/>
              <w:jc w:val="distribute"/>
              <w:rPr>
                <w:rFonts w:hAnsi="宋体" w:eastAsia="仿宋_GB2312"/>
                <w:kern w:val="2"/>
                <w:sz w:val="32"/>
                <w:szCs w:val="36"/>
              </w:rPr>
            </w:pPr>
            <w:r>
              <w:rPr>
                <w:rFonts w:hint="eastAsia" w:hAnsi="宋体" w:eastAsia="仿宋_GB2312"/>
                <w:kern w:val="2"/>
                <w:sz w:val="32"/>
                <w:szCs w:val="36"/>
              </w:rPr>
              <w:t>建设单位（盖章）</w:t>
            </w:r>
            <w:r>
              <w:rPr>
                <w:rFonts w:hAnsi="宋体" w:eastAsia="仿宋_GB2312"/>
                <w:kern w:val="2"/>
                <w:sz w:val="32"/>
                <w:szCs w:val="36"/>
              </w:rPr>
              <w:t>：</w:t>
            </w:r>
          </w:p>
        </w:tc>
        <w:tc>
          <w:tcPr>
            <w:tcW w:w="5683" w:type="dxa"/>
            <w:tcBorders>
              <w:top w:val="single" w:color="auto" w:sz="4" w:space="0"/>
              <w:bottom w:val="single" w:color="auto" w:sz="4" w:space="0"/>
            </w:tcBorders>
            <w:noWrap/>
            <w:vAlign w:val="center"/>
          </w:tcPr>
          <w:p w14:paraId="2A36BD53">
            <w:pPr>
              <w:snapToGrid w:val="0"/>
              <w:jc w:val="center"/>
              <w:rPr>
                <w:rFonts w:hAnsi="宋体" w:eastAsia="仿宋_GB2312"/>
                <w:spacing w:val="-24"/>
                <w:kern w:val="2"/>
                <w:sz w:val="32"/>
                <w:szCs w:val="36"/>
              </w:rPr>
            </w:pPr>
            <w:r>
              <w:rPr>
                <w:rFonts w:hint="eastAsia" w:hAnsi="宋体" w:eastAsia="仿宋_GB2312"/>
                <w:kern w:val="2"/>
                <w:sz w:val="32"/>
                <w:szCs w:val="36"/>
              </w:rPr>
              <w:t>安徽集杰汽车零部件制造有限公司</w:t>
            </w:r>
          </w:p>
        </w:tc>
      </w:tr>
      <w:tr w14:paraId="4E9C334E">
        <w:tblPrEx>
          <w:tblCellMar>
            <w:top w:w="0" w:type="dxa"/>
            <w:left w:w="108" w:type="dxa"/>
            <w:bottom w:w="0" w:type="dxa"/>
            <w:right w:w="108" w:type="dxa"/>
          </w:tblCellMar>
        </w:tblPrEx>
        <w:trPr>
          <w:jc w:val="center"/>
        </w:trPr>
        <w:tc>
          <w:tcPr>
            <w:tcW w:w="2765" w:type="dxa"/>
            <w:noWrap/>
            <w:vAlign w:val="center"/>
          </w:tcPr>
          <w:p w14:paraId="026D0D72">
            <w:pPr>
              <w:spacing w:line="220" w:lineRule="atLeast"/>
              <w:jc w:val="distribute"/>
              <w:rPr>
                <w:rFonts w:hAnsi="宋体" w:eastAsia="仿宋_GB2312"/>
                <w:kern w:val="2"/>
                <w:sz w:val="32"/>
                <w:szCs w:val="36"/>
              </w:rPr>
            </w:pPr>
            <w:r>
              <w:rPr>
                <w:rFonts w:hAnsi="宋体" w:eastAsia="仿宋_GB2312"/>
                <w:kern w:val="2"/>
                <w:sz w:val="32"/>
                <w:szCs w:val="36"/>
              </w:rPr>
              <w:t>编制日期：</w:t>
            </w:r>
          </w:p>
        </w:tc>
        <w:tc>
          <w:tcPr>
            <w:tcW w:w="5683" w:type="dxa"/>
            <w:tcBorders>
              <w:top w:val="single" w:color="auto" w:sz="4" w:space="0"/>
              <w:bottom w:val="single" w:color="auto" w:sz="4" w:space="0"/>
            </w:tcBorders>
            <w:noWrap/>
            <w:vAlign w:val="center"/>
          </w:tcPr>
          <w:p w14:paraId="26D69A6F">
            <w:pPr>
              <w:snapToGrid w:val="0"/>
              <w:jc w:val="center"/>
              <w:rPr>
                <w:rFonts w:hAnsi="宋体" w:eastAsia="仿宋_GB2312"/>
                <w:spacing w:val="-24"/>
                <w:kern w:val="2"/>
                <w:sz w:val="32"/>
                <w:szCs w:val="36"/>
              </w:rPr>
            </w:pPr>
            <w:r>
              <w:rPr>
                <w:rFonts w:hint="eastAsia" w:hAnsi="宋体" w:eastAsia="仿宋_GB2312"/>
                <w:kern w:val="2"/>
                <w:sz w:val="32"/>
                <w:szCs w:val="36"/>
              </w:rPr>
              <w:t>二〇二六年二月</w:t>
            </w:r>
          </w:p>
        </w:tc>
      </w:tr>
      <w:tr w14:paraId="3D3A0EE0">
        <w:tblPrEx>
          <w:tblCellMar>
            <w:top w:w="0" w:type="dxa"/>
            <w:left w:w="108" w:type="dxa"/>
            <w:bottom w:w="0" w:type="dxa"/>
            <w:right w:w="108" w:type="dxa"/>
          </w:tblCellMar>
        </w:tblPrEx>
        <w:trPr>
          <w:jc w:val="center"/>
        </w:trPr>
        <w:tc>
          <w:tcPr>
            <w:tcW w:w="2765" w:type="dxa"/>
            <w:noWrap/>
            <w:vAlign w:val="center"/>
          </w:tcPr>
          <w:p w14:paraId="47B2A268">
            <w:pPr>
              <w:spacing w:line="220" w:lineRule="atLeast"/>
              <w:jc w:val="right"/>
              <w:rPr>
                <w:rFonts w:ascii="黑体" w:hAnsi="黑体" w:eastAsia="黑体"/>
                <w:kern w:val="2"/>
                <w:sz w:val="32"/>
                <w:szCs w:val="32"/>
              </w:rPr>
            </w:pPr>
          </w:p>
        </w:tc>
        <w:tc>
          <w:tcPr>
            <w:tcW w:w="5683" w:type="dxa"/>
            <w:tcBorders>
              <w:top w:val="single" w:color="auto" w:sz="4" w:space="0"/>
            </w:tcBorders>
            <w:noWrap/>
            <w:vAlign w:val="center"/>
          </w:tcPr>
          <w:p w14:paraId="3B88DA85">
            <w:pPr>
              <w:spacing w:line="220" w:lineRule="atLeast"/>
              <w:rPr>
                <w:rFonts w:ascii="黑体" w:hAnsi="黑体" w:eastAsia="黑体"/>
                <w:kern w:val="2"/>
                <w:sz w:val="32"/>
                <w:szCs w:val="32"/>
              </w:rPr>
            </w:pPr>
          </w:p>
        </w:tc>
      </w:tr>
      <w:bookmarkEnd w:id="0"/>
    </w:tbl>
    <w:p w14:paraId="4FCED32D">
      <w:pPr>
        <w:adjustRightInd w:val="0"/>
        <w:snapToGrid w:val="0"/>
        <w:spacing w:line="288" w:lineRule="auto"/>
        <w:ind w:firstLine="1040"/>
        <w:rPr>
          <w:rFonts w:ascii="Calibri" w:hAnsi="Calibri"/>
          <w:kern w:val="2"/>
          <w:sz w:val="36"/>
          <w:szCs w:val="36"/>
        </w:rPr>
      </w:pPr>
    </w:p>
    <w:p w14:paraId="189AA9EE">
      <w:pPr>
        <w:adjustRightInd w:val="0"/>
        <w:snapToGrid w:val="0"/>
        <w:spacing w:line="288" w:lineRule="auto"/>
        <w:ind w:firstLine="1040"/>
        <w:rPr>
          <w:rFonts w:ascii="Calibri" w:hAnsi="Calibri"/>
          <w:kern w:val="2"/>
          <w:sz w:val="36"/>
          <w:szCs w:val="36"/>
        </w:rPr>
      </w:pPr>
    </w:p>
    <w:p w14:paraId="4123FD61">
      <w:pPr>
        <w:adjustRightInd w:val="0"/>
        <w:snapToGrid w:val="0"/>
        <w:spacing w:line="288" w:lineRule="auto"/>
        <w:ind w:firstLine="1040"/>
        <w:rPr>
          <w:rFonts w:ascii="Calibri" w:hAnsi="Calibri"/>
          <w:kern w:val="2"/>
          <w:sz w:val="36"/>
          <w:szCs w:val="36"/>
        </w:rPr>
      </w:pPr>
    </w:p>
    <w:p w14:paraId="28102875">
      <w:pPr>
        <w:adjustRightInd w:val="0"/>
        <w:snapToGrid w:val="0"/>
        <w:spacing w:line="288" w:lineRule="auto"/>
        <w:ind w:firstLine="1040"/>
        <w:rPr>
          <w:rFonts w:ascii="Calibri" w:hAnsi="Calibri"/>
          <w:kern w:val="2"/>
          <w:sz w:val="36"/>
          <w:szCs w:val="36"/>
        </w:rPr>
      </w:pPr>
    </w:p>
    <w:p w14:paraId="0609AE56">
      <w:pPr>
        <w:adjustRightInd w:val="0"/>
        <w:snapToGrid w:val="0"/>
        <w:spacing w:line="288" w:lineRule="auto"/>
        <w:jc w:val="center"/>
        <w:rPr>
          <w:rFonts w:ascii="楷体" w:hAnsi="楷体" w:eastAsia="楷体"/>
          <w:kern w:val="2"/>
          <w:sz w:val="36"/>
          <w:szCs w:val="36"/>
        </w:rPr>
      </w:pPr>
      <w:r>
        <w:rPr>
          <w:rFonts w:hint="eastAsia" w:ascii="楷体" w:hAnsi="楷体" w:eastAsia="楷体"/>
          <w:kern w:val="2"/>
          <w:sz w:val="36"/>
          <w:szCs w:val="36"/>
        </w:rPr>
        <w:t>中华人民共和国生态环境部制</w:t>
      </w:r>
    </w:p>
    <w:p w14:paraId="66797CF9">
      <w:pPr>
        <w:rPr>
          <w:rFonts w:hAnsi="黑体" w:eastAsia="黑体"/>
          <w:sz w:val="30"/>
          <w:szCs w:val="30"/>
        </w:rPr>
      </w:pPr>
      <w:r>
        <w:rPr>
          <w:rFonts w:hAnsi="黑体" w:eastAsia="黑体"/>
          <w:sz w:val="30"/>
          <w:szCs w:val="30"/>
        </w:rPr>
        <w:br w:type="page"/>
      </w:r>
    </w:p>
    <w:p w14:paraId="5E6AFAF8">
      <w:pPr>
        <w:jc w:val="center"/>
        <w:rPr>
          <w:rFonts w:eastAsia="黑体"/>
          <w:sz w:val="30"/>
          <w:szCs w:val="30"/>
        </w:rPr>
      </w:pPr>
      <w:r>
        <w:rPr>
          <w:rFonts w:hAnsi="黑体" w:eastAsia="黑体"/>
          <w:sz w:val="30"/>
          <w:szCs w:val="30"/>
        </w:rPr>
        <w:t>一、建设项目基本情况</w:t>
      </w:r>
    </w:p>
    <w:tbl>
      <w:tblPr>
        <w:tblStyle w:val="17"/>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2197"/>
        <w:gridCol w:w="1628"/>
        <w:gridCol w:w="95"/>
        <w:gridCol w:w="3429"/>
      </w:tblGrid>
      <w:tr w14:paraId="742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581AA310">
            <w:pPr>
              <w:spacing w:line="360" w:lineRule="auto"/>
              <w:jc w:val="center"/>
            </w:pPr>
            <w:r>
              <w:t>建设项目名称</w:t>
            </w:r>
          </w:p>
        </w:tc>
        <w:tc>
          <w:tcPr>
            <w:tcW w:w="4312" w:type="pct"/>
            <w:gridSpan w:val="4"/>
            <w:vAlign w:val="center"/>
          </w:tcPr>
          <w:p w14:paraId="5E95DCE8">
            <w:pPr>
              <w:spacing w:line="360" w:lineRule="auto"/>
              <w:jc w:val="center"/>
            </w:pPr>
            <w:r>
              <w:rPr>
                <w:rFonts w:hint="eastAsia"/>
              </w:rPr>
              <w:t>安徽集杰汽车零部件制造有限公司汽车悬挂系统及支臂总成制造基地项目</w:t>
            </w:r>
          </w:p>
        </w:tc>
      </w:tr>
      <w:tr w14:paraId="7225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4F16258A">
            <w:pPr>
              <w:spacing w:line="360" w:lineRule="auto"/>
              <w:jc w:val="center"/>
              <w:rPr>
                <w:spacing w:val="-4"/>
              </w:rPr>
            </w:pPr>
            <w:r>
              <w:rPr>
                <w:spacing w:val="-4"/>
              </w:rPr>
              <w:t>项目代码</w:t>
            </w:r>
          </w:p>
        </w:tc>
        <w:tc>
          <w:tcPr>
            <w:tcW w:w="4312" w:type="pct"/>
            <w:gridSpan w:val="4"/>
            <w:vAlign w:val="center"/>
          </w:tcPr>
          <w:p w14:paraId="1D5D7102">
            <w:pPr>
              <w:spacing w:line="360" w:lineRule="auto"/>
              <w:jc w:val="center"/>
            </w:pPr>
            <w:r>
              <w:rPr>
                <w:rFonts w:hint="eastAsia"/>
              </w:rPr>
              <w:t>2510-340461-04-01-898280</w:t>
            </w:r>
          </w:p>
        </w:tc>
      </w:tr>
      <w:tr w14:paraId="5EE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6DAAE3E9">
            <w:pPr>
              <w:spacing w:line="360" w:lineRule="auto"/>
              <w:jc w:val="center"/>
              <w:rPr>
                <w:spacing w:val="-4"/>
              </w:rPr>
            </w:pPr>
            <w:r>
              <w:rPr>
                <w:spacing w:val="-4"/>
              </w:rPr>
              <w:t>建设单位联系人</w:t>
            </w:r>
          </w:p>
        </w:tc>
        <w:tc>
          <w:tcPr>
            <w:tcW w:w="1289" w:type="pct"/>
            <w:vAlign w:val="center"/>
          </w:tcPr>
          <w:p w14:paraId="494B89E9">
            <w:pPr>
              <w:spacing w:line="360" w:lineRule="auto"/>
              <w:jc w:val="center"/>
            </w:pPr>
            <w:r>
              <w:rPr>
                <w:rFonts w:hint="eastAsia"/>
              </w:rPr>
              <w:t>郑念建</w:t>
            </w:r>
          </w:p>
        </w:tc>
        <w:tc>
          <w:tcPr>
            <w:tcW w:w="1011" w:type="pct"/>
            <w:gridSpan w:val="2"/>
            <w:vAlign w:val="center"/>
          </w:tcPr>
          <w:p w14:paraId="05CE5DE8">
            <w:pPr>
              <w:spacing w:line="360" w:lineRule="auto"/>
              <w:jc w:val="center"/>
            </w:pPr>
            <w:r>
              <w:t>联系方式</w:t>
            </w:r>
          </w:p>
        </w:tc>
        <w:tc>
          <w:tcPr>
            <w:tcW w:w="2012" w:type="pct"/>
            <w:vAlign w:val="center"/>
          </w:tcPr>
          <w:p w14:paraId="4793B7CF">
            <w:pPr>
              <w:spacing w:line="360" w:lineRule="auto"/>
              <w:jc w:val="center"/>
            </w:pPr>
            <w:r>
              <w:rPr>
                <w:rFonts w:hint="eastAsia"/>
              </w:rPr>
              <w:t>18755335500</w:t>
            </w:r>
          </w:p>
        </w:tc>
      </w:tr>
      <w:tr w14:paraId="1A1A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62CB1A0A">
            <w:pPr>
              <w:spacing w:line="360" w:lineRule="auto"/>
              <w:jc w:val="center"/>
              <w:rPr>
                <w:spacing w:val="-4"/>
              </w:rPr>
            </w:pPr>
            <w:r>
              <w:rPr>
                <w:spacing w:val="-4"/>
              </w:rPr>
              <w:t>建设地点</w:t>
            </w:r>
          </w:p>
        </w:tc>
        <w:tc>
          <w:tcPr>
            <w:tcW w:w="4312" w:type="pct"/>
            <w:gridSpan w:val="4"/>
            <w:vAlign w:val="center"/>
          </w:tcPr>
          <w:p w14:paraId="7D0CE178">
            <w:pPr>
              <w:spacing w:line="360" w:lineRule="auto"/>
              <w:jc w:val="center"/>
            </w:pPr>
            <w:r>
              <w:rPr>
                <w:rFonts w:hint="eastAsia"/>
              </w:rPr>
              <w:t>淮南市淮南经济技术开发区东部工业区绿色智造产业园6#厂房</w:t>
            </w:r>
          </w:p>
        </w:tc>
      </w:tr>
      <w:tr w14:paraId="6675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42442C6D">
            <w:pPr>
              <w:spacing w:line="360" w:lineRule="auto"/>
              <w:jc w:val="center"/>
              <w:rPr>
                <w:spacing w:val="-4"/>
              </w:rPr>
            </w:pPr>
            <w:r>
              <w:rPr>
                <w:spacing w:val="-4"/>
              </w:rPr>
              <w:t>地理坐标</w:t>
            </w:r>
          </w:p>
        </w:tc>
        <w:tc>
          <w:tcPr>
            <w:tcW w:w="4312" w:type="pct"/>
            <w:gridSpan w:val="4"/>
            <w:vAlign w:val="center"/>
          </w:tcPr>
          <w:p w14:paraId="5DEB9B84">
            <w:pPr>
              <w:spacing w:line="360" w:lineRule="auto"/>
              <w:jc w:val="center"/>
            </w:pPr>
            <w:r>
              <w:t xml:space="preserve">（E </w:t>
            </w:r>
            <w:r>
              <w:rPr>
                <w:rFonts w:hint="eastAsia"/>
                <w:u w:val="single"/>
              </w:rPr>
              <w:t>117</w:t>
            </w:r>
            <w:r>
              <w:t>度</w:t>
            </w:r>
            <w:r>
              <w:rPr>
                <w:rFonts w:hint="eastAsia"/>
                <w:u w:val="single"/>
              </w:rPr>
              <w:t>5</w:t>
            </w:r>
            <w:r>
              <w:t>分</w:t>
            </w:r>
            <w:r>
              <w:rPr>
                <w:rFonts w:hint="eastAsia"/>
                <w:u w:val="single"/>
              </w:rPr>
              <w:t>31.765</w:t>
            </w:r>
            <w:r>
              <w:t xml:space="preserve">秒，N </w:t>
            </w:r>
            <w:r>
              <w:rPr>
                <w:u w:val="single"/>
              </w:rPr>
              <w:t>32</w:t>
            </w:r>
            <w:r>
              <w:t>度</w:t>
            </w:r>
            <w:r>
              <w:rPr>
                <w:rFonts w:hint="eastAsia"/>
                <w:u w:val="single"/>
              </w:rPr>
              <w:t>37</w:t>
            </w:r>
            <w:r>
              <w:t>分</w:t>
            </w:r>
            <w:r>
              <w:rPr>
                <w:rFonts w:hint="eastAsia"/>
                <w:u w:val="single"/>
              </w:rPr>
              <w:t>59.665</w:t>
            </w:r>
            <w:r>
              <w:t>秒）</w:t>
            </w:r>
          </w:p>
        </w:tc>
      </w:tr>
      <w:tr w14:paraId="28D7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20200724">
            <w:pPr>
              <w:spacing w:line="360" w:lineRule="auto"/>
              <w:jc w:val="center"/>
            </w:pPr>
            <w:r>
              <w:t>国民经济行业类别</w:t>
            </w:r>
          </w:p>
        </w:tc>
        <w:tc>
          <w:tcPr>
            <w:tcW w:w="1288" w:type="pct"/>
            <w:vAlign w:val="center"/>
          </w:tcPr>
          <w:p w14:paraId="7FE664FF">
            <w:pPr>
              <w:spacing w:line="360" w:lineRule="auto"/>
              <w:jc w:val="center"/>
            </w:pPr>
            <w:r>
              <w:t>C</w:t>
            </w:r>
            <w:r>
              <w:rPr>
                <w:rFonts w:hint="eastAsia"/>
              </w:rPr>
              <w:t>3670 汽车零部件及配件制造</w:t>
            </w:r>
          </w:p>
        </w:tc>
        <w:tc>
          <w:tcPr>
            <w:tcW w:w="955" w:type="pct"/>
            <w:vAlign w:val="center"/>
          </w:tcPr>
          <w:p w14:paraId="0149F188">
            <w:pPr>
              <w:spacing w:line="360" w:lineRule="auto"/>
              <w:jc w:val="center"/>
            </w:pPr>
            <w:r>
              <w:t>建设项目</w:t>
            </w:r>
          </w:p>
          <w:p w14:paraId="03BDD9ED">
            <w:pPr>
              <w:spacing w:line="360" w:lineRule="auto"/>
              <w:jc w:val="center"/>
            </w:pPr>
            <w:r>
              <w:t>行业类别</w:t>
            </w:r>
          </w:p>
        </w:tc>
        <w:tc>
          <w:tcPr>
            <w:tcW w:w="2069" w:type="pct"/>
            <w:gridSpan w:val="2"/>
            <w:vAlign w:val="center"/>
          </w:tcPr>
          <w:p w14:paraId="75696914">
            <w:pPr>
              <w:spacing w:line="360" w:lineRule="auto"/>
              <w:jc w:val="center"/>
            </w:pPr>
            <w:r>
              <w:rPr>
                <w:rFonts w:hint="eastAsia"/>
              </w:rPr>
              <w:t>“三十三、汽车制造业36”中的“汽车零部件及配件制造367”</w:t>
            </w:r>
          </w:p>
        </w:tc>
      </w:tr>
      <w:tr w14:paraId="6442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507D2F72">
            <w:pPr>
              <w:spacing w:line="360" w:lineRule="auto"/>
              <w:jc w:val="center"/>
            </w:pPr>
            <w:r>
              <w:t>建设</w:t>
            </w:r>
          </w:p>
          <w:p w14:paraId="44C6A605">
            <w:pPr>
              <w:spacing w:line="360" w:lineRule="auto"/>
              <w:jc w:val="center"/>
            </w:pPr>
            <w:r>
              <w:t>性质</w:t>
            </w:r>
          </w:p>
        </w:tc>
        <w:tc>
          <w:tcPr>
            <w:tcW w:w="1288" w:type="pct"/>
          </w:tcPr>
          <w:p w14:paraId="24D3AFF6">
            <w:pPr>
              <w:spacing w:line="360" w:lineRule="auto"/>
              <w:rPr>
                <w:rFonts w:ascii="宋体" w:hAnsi="宋体"/>
              </w:rPr>
            </w:pPr>
            <w:r>
              <w:rPr>
                <w:rFonts w:ascii="宋体" w:hAnsi="MS Mincho"/>
              </w:rPr>
              <w:t>☑</w:t>
            </w:r>
            <w:r>
              <w:rPr>
                <w:rFonts w:ascii="宋体" w:hAnsi="宋体"/>
              </w:rPr>
              <w:t>新建（迁建）</w:t>
            </w:r>
          </w:p>
          <w:p w14:paraId="12BBB678">
            <w:pPr>
              <w:spacing w:line="360" w:lineRule="auto"/>
              <w:rPr>
                <w:rFonts w:ascii="宋体" w:hAnsi="宋体"/>
              </w:rPr>
            </w:pPr>
            <w:r>
              <w:rPr>
                <w:rStyle w:val="23"/>
                <w:rFonts w:ascii="宋体" w:hAnsi="宋体"/>
                <w:sz w:val="24"/>
                <w:szCs w:val="24"/>
              </w:rPr>
              <w:t>□</w:t>
            </w:r>
            <w:r>
              <w:rPr>
                <w:rFonts w:ascii="宋体" w:hAnsi="宋体"/>
              </w:rPr>
              <w:t>改建</w:t>
            </w:r>
          </w:p>
          <w:p w14:paraId="3CBFAB9A">
            <w:pPr>
              <w:spacing w:line="360" w:lineRule="auto"/>
              <w:rPr>
                <w:rFonts w:ascii="宋体" w:hAnsi="宋体"/>
              </w:rPr>
            </w:pPr>
            <w:r>
              <w:rPr>
                <w:rStyle w:val="23"/>
                <w:rFonts w:ascii="宋体" w:hAnsi="宋体"/>
                <w:sz w:val="24"/>
                <w:szCs w:val="24"/>
              </w:rPr>
              <w:t>□</w:t>
            </w:r>
            <w:r>
              <w:rPr>
                <w:rFonts w:ascii="宋体" w:hAnsi="宋体"/>
              </w:rPr>
              <w:t>扩建</w:t>
            </w:r>
          </w:p>
          <w:p w14:paraId="07B0FED3">
            <w:pPr>
              <w:spacing w:line="360" w:lineRule="auto"/>
            </w:pPr>
            <w:r>
              <w:rPr>
                <w:rStyle w:val="23"/>
                <w:rFonts w:ascii="宋体" w:hAnsi="宋体"/>
                <w:sz w:val="24"/>
                <w:szCs w:val="24"/>
              </w:rPr>
              <w:t>□</w:t>
            </w:r>
            <w:r>
              <w:rPr>
                <w:rFonts w:ascii="宋体" w:hAnsi="宋体"/>
              </w:rPr>
              <w:t>技术改造</w:t>
            </w:r>
          </w:p>
        </w:tc>
        <w:tc>
          <w:tcPr>
            <w:tcW w:w="955" w:type="pct"/>
            <w:vAlign w:val="center"/>
          </w:tcPr>
          <w:p w14:paraId="4FAD3320">
            <w:pPr>
              <w:spacing w:line="360" w:lineRule="auto"/>
              <w:jc w:val="center"/>
            </w:pPr>
            <w:r>
              <w:t>建设项目</w:t>
            </w:r>
          </w:p>
          <w:p w14:paraId="7A7AC1A9">
            <w:pPr>
              <w:spacing w:line="360" w:lineRule="auto"/>
              <w:jc w:val="center"/>
            </w:pPr>
            <w:r>
              <w:t>申报情形</w:t>
            </w:r>
          </w:p>
        </w:tc>
        <w:tc>
          <w:tcPr>
            <w:tcW w:w="2069" w:type="pct"/>
            <w:gridSpan w:val="2"/>
          </w:tcPr>
          <w:p w14:paraId="63BFAFC0">
            <w:pPr>
              <w:spacing w:line="360" w:lineRule="auto"/>
              <w:rPr>
                <w:rFonts w:ascii="宋体" w:hAnsi="宋体"/>
              </w:rPr>
            </w:pPr>
            <w:r>
              <w:rPr>
                <w:rFonts w:ascii="宋体" w:hAnsi="MS Mincho"/>
              </w:rPr>
              <w:t>☑</w:t>
            </w:r>
            <w:r>
              <w:rPr>
                <w:rFonts w:ascii="宋体" w:hAnsi="宋体"/>
              </w:rPr>
              <w:t>首次申报项目</w:t>
            </w:r>
          </w:p>
          <w:p w14:paraId="1087FF66">
            <w:pPr>
              <w:spacing w:line="360" w:lineRule="auto"/>
              <w:rPr>
                <w:rFonts w:ascii="宋体" w:hAnsi="宋体"/>
              </w:rPr>
            </w:pPr>
            <w:r>
              <w:rPr>
                <w:rStyle w:val="23"/>
                <w:rFonts w:ascii="宋体" w:hAnsi="宋体"/>
                <w:sz w:val="24"/>
                <w:szCs w:val="24"/>
              </w:rPr>
              <w:t>□</w:t>
            </w:r>
            <w:r>
              <w:rPr>
                <w:rFonts w:ascii="宋体" w:hAnsi="宋体"/>
              </w:rPr>
              <w:t>不予批准后再次申报项目</w:t>
            </w:r>
          </w:p>
          <w:p w14:paraId="32909537">
            <w:pPr>
              <w:spacing w:line="360" w:lineRule="auto"/>
              <w:rPr>
                <w:rFonts w:ascii="宋体" w:hAnsi="宋体"/>
              </w:rPr>
            </w:pPr>
            <w:r>
              <w:rPr>
                <w:rStyle w:val="23"/>
                <w:rFonts w:ascii="宋体" w:hAnsi="宋体"/>
                <w:sz w:val="24"/>
                <w:szCs w:val="24"/>
              </w:rPr>
              <w:t>□</w:t>
            </w:r>
            <w:r>
              <w:rPr>
                <w:rFonts w:ascii="宋体" w:hAnsi="宋体"/>
              </w:rPr>
              <w:t>超五年重新审核项目</w:t>
            </w:r>
          </w:p>
          <w:p w14:paraId="781C8D3A">
            <w:pPr>
              <w:spacing w:line="360" w:lineRule="auto"/>
            </w:pPr>
            <w:r>
              <w:rPr>
                <w:rStyle w:val="23"/>
                <w:rFonts w:ascii="宋体" w:hAnsi="宋体"/>
                <w:sz w:val="24"/>
                <w:szCs w:val="24"/>
              </w:rPr>
              <w:t>□</w:t>
            </w:r>
            <w:r>
              <w:rPr>
                <w:rFonts w:ascii="宋体" w:hAnsi="宋体"/>
              </w:rPr>
              <w:t>重大变动重新报批项目</w:t>
            </w:r>
          </w:p>
        </w:tc>
      </w:tr>
      <w:tr w14:paraId="1B2F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12B6CDB0">
            <w:pPr>
              <w:spacing w:line="360" w:lineRule="auto"/>
              <w:jc w:val="center"/>
              <w:rPr>
                <w:spacing w:val="-4"/>
              </w:rPr>
            </w:pPr>
            <w:r>
              <w:rPr>
                <w:spacing w:val="-4"/>
              </w:rPr>
              <w:t>项目审核（核准/备案）部门（选填）</w:t>
            </w:r>
          </w:p>
        </w:tc>
        <w:tc>
          <w:tcPr>
            <w:tcW w:w="1288" w:type="pct"/>
            <w:vAlign w:val="center"/>
          </w:tcPr>
          <w:p w14:paraId="77E16040">
            <w:pPr>
              <w:spacing w:line="360" w:lineRule="auto"/>
              <w:jc w:val="center"/>
            </w:pPr>
            <w:r>
              <w:rPr>
                <w:rFonts w:hint="eastAsia"/>
              </w:rPr>
              <w:t>淮南经开区经济发展局</w:t>
            </w:r>
          </w:p>
        </w:tc>
        <w:tc>
          <w:tcPr>
            <w:tcW w:w="955" w:type="pct"/>
            <w:vAlign w:val="center"/>
          </w:tcPr>
          <w:p w14:paraId="71723CFE">
            <w:pPr>
              <w:spacing w:line="360" w:lineRule="auto"/>
              <w:jc w:val="center"/>
            </w:pPr>
            <w:r>
              <w:t>项目审批（核准/备案）文号（选填）</w:t>
            </w:r>
          </w:p>
        </w:tc>
        <w:tc>
          <w:tcPr>
            <w:tcW w:w="2069" w:type="pct"/>
            <w:gridSpan w:val="2"/>
            <w:vAlign w:val="center"/>
          </w:tcPr>
          <w:p w14:paraId="44CE1F55">
            <w:pPr>
              <w:spacing w:line="360" w:lineRule="auto"/>
              <w:jc w:val="center"/>
            </w:pPr>
            <w:r>
              <w:t>/</w:t>
            </w:r>
          </w:p>
        </w:tc>
      </w:tr>
      <w:tr w14:paraId="524B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74C0B417">
            <w:pPr>
              <w:spacing w:line="360" w:lineRule="auto"/>
              <w:jc w:val="center"/>
            </w:pPr>
            <w:r>
              <w:t>总投资（万元）</w:t>
            </w:r>
          </w:p>
        </w:tc>
        <w:tc>
          <w:tcPr>
            <w:tcW w:w="1288" w:type="pct"/>
            <w:vAlign w:val="center"/>
          </w:tcPr>
          <w:p w14:paraId="5C7A2839">
            <w:pPr>
              <w:spacing w:line="360" w:lineRule="auto"/>
              <w:jc w:val="center"/>
            </w:pPr>
            <w:r>
              <w:rPr>
                <w:rFonts w:hint="eastAsia"/>
              </w:rPr>
              <w:t>12000</w:t>
            </w:r>
          </w:p>
        </w:tc>
        <w:tc>
          <w:tcPr>
            <w:tcW w:w="955" w:type="pct"/>
            <w:vAlign w:val="center"/>
          </w:tcPr>
          <w:p w14:paraId="1F84A23F">
            <w:pPr>
              <w:spacing w:line="360" w:lineRule="auto"/>
              <w:jc w:val="center"/>
            </w:pPr>
            <w:r>
              <w:t>环保投资</w:t>
            </w:r>
          </w:p>
          <w:p w14:paraId="629F7607">
            <w:pPr>
              <w:spacing w:line="360" w:lineRule="auto"/>
              <w:jc w:val="center"/>
            </w:pPr>
            <w:r>
              <w:t>（万元）</w:t>
            </w:r>
          </w:p>
        </w:tc>
        <w:tc>
          <w:tcPr>
            <w:tcW w:w="2069" w:type="pct"/>
            <w:gridSpan w:val="2"/>
            <w:vAlign w:val="center"/>
          </w:tcPr>
          <w:p w14:paraId="5E9CB567">
            <w:pPr>
              <w:spacing w:line="360" w:lineRule="auto"/>
              <w:jc w:val="center"/>
            </w:pPr>
            <w:r>
              <w:rPr>
                <w:rFonts w:hint="eastAsia"/>
              </w:rPr>
              <w:t>40</w:t>
            </w:r>
          </w:p>
        </w:tc>
      </w:tr>
      <w:tr w14:paraId="67D0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1A0B8027">
            <w:pPr>
              <w:spacing w:line="360" w:lineRule="auto"/>
              <w:jc w:val="center"/>
            </w:pPr>
            <w:r>
              <w:t>环保投资占比（%）</w:t>
            </w:r>
          </w:p>
        </w:tc>
        <w:tc>
          <w:tcPr>
            <w:tcW w:w="1288" w:type="pct"/>
            <w:vAlign w:val="center"/>
          </w:tcPr>
          <w:p w14:paraId="6338D62D">
            <w:pPr>
              <w:spacing w:line="360" w:lineRule="auto"/>
              <w:jc w:val="center"/>
            </w:pPr>
            <w:r>
              <w:rPr>
                <w:rFonts w:hint="eastAsia"/>
              </w:rPr>
              <w:t>0.33</w:t>
            </w:r>
          </w:p>
        </w:tc>
        <w:tc>
          <w:tcPr>
            <w:tcW w:w="955" w:type="pct"/>
            <w:vAlign w:val="center"/>
          </w:tcPr>
          <w:p w14:paraId="4DD48142">
            <w:pPr>
              <w:spacing w:line="360" w:lineRule="auto"/>
              <w:jc w:val="center"/>
            </w:pPr>
            <w:r>
              <w:t>施工工期</w:t>
            </w:r>
          </w:p>
        </w:tc>
        <w:tc>
          <w:tcPr>
            <w:tcW w:w="2069" w:type="pct"/>
            <w:gridSpan w:val="2"/>
            <w:vAlign w:val="center"/>
          </w:tcPr>
          <w:p w14:paraId="0D2645DD">
            <w:pPr>
              <w:spacing w:line="360" w:lineRule="auto"/>
              <w:jc w:val="center"/>
            </w:pPr>
            <w:r>
              <w:rPr>
                <w:rFonts w:hint="eastAsia"/>
              </w:rPr>
              <w:t>1年</w:t>
            </w:r>
          </w:p>
        </w:tc>
      </w:tr>
      <w:tr w14:paraId="415D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6DC603EF">
            <w:pPr>
              <w:spacing w:line="360" w:lineRule="auto"/>
              <w:jc w:val="center"/>
            </w:pPr>
            <w:r>
              <w:t>是否开工建设</w:t>
            </w:r>
          </w:p>
        </w:tc>
        <w:tc>
          <w:tcPr>
            <w:tcW w:w="1288" w:type="pct"/>
          </w:tcPr>
          <w:p w14:paraId="34CAF697">
            <w:pPr>
              <w:spacing w:line="360" w:lineRule="auto"/>
            </w:pPr>
            <w:r>
              <w:rPr>
                <w:rFonts w:hAnsi="MS Mincho" w:eastAsia="MS Mincho"/>
              </w:rPr>
              <w:t>☑</w:t>
            </w:r>
            <w:r>
              <w:t>否</w:t>
            </w:r>
          </w:p>
          <w:p w14:paraId="2B3B55F5">
            <w:pPr>
              <w:spacing w:line="360" w:lineRule="auto"/>
            </w:pPr>
            <w:r>
              <w:rPr>
                <w:rStyle w:val="23"/>
                <w:rFonts w:ascii="宋体" w:hAnsi="宋体"/>
                <w:sz w:val="24"/>
                <w:szCs w:val="24"/>
              </w:rPr>
              <w:t>□</w:t>
            </w:r>
            <w:r>
              <w:t>是</w:t>
            </w:r>
          </w:p>
        </w:tc>
        <w:tc>
          <w:tcPr>
            <w:tcW w:w="955" w:type="pct"/>
            <w:vAlign w:val="center"/>
          </w:tcPr>
          <w:p w14:paraId="78C406CF">
            <w:pPr>
              <w:spacing w:line="360" w:lineRule="auto"/>
              <w:jc w:val="center"/>
            </w:pPr>
            <w:r>
              <w:t>用地（用海）</w:t>
            </w:r>
          </w:p>
          <w:p w14:paraId="0E77A029">
            <w:pPr>
              <w:spacing w:line="360" w:lineRule="auto"/>
              <w:jc w:val="center"/>
            </w:pPr>
            <w:r>
              <w:t>面积（m</w:t>
            </w:r>
            <w:r>
              <w:rPr>
                <w:vertAlign w:val="superscript"/>
              </w:rPr>
              <w:t>2</w:t>
            </w:r>
            <w:r>
              <w:t>）</w:t>
            </w:r>
          </w:p>
        </w:tc>
        <w:tc>
          <w:tcPr>
            <w:tcW w:w="2069" w:type="pct"/>
            <w:gridSpan w:val="2"/>
            <w:vAlign w:val="center"/>
          </w:tcPr>
          <w:p w14:paraId="4CB8E15F">
            <w:pPr>
              <w:spacing w:line="360" w:lineRule="auto"/>
              <w:jc w:val="center"/>
            </w:pPr>
            <w:r>
              <w:rPr>
                <w:rFonts w:hint="eastAsia"/>
              </w:rPr>
              <w:t>12093.73</w:t>
            </w:r>
          </w:p>
        </w:tc>
      </w:tr>
      <w:tr w14:paraId="054F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675E10AC">
            <w:pPr>
              <w:spacing w:line="360" w:lineRule="auto"/>
              <w:jc w:val="center"/>
            </w:pPr>
            <w:r>
              <w:t>专项评价设置情况</w:t>
            </w:r>
          </w:p>
        </w:tc>
        <w:tc>
          <w:tcPr>
            <w:tcW w:w="4312" w:type="pct"/>
            <w:gridSpan w:val="4"/>
            <w:vAlign w:val="center"/>
          </w:tcPr>
          <w:p w14:paraId="1399A838">
            <w:pPr>
              <w:spacing w:line="360" w:lineRule="auto"/>
              <w:ind w:firstLine="480" w:firstLineChars="200"/>
            </w:pPr>
            <w:r>
              <w:rPr>
                <w:rFonts w:hint="eastAsia"/>
              </w:rPr>
              <w:t>根据《建设项目环境影响报告表编制技术指南》（污染影响类）（试行），项目专项评价设置情况分析如下：</w:t>
            </w:r>
          </w:p>
          <w:p w14:paraId="7E33B079">
            <w:pPr>
              <w:autoSpaceDE w:val="0"/>
              <w:autoSpaceDN w:val="0"/>
              <w:spacing w:line="360" w:lineRule="auto"/>
              <w:rPr>
                <w:rFonts w:eastAsia="黑体"/>
                <w:bCs/>
              </w:rPr>
            </w:pPr>
          </w:p>
          <w:p w14:paraId="5A26811A">
            <w:pPr>
              <w:autoSpaceDE w:val="0"/>
              <w:autoSpaceDN w:val="0"/>
              <w:spacing w:line="360" w:lineRule="auto"/>
              <w:jc w:val="center"/>
              <w:rPr>
                <w:rFonts w:eastAsia="黑体"/>
                <w:bCs/>
              </w:rPr>
            </w:pPr>
            <w:r>
              <w:rPr>
                <w:rFonts w:eastAsia="黑体"/>
                <w:bCs/>
              </w:rPr>
              <w:t>表1</w:t>
            </w:r>
            <w:r>
              <w:rPr>
                <w:rFonts w:hint="eastAsia" w:eastAsia="黑体"/>
                <w:bCs/>
              </w:rPr>
              <w:t>-1</w:t>
            </w:r>
            <w:r>
              <w:rPr>
                <w:rFonts w:eastAsia="黑体"/>
                <w:bCs/>
              </w:rPr>
              <w:t>专项评价设置原则表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2688"/>
              <w:gridCol w:w="2920"/>
              <w:gridCol w:w="666"/>
            </w:tblGrid>
            <w:tr w14:paraId="39F096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655BC9B9">
                  <w:pPr>
                    <w:spacing w:line="276" w:lineRule="auto"/>
                    <w:jc w:val="center"/>
                    <w:rPr>
                      <w:sz w:val="21"/>
                      <w:szCs w:val="21"/>
                    </w:rPr>
                  </w:pPr>
                  <w:r>
                    <w:rPr>
                      <w:sz w:val="21"/>
                      <w:szCs w:val="21"/>
                    </w:rPr>
                    <w:t>专项评价类别</w:t>
                  </w:r>
                </w:p>
              </w:tc>
              <w:tc>
                <w:tcPr>
                  <w:tcW w:w="1884" w:type="pct"/>
                  <w:vAlign w:val="center"/>
                </w:tcPr>
                <w:p w14:paraId="47BE7343">
                  <w:pPr>
                    <w:spacing w:line="276" w:lineRule="auto"/>
                    <w:jc w:val="center"/>
                    <w:rPr>
                      <w:sz w:val="21"/>
                      <w:szCs w:val="21"/>
                    </w:rPr>
                  </w:pPr>
                  <w:r>
                    <w:rPr>
                      <w:sz w:val="21"/>
                      <w:szCs w:val="21"/>
                    </w:rPr>
                    <w:t>设置原则</w:t>
                  </w:r>
                </w:p>
              </w:tc>
              <w:tc>
                <w:tcPr>
                  <w:tcW w:w="2047" w:type="pct"/>
                  <w:vAlign w:val="center"/>
                </w:tcPr>
                <w:p w14:paraId="353C102C">
                  <w:pPr>
                    <w:spacing w:line="276" w:lineRule="auto"/>
                    <w:jc w:val="center"/>
                    <w:rPr>
                      <w:sz w:val="21"/>
                      <w:szCs w:val="21"/>
                    </w:rPr>
                  </w:pPr>
                  <w:r>
                    <w:rPr>
                      <w:sz w:val="21"/>
                      <w:szCs w:val="21"/>
                    </w:rPr>
                    <w:t>本项目建设情况</w:t>
                  </w:r>
                </w:p>
              </w:tc>
              <w:tc>
                <w:tcPr>
                  <w:tcW w:w="464" w:type="pct"/>
                  <w:vAlign w:val="center"/>
                </w:tcPr>
                <w:p w14:paraId="50482FA0">
                  <w:pPr>
                    <w:spacing w:line="276" w:lineRule="auto"/>
                    <w:jc w:val="center"/>
                    <w:rPr>
                      <w:sz w:val="21"/>
                      <w:szCs w:val="21"/>
                    </w:rPr>
                  </w:pPr>
                  <w:r>
                    <w:rPr>
                      <w:sz w:val="21"/>
                      <w:szCs w:val="21"/>
                    </w:rPr>
                    <w:t>设置</w:t>
                  </w:r>
                </w:p>
                <w:p w14:paraId="48291B28">
                  <w:pPr>
                    <w:spacing w:line="276" w:lineRule="auto"/>
                    <w:jc w:val="center"/>
                    <w:rPr>
                      <w:sz w:val="21"/>
                      <w:szCs w:val="21"/>
                    </w:rPr>
                  </w:pPr>
                  <w:r>
                    <w:rPr>
                      <w:sz w:val="21"/>
                      <w:szCs w:val="21"/>
                    </w:rPr>
                    <w:t>情况</w:t>
                  </w:r>
                </w:p>
              </w:tc>
            </w:tr>
            <w:tr w14:paraId="292C22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0BB0B521">
                  <w:pPr>
                    <w:spacing w:line="276" w:lineRule="auto"/>
                    <w:jc w:val="center"/>
                    <w:rPr>
                      <w:sz w:val="21"/>
                      <w:szCs w:val="21"/>
                    </w:rPr>
                  </w:pPr>
                  <w:r>
                    <w:rPr>
                      <w:sz w:val="21"/>
                      <w:szCs w:val="21"/>
                    </w:rPr>
                    <w:t>大气</w:t>
                  </w:r>
                </w:p>
              </w:tc>
              <w:tc>
                <w:tcPr>
                  <w:tcW w:w="1884" w:type="pct"/>
                  <w:vAlign w:val="center"/>
                </w:tcPr>
                <w:p w14:paraId="28155422">
                  <w:pPr>
                    <w:spacing w:line="276" w:lineRule="auto"/>
                    <w:jc w:val="center"/>
                    <w:rPr>
                      <w:sz w:val="21"/>
                      <w:szCs w:val="21"/>
                    </w:rPr>
                  </w:pPr>
                  <w:r>
                    <w:rPr>
                      <w:sz w:val="21"/>
                      <w:szCs w:val="21"/>
                    </w:rPr>
                    <w:t>排放废气含有毒有害污染物</w:t>
                  </w:r>
                  <w:r>
                    <w:rPr>
                      <w:sz w:val="21"/>
                      <w:szCs w:val="21"/>
                      <w:vertAlign w:val="superscript"/>
                    </w:rPr>
                    <w:t>1</w:t>
                  </w:r>
                  <w:r>
                    <w:rPr>
                      <w:sz w:val="21"/>
                      <w:szCs w:val="21"/>
                    </w:rPr>
                    <w:t>、二噁英、苯并[a]芘、氰化物、氯气且厂界外500米范围内有环境空气保护目标</w:t>
                  </w:r>
                  <w:r>
                    <w:rPr>
                      <w:sz w:val="21"/>
                      <w:szCs w:val="21"/>
                      <w:vertAlign w:val="superscript"/>
                    </w:rPr>
                    <w:t>2</w:t>
                  </w:r>
                  <w:r>
                    <w:rPr>
                      <w:sz w:val="21"/>
                      <w:szCs w:val="21"/>
                    </w:rPr>
                    <w:t>的建设项目</w:t>
                  </w:r>
                </w:p>
              </w:tc>
              <w:tc>
                <w:tcPr>
                  <w:tcW w:w="2047" w:type="pct"/>
                  <w:vAlign w:val="center"/>
                </w:tcPr>
                <w:p w14:paraId="68E5AE07">
                  <w:pPr>
                    <w:spacing w:line="276" w:lineRule="auto"/>
                    <w:jc w:val="center"/>
                    <w:rPr>
                      <w:sz w:val="21"/>
                      <w:szCs w:val="21"/>
                    </w:rPr>
                  </w:pPr>
                  <w:r>
                    <w:rPr>
                      <w:rFonts w:hint="eastAsia"/>
                      <w:sz w:val="21"/>
                      <w:szCs w:val="21"/>
                    </w:rPr>
                    <w:t>经分析，本项目涉及《有毒有害大气污染物名录》中规定的污染物（四氯乙烯），且周边500米范围存在环境空气保护目标，因此需设置大气专题</w:t>
                  </w:r>
                </w:p>
              </w:tc>
              <w:tc>
                <w:tcPr>
                  <w:tcW w:w="464" w:type="pct"/>
                  <w:vAlign w:val="center"/>
                </w:tcPr>
                <w:p w14:paraId="756CC160">
                  <w:pPr>
                    <w:spacing w:line="276" w:lineRule="auto"/>
                    <w:jc w:val="center"/>
                    <w:rPr>
                      <w:sz w:val="21"/>
                      <w:szCs w:val="21"/>
                    </w:rPr>
                  </w:pPr>
                  <w:r>
                    <w:rPr>
                      <w:sz w:val="21"/>
                      <w:szCs w:val="21"/>
                    </w:rPr>
                    <w:t>无</w:t>
                  </w:r>
                </w:p>
              </w:tc>
            </w:tr>
            <w:tr w14:paraId="44975E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38686FA7">
                  <w:pPr>
                    <w:spacing w:line="276" w:lineRule="auto"/>
                    <w:jc w:val="center"/>
                    <w:rPr>
                      <w:sz w:val="21"/>
                      <w:szCs w:val="21"/>
                    </w:rPr>
                  </w:pPr>
                  <w:r>
                    <w:rPr>
                      <w:sz w:val="21"/>
                      <w:szCs w:val="21"/>
                    </w:rPr>
                    <w:t>地表水</w:t>
                  </w:r>
                </w:p>
              </w:tc>
              <w:tc>
                <w:tcPr>
                  <w:tcW w:w="1884" w:type="pct"/>
                  <w:vAlign w:val="center"/>
                </w:tcPr>
                <w:p w14:paraId="5C785ECF">
                  <w:pPr>
                    <w:spacing w:line="276" w:lineRule="auto"/>
                    <w:jc w:val="center"/>
                    <w:rPr>
                      <w:sz w:val="21"/>
                      <w:szCs w:val="21"/>
                    </w:rPr>
                  </w:pPr>
                  <w:r>
                    <w:rPr>
                      <w:sz w:val="21"/>
                      <w:szCs w:val="21"/>
                    </w:rPr>
                    <w:t>新增工业废水直排建设项目（槽罐车外送污水处理厂的除外）；新增废水直排的污水集中处理厂</w:t>
                  </w:r>
                </w:p>
              </w:tc>
              <w:tc>
                <w:tcPr>
                  <w:tcW w:w="2047" w:type="pct"/>
                  <w:vAlign w:val="center"/>
                </w:tcPr>
                <w:p w14:paraId="73EFE192">
                  <w:pPr>
                    <w:spacing w:line="276" w:lineRule="auto"/>
                    <w:jc w:val="center"/>
                    <w:rPr>
                      <w:sz w:val="21"/>
                      <w:szCs w:val="21"/>
                    </w:rPr>
                  </w:pPr>
                  <w:r>
                    <w:rPr>
                      <w:rFonts w:hAnsi="宋体"/>
                      <w:bCs/>
                      <w:sz w:val="21"/>
                      <w:szCs w:val="21"/>
                    </w:rPr>
                    <w:t>本项目生活污水进入化粪池处理，经过处理的废水通过厂区污水排口，排入淮南经济技术开发区工业污水处理厂处理</w:t>
                  </w:r>
                  <w:r>
                    <w:rPr>
                      <w:rFonts w:hint="eastAsia"/>
                      <w:bCs/>
                      <w:sz w:val="21"/>
                      <w:szCs w:val="21"/>
                    </w:rPr>
                    <w:t>；项目不涉及工业废水直排</w:t>
                  </w:r>
                </w:p>
              </w:tc>
              <w:tc>
                <w:tcPr>
                  <w:tcW w:w="464" w:type="pct"/>
                  <w:vAlign w:val="center"/>
                </w:tcPr>
                <w:p w14:paraId="670F183A">
                  <w:pPr>
                    <w:spacing w:line="276" w:lineRule="auto"/>
                    <w:jc w:val="center"/>
                    <w:rPr>
                      <w:sz w:val="21"/>
                      <w:szCs w:val="21"/>
                    </w:rPr>
                  </w:pPr>
                  <w:r>
                    <w:rPr>
                      <w:sz w:val="21"/>
                      <w:szCs w:val="21"/>
                    </w:rPr>
                    <w:t>无</w:t>
                  </w:r>
                </w:p>
              </w:tc>
            </w:tr>
            <w:tr w14:paraId="4603CC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5DDA5124">
                  <w:pPr>
                    <w:spacing w:line="276" w:lineRule="auto"/>
                    <w:jc w:val="center"/>
                    <w:rPr>
                      <w:sz w:val="21"/>
                      <w:szCs w:val="21"/>
                    </w:rPr>
                  </w:pPr>
                  <w:r>
                    <w:rPr>
                      <w:sz w:val="21"/>
                      <w:szCs w:val="21"/>
                    </w:rPr>
                    <w:t>环境风险</w:t>
                  </w:r>
                </w:p>
              </w:tc>
              <w:tc>
                <w:tcPr>
                  <w:tcW w:w="1884" w:type="pct"/>
                  <w:vAlign w:val="center"/>
                </w:tcPr>
                <w:p w14:paraId="2D64B5D8">
                  <w:pPr>
                    <w:spacing w:line="276" w:lineRule="auto"/>
                    <w:jc w:val="center"/>
                    <w:rPr>
                      <w:sz w:val="21"/>
                      <w:szCs w:val="21"/>
                    </w:rPr>
                  </w:pPr>
                  <w:r>
                    <w:rPr>
                      <w:sz w:val="21"/>
                      <w:szCs w:val="21"/>
                    </w:rPr>
                    <w:t>有毒有害和易燃易爆危险物质存储量超过临界量的建设项目</w:t>
                  </w:r>
                </w:p>
              </w:tc>
              <w:tc>
                <w:tcPr>
                  <w:tcW w:w="2047" w:type="pct"/>
                  <w:vAlign w:val="center"/>
                </w:tcPr>
                <w:p w14:paraId="6E1E6038">
                  <w:pPr>
                    <w:spacing w:line="276" w:lineRule="auto"/>
                    <w:jc w:val="center"/>
                    <w:rPr>
                      <w:sz w:val="21"/>
                      <w:szCs w:val="21"/>
                    </w:rPr>
                  </w:pPr>
                  <w:r>
                    <w:rPr>
                      <w:sz w:val="21"/>
                      <w:szCs w:val="21"/>
                    </w:rPr>
                    <w:t>本项目</w:t>
                  </w:r>
                  <w:r>
                    <w:rPr>
                      <w:rFonts w:hint="eastAsia"/>
                      <w:sz w:val="21"/>
                      <w:szCs w:val="21"/>
                    </w:rPr>
                    <w:t>环境</w:t>
                  </w:r>
                  <w:r>
                    <w:rPr>
                      <w:sz w:val="21"/>
                      <w:szCs w:val="21"/>
                    </w:rPr>
                    <w:t>风险物存储量未超过临界量</w:t>
                  </w:r>
                </w:p>
              </w:tc>
              <w:tc>
                <w:tcPr>
                  <w:tcW w:w="464" w:type="pct"/>
                  <w:vAlign w:val="center"/>
                </w:tcPr>
                <w:p w14:paraId="2CF8EC22">
                  <w:pPr>
                    <w:spacing w:line="276" w:lineRule="auto"/>
                    <w:jc w:val="center"/>
                    <w:rPr>
                      <w:sz w:val="21"/>
                      <w:szCs w:val="21"/>
                    </w:rPr>
                  </w:pPr>
                  <w:r>
                    <w:rPr>
                      <w:sz w:val="21"/>
                      <w:szCs w:val="21"/>
                    </w:rPr>
                    <w:t>无</w:t>
                  </w:r>
                </w:p>
              </w:tc>
            </w:tr>
            <w:tr w14:paraId="7636DE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0851E506">
                  <w:pPr>
                    <w:spacing w:line="276" w:lineRule="auto"/>
                    <w:jc w:val="center"/>
                    <w:rPr>
                      <w:sz w:val="21"/>
                      <w:szCs w:val="21"/>
                    </w:rPr>
                  </w:pPr>
                  <w:r>
                    <w:rPr>
                      <w:sz w:val="21"/>
                      <w:szCs w:val="21"/>
                    </w:rPr>
                    <w:t>生态</w:t>
                  </w:r>
                </w:p>
              </w:tc>
              <w:tc>
                <w:tcPr>
                  <w:tcW w:w="1884" w:type="pct"/>
                  <w:vAlign w:val="center"/>
                </w:tcPr>
                <w:p w14:paraId="3F7401E8">
                  <w:pPr>
                    <w:spacing w:line="276" w:lineRule="auto"/>
                    <w:jc w:val="center"/>
                    <w:rPr>
                      <w:sz w:val="21"/>
                      <w:szCs w:val="21"/>
                    </w:rPr>
                  </w:pPr>
                  <w:r>
                    <w:rPr>
                      <w:sz w:val="21"/>
                      <w:szCs w:val="21"/>
                    </w:rPr>
                    <w:t>取水口下游500米范围内有重要水生生物的自然产卵场、索饵场、越冬场和洄游通道的新增河道取水的污染类建设项目</w:t>
                  </w:r>
                </w:p>
              </w:tc>
              <w:tc>
                <w:tcPr>
                  <w:tcW w:w="2047" w:type="pct"/>
                  <w:vAlign w:val="center"/>
                </w:tcPr>
                <w:p w14:paraId="0C1C0D40">
                  <w:pPr>
                    <w:spacing w:line="276" w:lineRule="auto"/>
                    <w:jc w:val="center"/>
                    <w:rPr>
                      <w:sz w:val="21"/>
                      <w:szCs w:val="21"/>
                    </w:rPr>
                  </w:pPr>
                  <w:r>
                    <w:rPr>
                      <w:sz w:val="21"/>
                      <w:szCs w:val="21"/>
                    </w:rPr>
                    <w:t>本项目供水来自市政供水管网，不涉及取水口</w:t>
                  </w:r>
                </w:p>
              </w:tc>
              <w:tc>
                <w:tcPr>
                  <w:tcW w:w="464" w:type="pct"/>
                  <w:vAlign w:val="center"/>
                </w:tcPr>
                <w:p w14:paraId="1BF9F895">
                  <w:pPr>
                    <w:spacing w:line="276" w:lineRule="auto"/>
                    <w:jc w:val="center"/>
                    <w:rPr>
                      <w:sz w:val="21"/>
                      <w:szCs w:val="21"/>
                    </w:rPr>
                  </w:pPr>
                  <w:r>
                    <w:rPr>
                      <w:sz w:val="21"/>
                      <w:szCs w:val="21"/>
                    </w:rPr>
                    <w:t>无</w:t>
                  </w:r>
                </w:p>
              </w:tc>
            </w:tr>
            <w:tr w14:paraId="7E8CF7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pct"/>
                  <w:vAlign w:val="center"/>
                </w:tcPr>
                <w:p w14:paraId="41212409">
                  <w:pPr>
                    <w:spacing w:line="276" w:lineRule="auto"/>
                    <w:jc w:val="center"/>
                    <w:rPr>
                      <w:sz w:val="21"/>
                      <w:szCs w:val="21"/>
                    </w:rPr>
                  </w:pPr>
                  <w:r>
                    <w:rPr>
                      <w:sz w:val="21"/>
                      <w:szCs w:val="21"/>
                    </w:rPr>
                    <w:t>海洋</w:t>
                  </w:r>
                </w:p>
              </w:tc>
              <w:tc>
                <w:tcPr>
                  <w:tcW w:w="1884" w:type="pct"/>
                  <w:vAlign w:val="center"/>
                </w:tcPr>
                <w:p w14:paraId="6979D760">
                  <w:pPr>
                    <w:spacing w:line="276" w:lineRule="auto"/>
                    <w:jc w:val="center"/>
                    <w:rPr>
                      <w:sz w:val="21"/>
                      <w:szCs w:val="21"/>
                    </w:rPr>
                  </w:pPr>
                  <w:r>
                    <w:rPr>
                      <w:sz w:val="21"/>
                      <w:szCs w:val="21"/>
                    </w:rPr>
                    <w:t>直接向海排放污染物的海洋工程建设项目</w:t>
                  </w:r>
                </w:p>
              </w:tc>
              <w:tc>
                <w:tcPr>
                  <w:tcW w:w="2047" w:type="pct"/>
                  <w:vAlign w:val="center"/>
                </w:tcPr>
                <w:p w14:paraId="055E5AFD">
                  <w:pPr>
                    <w:spacing w:line="276" w:lineRule="auto"/>
                    <w:jc w:val="center"/>
                    <w:rPr>
                      <w:sz w:val="21"/>
                      <w:szCs w:val="21"/>
                    </w:rPr>
                  </w:pPr>
                  <w:r>
                    <w:rPr>
                      <w:sz w:val="21"/>
                      <w:szCs w:val="21"/>
                    </w:rPr>
                    <w:t>本项目不涉及向海排放污染物</w:t>
                  </w:r>
                </w:p>
              </w:tc>
              <w:tc>
                <w:tcPr>
                  <w:tcW w:w="464" w:type="pct"/>
                  <w:vAlign w:val="center"/>
                </w:tcPr>
                <w:p w14:paraId="3478E2E3">
                  <w:pPr>
                    <w:spacing w:line="276" w:lineRule="auto"/>
                    <w:jc w:val="center"/>
                    <w:rPr>
                      <w:sz w:val="21"/>
                      <w:szCs w:val="21"/>
                    </w:rPr>
                  </w:pPr>
                  <w:r>
                    <w:rPr>
                      <w:sz w:val="21"/>
                      <w:szCs w:val="21"/>
                    </w:rPr>
                    <w:t>无</w:t>
                  </w:r>
                </w:p>
              </w:tc>
            </w:tr>
            <w:tr w14:paraId="5F9688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vAlign w:val="center"/>
                </w:tcPr>
                <w:p w14:paraId="7C1F30B1">
                  <w:pPr>
                    <w:spacing w:line="276" w:lineRule="auto"/>
                    <w:rPr>
                      <w:sz w:val="21"/>
                      <w:szCs w:val="21"/>
                    </w:rPr>
                  </w:pPr>
                  <w:r>
                    <w:rPr>
                      <w:sz w:val="21"/>
                      <w:szCs w:val="21"/>
                    </w:rPr>
                    <w:t>注：1.废气中有毒有害污染物指纳入《有毒有害大气污染物名录》的污染物（不包括无排放标准的污染物）。</w:t>
                  </w:r>
                </w:p>
                <w:p w14:paraId="4376EF29">
                  <w:pPr>
                    <w:spacing w:line="276" w:lineRule="auto"/>
                    <w:rPr>
                      <w:sz w:val="21"/>
                      <w:szCs w:val="21"/>
                    </w:rPr>
                  </w:pPr>
                  <w:r>
                    <w:rPr>
                      <w:sz w:val="21"/>
                      <w:szCs w:val="21"/>
                    </w:rPr>
                    <w:t>2.环境空气保护目标指自然保护区、风景名胜区、居住区、文化区和农村地区中人群较集中的区域。</w:t>
                  </w:r>
                </w:p>
                <w:p w14:paraId="38501882">
                  <w:pPr>
                    <w:spacing w:line="276" w:lineRule="auto"/>
                    <w:rPr>
                      <w:sz w:val="21"/>
                      <w:szCs w:val="21"/>
                    </w:rPr>
                  </w:pPr>
                  <w:r>
                    <w:rPr>
                      <w:sz w:val="21"/>
                      <w:szCs w:val="21"/>
                    </w:rPr>
                    <w:t>3.临界量及其计算方法可参考《建设项目环境风险评价技术导则》（HJ 169）附录B、附录C。</w:t>
                  </w:r>
                </w:p>
                <w:p w14:paraId="5C29F1C5">
                  <w:pPr>
                    <w:pStyle w:val="24"/>
                    <w:ind w:firstLine="480"/>
                    <w:jc w:val="left"/>
                    <w:rPr>
                      <w:sz w:val="21"/>
                    </w:rPr>
                  </w:pPr>
                  <w:r>
                    <w:rPr>
                      <w:rFonts w:hint="eastAsia"/>
                      <w:szCs w:val="24"/>
                    </w:rPr>
                    <w:t>根据上表可知，本项目需设置大气专项评价。</w:t>
                  </w:r>
                </w:p>
              </w:tc>
            </w:tr>
          </w:tbl>
          <w:p w14:paraId="478C523E">
            <w:pPr>
              <w:spacing w:line="360" w:lineRule="auto"/>
              <w:rPr>
                <w:sz w:val="20"/>
              </w:rPr>
            </w:pPr>
          </w:p>
        </w:tc>
      </w:tr>
      <w:tr w14:paraId="5203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754D5DBB">
            <w:pPr>
              <w:spacing w:line="360" w:lineRule="auto"/>
              <w:jc w:val="center"/>
            </w:pPr>
            <w:r>
              <w:t>规划情况</w:t>
            </w:r>
          </w:p>
        </w:tc>
        <w:tc>
          <w:tcPr>
            <w:tcW w:w="4312" w:type="pct"/>
            <w:gridSpan w:val="4"/>
          </w:tcPr>
          <w:p w14:paraId="2E372E7B">
            <w:pPr>
              <w:pStyle w:val="24"/>
              <w:ind w:firstLine="0" w:firstLineChars="0"/>
              <w:jc w:val="left"/>
              <w:rPr>
                <w:szCs w:val="24"/>
              </w:rPr>
            </w:pPr>
            <w:r>
              <w:rPr>
                <w:rFonts w:hint="eastAsia"/>
                <w:szCs w:val="24"/>
              </w:rPr>
              <w:t>1、规划名称：</w:t>
            </w:r>
            <w:r>
              <w:rPr>
                <w:rFonts w:hint="eastAsia"/>
              </w:rPr>
              <w:t>《淮南经济技术开发区总体发展规划》</w:t>
            </w:r>
          </w:p>
          <w:p w14:paraId="645BCE89">
            <w:pPr>
              <w:pStyle w:val="24"/>
              <w:ind w:firstLine="0" w:firstLineChars="0"/>
              <w:jc w:val="left"/>
            </w:pPr>
            <w:r>
              <w:rPr>
                <w:rFonts w:hint="eastAsia"/>
                <w:szCs w:val="24"/>
              </w:rPr>
              <w:t>审查机关：</w:t>
            </w:r>
            <w:r>
              <w:rPr>
                <w:rFonts w:hint="eastAsia"/>
              </w:rPr>
              <w:t>安徽省人民政府</w:t>
            </w:r>
          </w:p>
          <w:p w14:paraId="239DA2E4">
            <w:pPr>
              <w:autoSpaceDE w:val="0"/>
              <w:autoSpaceDN w:val="0"/>
              <w:spacing w:line="324" w:lineRule="auto"/>
              <w:jc w:val="left"/>
              <w:rPr>
                <w:rFonts w:hAnsi="宋体"/>
              </w:rPr>
            </w:pPr>
            <w:r>
              <w:rPr>
                <w:rFonts w:hint="eastAsia" w:hAnsi="宋体"/>
              </w:rPr>
              <w:t>2、规划名称：《淮南市东部工业区总体规划（</w:t>
            </w:r>
            <w:r>
              <w:rPr>
                <w:rFonts w:hAnsi="宋体"/>
              </w:rPr>
              <w:t>2008-2020</w:t>
            </w:r>
            <w:r>
              <w:rPr>
                <w:rFonts w:hint="eastAsia" w:hAnsi="宋体"/>
              </w:rPr>
              <w:t>）》</w:t>
            </w:r>
          </w:p>
          <w:p w14:paraId="25BAB784">
            <w:pPr>
              <w:autoSpaceDE w:val="0"/>
              <w:autoSpaceDN w:val="0"/>
              <w:spacing w:line="324" w:lineRule="auto"/>
              <w:jc w:val="left"/>
              <w:rPr>
                <w:rFonts w:hAnsi="宋体"/>
              </w:rPr>
            </w:pPr>
            <w:r>
              <w:rPr>
                <w:rFonts w:hint="eastAsia" w:hAnsi="宋体"/>
              </w:rPr>
              <w:t>审批机关：淮南市人民政府</w:t>
            </w:r>
          </w:p>
          <w:p w14:paraId="2D953FE6">
            <w:pPr>
              <w:autoSpaceDE w:val="0"/>
              <w:autoSpaceDN w:val="0"/>
              <w:spacing w:line="324" w:lineRule="auto"/>
              <w:jc w:val="left"/>
              <w:rPr>
                <w:rFonts w:hAnsi="宋体"/>
              </w:rPr>
            </w:pPr>
            <w:r>
              <w:rPr>
                <w:rFonts w:hint="eastAsia" w:hAnsi="宋体"/>
              </w:rPr>
              <w:t>审批文件及文号：《关于淮南东部工业区总体规划的批复》，淮府秘〔</w:t>
            </w:r>
            <w:r>
              <w:rPr>
                <w:rFonts w:hAnsi="宋体"/>
              </w:rPr>
              <w:t>2009</w:t>
            </w:r>
            <w:r>
              <w:rPr>
                <w:rFonts w:hint="eastAsia" w:hAnsi="宋体"/>
              </w:rPr>
              <w:t>〕</w:t>
            </w:r>
            <w:r>
              <w:rPr>
                <w:rFonts w:hAnsi="宋体"/>
              </w:rPr>
              <w:t>118</w:t>
            </w:r>
            <w:r>
              <w:rPr>
                <w:rFonts w:hint="eastAsia" w:hAnsi="宋体"/>
              </w:rPr>
              <w:t>号</w:t>
            </w:r>
          </w:p>
        </w:tc>
      </w:tr>
      <w:tr w14:paraId="355C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681854E2">
            <w:pPr>
              <w:spacing w:line="360" w:lineRule="auto"/>
              <w:jc w:val="center"/>
            </w:pPr>
            <w:r>
              <w:t>规划环境影响评价情况</w:t>
            </w:r>
          </w:p>
        </w:tc>
        <w:tc>
          <w:tcPr>
            <w:tcW w:w="4312" w:type="pct"/>
            <w:gridSpan w:val="4"/>
            <w:vAlign w:val="center"/>
          </w:tcPr>
          <w:p w14:paraId="29CEBC7B">
            <w:pPr>
              <w:spacing w:line="360" w:lineRule="auto"/>
            </w:pPr>
            <w:r>
              <w:rPr>
                <w:rFonts w:hint="eastAsia"/>
              </w:rPr>
              <w:t>1、规划环境影响评价文件：《淮南市东部工业园区总体规划环境影响报告书》；</w:t>
            </w:r>
          </w:p>
          <w:p w14:paraId="6D0FADCA">
            <w:pPr>
              <w:spacing w:line="360" w:lineRule="auto"/>
            </w:pPr>
            <w:r>
              <w:rPr>
                <w:rFonts w:hint="eastAsia"/>
              </w:rPr>
              <w:t>召集审查机关：淮南市生态环境局</w:t>
            </w:r>
          </w:p>
          <w:p w14:paraId="20289F1A">
            <w:pPr>
              <w:spacing w:line="360" w:lineRule="auto"/>
            </w:pPr>
            <w:r>
              <w:rPr>
                <w:rFonts w:hint="eastAsia"/>
              </w:rPr>
              <w:t>审批文件名称：《关于淮南市东部工业园区总体规划环境影响报告书的审查意见函》（淮环函〔2010〕130号），</w:t>
            </w:r>
            <w:r>
              <w:t>2010</w:t>
            </w:r>
            <w:r>
              <w:rPr>
                <w:rFonts w:hint="eastAsia"/>
              </w:rPr>
              <w:t>年</w:t>
            </w:r>
            <w:r>
              <w:t>6</w:t>
            </w:r>
            <w:r>
              <w:rPr>
                <w:rFonts w:hint="eastAsia"/>
              </w:rPr>
              <w:t>月</w:t>
            </w:r>
            <w:r>
              <w:t>17</w:t>
            </w:r>
            <w:r>
              <w:rPr>
                <w:rFonts w:hint="eastAsia"/>
              </w:rPr>
              <w:t>日；</w:t>
            </w:r>
          </w:p>
          <w:p w14:paraId="1BCFFF71">
            <w:pPr>
              <w:spacing w:line="360" w:lineRule="auto"/>
            </w:pPr>
            <w:r>
              <w:rPr>
                <w:rFonts w:hint="eastAsia"/>
              </w:rPr>
              <w:t>2、规划跟踪评价名称：《淮南经济技术开发区总体发展规划环境影响跟踪评价报告书》；</w:t>
            </w:r>
          </w:p>
          <w:p w14:paraId="52A1B4AF">
            <w:pPr>
              <w:spacing w:line="360" w:lineRule="auto"/>
            </w:pPr>
            <w:r>
              <w:rPr>
                <w:rFonts w:hint="eastAsia"/>
              </w:rPr>
              <w:t>召集审查机关：安徽省生态环境厅</w:t>
            </w:r>
          </w:p>
          <w:p w14:paraId="40CE415E">
            <w:pPr>
              <w:spacing w:line="360" w:lineRule="auto"/>
              <w:jc w:val="left"/>
            </w:pPr>
            <w:r>
              <w:rPr>
                <w:rFonts w:hint="eastAsia"/>
              </w:rPr>
              <w:t>审批文件名称：安徽省生态环境厅关于印发《淮南经济技术开发区总体发展规划环境影响跟踪评价报告书审核意见》的函（皖环函〔</w:t>
            </w:r>
            <w:r>
              <w:t>2020</w:t>
            </w:r>
            <w:r>
              <w:rPr>
                <w:rFonts w:hint="eastAsia"/>
              </w:rPr>
              <w:t>〕</w:t>
            </w:r>
            <w:r>
              <w:t>411</w:t>
            </w:r>
            <w:r>
              <w:rPr>
                <w:rFonts w:hint="eastAsia"/>
              </w:rPr>
              <w:t>号）</w:t>
            </w:r>
          </w:p>
        </w:tc>
      </w:tr>
      <w:tr w14:paraId="6631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pct"/>
            <w:vAlign w:val="center"/>
          </w:tcPr>
          <w:p w14:paraId="09833468">
            <w:pPr>
              <w:spacing w:line="360" w:lineRule="auto"/>
              <w:jc w:val="center"/>
            </w:pPr>
            <w:r>
              <w:t>规划及规划环境影响评价符合性分析</w:t>
            </w:r>
          </w:p>
        </w:tc>
        <w:tc>
          <w:tcPr>
            <w:tcW w:w="4312" w:type="pct"/>
            <w:gridSpan w:val="4"/>
            <w:vAlign w:val="center"/>
          </w:tcPr>
          <w:p w14:paraId="2A8D3739">
            <w:pPr>
              <w:spacing w:line="360" w:lineRule="auto"/>
              <w:ind w:firstLine="482" w:firstLineChars="200"/>
              <w:rPr>
                <w:b/>
                <w:bCs/>
              </w:rPr>
            </w:pPr>
            <w:r>
              <w:rPr>
                <w:rFonts w:hint="eastAsia"/>
                <w:b/>
                <w:bCs/>
              </w:rPr>
              <w:t>1、与</w:t>
            </w:r>
            <w:bookmarkStart w:id="1" w:name="OLE_LINK27"/>
            <w:bookmarkStart w:id="2" w:name="OLE_LINK26"/>
            <w:r>
              <w:rPr>
                <w:rFonts w:hint="eastAsia"/>
                <w:b/>
                <w:bCs/>
              </w:rPr>
              <w:t>《淮南经济技术开发区总体发展规划》《</w:t>
            </w:r>
            <w:bookmarkEnd w:id="1"/>
            <w:bookmarkEnd w:id="2"/>
            <w:r>
              <w:rPr>
                <w:rFonts w:hint="eastAsia"/>
                <w:b/>
                <w:bCs/>
              </w:rPr>
              <w:t>淮南市东部工业区总体规划（2008-2020）》符合性分析</w:t>
            </w:r>
          </w:p>
          <w:p w14:paraId="62223D1C">
            <w:pPr>
              <w:spacing w:line="360" w:lineRule="auto"/>
              <w:ind w:firstLine="480" w:firstLineChars="200"/>
            </w:pPr>
            <w:r>
              <w:t>1995</w:t>
            </w:r>
            <w:r>
              <w:rPr>
                <w:rFonts w:hint="eastAsia"/>
              </w:rPr>
              <w:t>年</w:t>
            </w:r>
            <w:r>
              <w:t>5</w:t>
            </w:r>
            <w:r>
              <w:rPr>
                <w:rFonts w:hint="eastAsia"/>
              </w:rPr>
              <w:t>月</w:t>
            </w:r>
            <w:r>
              <w:t>5</w:t>
            </w:r>
            <w:r>
              <w:rPr>
                <w:rFonts w:hint="eastAsia"/>
              </w:rPr>
              <w:t>日，安徽省人民政府批复（皖政秘〔</w:t>
            </w:r>
            <w:r>
              <w:t>1995</w:t>
            </w:r>
            <w:r>
              <w:rPr>
                <w:rFonts w:hint="eastAsia"/>
              </w:rPr>
              <w:t>〕</w:t>
            </w:r>
            <w:r>
              <w:t>88</w:t>
            </w:r>
            <w:r>
              <w:rPr>
                <w:rFonts w:hint="eastAsia"/>
              </w:rPr>
              <w:t>号）了淮南经济技术开发区总体规划，批准规划面积为</w:t>
            </w:r>
            <w:r>
              <w:t>4.29km</w:t>
            </w:r>
            <w:r>
              <w:rPr>
                <w:vertAlign w:val="superscript"/>
              </w:rPr>
              <w:t>2</w:t>
            </w:r>
            <w:r>
              <w:rPr>
                <w:rFonts w:hint="eastAsia"/>
              </w:rPr>
              <w:t>，其中第一期开发建设面积为</w:t>
            </w:r>
            <w:r>
              <w:t>2km</w:t>
            </w:r>
            <w:r>
              <w:rPr>
                <w:vertAlign w:val="superscript"/>
              </w:rPr>
              <w:t>2</w:t>
            </w:r>
            <w:r>
              <w:rPr>
                <w:rFonts w:hint="eastAsia"/>
              </w:rPr>
              <w:t>。四至范围为：东至中兴路，南至合阜铁路，西至建兴路—国庆东路—建设路，北至电厂路。主导产业为</w:t>
            </w:r>
            <w:r>
              <w:rPr>
                <w:rFonts w:ascii="宋体" w:hAnsi="宋体"/>
              </w:rPr>
              <w:t>“</w:t>
            </w:r>
            <w:r>
              <w:rPr>
                <w:rFonts w:hint="eastAsia" w:ascii="宋体" w:hAnsi="宋体"/>
              </w:rPr>
              <w:t>专用设备、医药</w:t>
            </w:r>
            <w:r>
              <w:rPr>
                <w:rFonts w:ascii="宋体" w:hAnsi="宋体"/>
              </w:rPr>
              <w:t>”</w:t>
            </w:r>
            <w:r>
              <w:rPr>
                <w:rFonts w:hint="eastAsia"/>
              </w:rPr>
              <w:t>。</w:t>
            </w:r>
          </w:p>
          <w:p w14:paraId="2AF059CC">
            <w:pPr>
              <w:spacing w:line="360" w:lineRule="auto"/>
              <w:ind w:firstLine="480" w:firstLineChars="200"/>
            </w:pPr>
            <w:r>
              <w:t>2008</w:t>
            </w:r>
            <w:r>
              <w:rPr>
                <w:rFonts w:hint="eastAsia"/>
              </w:rPr>
              <w:t>年，淮南市人民政府委托编制完成《淮南市东部工业区总体规划（</w:t>
            </w:r>
            <w:r>
              <w:t>2008-2020</w:t>
            </w:r>
            <w:r>
              <w:rPr>
                <w:rFonts w:hint="eastAsia"/>
              </w:rPr>
              <w:t>）》，规划范围为：南至合徐高速公路淮南连接线、西至田大路、东至洛九路、北至电厂路，规划面积</w:t>
            </w:r>
            <w:r>
              <w:t>20km</w:t>
            </w:r>
            <w:r>
              <w:rPr>
                <w:vertAlign w:val="superscript"/>
              </w:rPr>
              <w:t>2</w:t>
            </w:r>
            <w:r>
              <w:rPr>
                <w:rFonts w:hint="eastAsia"/>
              </w:rPr>
              <w:t>，规划主导产业为</w:t>
            </w:r>
            <w:r>
              <w:rPr>
                <w:rFonts w:ascii="宋体" w:hAnsi="宋体"/>
              </w:rPr>
              <w:t>“</w:t>
            </w:r>
            <w:r>
              <w:rPr>
                <w:rFonts w:hint="eastAsia" w:ascii="宋体" w:hAnsi="宋体"/>
              </w:rPr>
              <w:t>生物医药、纺织服装、化学工业、机械电子与新型材料、食品加工、商贸流通</w:t>
            </w:r>
            <w:r>
              <w:rPr>
                <w:rFonts w:ascii="宋体" w:hAnsi="宋体"/>
              </w:rPr>
              <w:t>”</w:t>
            </w:r>
            <w:r>
              <w:rPr>
                <w:rFonts w:hint="eastAsia"/>
              </w:rPr>
              <w:t>。</w:t>
            </w:r>
          </w:p>
          <w:p w14:paraId="62B38D4B">
            <w:pPr>
              <w:spacing w:line="360" w:lineRule="auto"/>
              <w:ind w:firstLine="480" w:firstLineChars="200"/>
            </w:pPr>
            <w:r>
              <w:t>2011</w:t>
            </w:r>
            <w:r>
              <w:rPr>
                <w:rFonts w:hint="eastAsia"/>
              </w:rPr>
              <w:t>年</w:t>
            </w:r>
            <w:r>
              <w:t>7</w:t>
            </w:r>
            <w:r>
              <w:rPr>
                <w:rFonts w:hint="eastAsia"/>
              </w:rPr>
              <w:t>月</w:t>
            </w:r>
            <w:r>
              <w:t>24</w:t>
            </w:r>
            <w:r>
              <w:rPr>
                <w:rFonts w:hint="eastAsia"/>
              </w:rPr>
              <w:t>日，安徽省人民政府批准《关于同意安徽淮南经济技术开发区扩区的批复》（皖政秘〔</w:t>
            </w:r>
            <w:r>
              <w:t>2011</w:t>
            </w:r>
            <w:r>
              <w:rPr>
                <w:rFonts w:hint="eastAsia"/>
              </w:rPr>
              <w:t>〕</w:t>
            </w:r>
            <w:r>
              <w:t>252</w:t>
            </w:r>
            <w:r>
              <w:rPr>
                <w:rFonts w:hint="eastAsia"/>
              </w:rPr>
              <w:t>号），扩区后淮南经济技术开发区总体规划面积为</w:t>
            </w:r>
            <w:r>
              <w:t>20</w:t>
            </w:r>
            <w:r>
              <w:rPr>
                <w:rFonts w:hint="eastAsia"/>
              </w:rPr>
              <w:t>平方公里，规划范围为：东至</w:t>
            </w:r>
            <w:r>
              <w:t>206</w:t>
            </w:r>
            <w:r>
              <w:rPr>
                <w:rFonts w:hint="eastAsia"/>
              </w:rPr>
              <w:t>国道（洛九路），南至合徐高速淮南连接线公路，西至田大路，北至电厂路。扩区后淮南经济技术开发区与淮南东部工业区规划用地范围完全一致，</w:t>
            </w:r>
            <w:r>
              <w:rPr>
                <w:rFonts w:hint="eastAsia"/>
                <w:b/>
              </w:rPr>
              <w:t>淮南东部工业区即安徽淮南经济技术开发区</w:t>
            </w:r>
            <w:r>
              <w:rPr>
                <w:rFonts w:hint="eastAsia"/>
              </w:rPr>
              <w:t>。四至范围：南至合徐高速公路淮南连接线、西至田大路、东至洛九路、北至电厂路，总面积为</w:t>
            </w:r>
            <w:r>
              <w:t>20</w:t>
            </w:r>
            <w:r>
              <w:rPr>
                <w:rFonts w:hint="eastAsia"/>
              </w:rPr>
              <w:t>平方公里。</w:t>
            </w:r>
          </w:p>
          <w:p w14:paraId="114313B3">
            <w:pPr>
              <w:spacing w:line="360" w:lineRule="auto"/>
              <w:ind w:firstLine="480" w:firstLineChars="200"/>
              <w:rPr>
                <w:bCs/>
              </w:rPr>
            </w:pPr>
            <w:r>
              <w:rPr>
                <w:rFonts w:hint="eastAsia"/>
                <w:bCs/>
              </w:rPr>
              <w:t>（1）用地规划</w:t>
            </w:r>
          </w:p>
          <w:p w14:paraId="14EF382C">
            <w:pPr>
              <w:spacing w:line="360" w:lineRule="auto"/>
              <w:ind w:firstLine="480" w:firstLineChars="200"/>
              <w:rPr>
                <w:bCs/>
              </w:rPr>
            </w:pPr>
            <w:r>
              <w:rPr>
                <w:bCs/>
              </w:rPr>
              <w:t>本项目位于</w:t>
            </w:r>
            <w:r>
              <w:rPr>
                <w:rFonts w:hint="eastAsia"/>
              </w:rPr>
              <w:t>安微省淮南市淮南经济技术开发区东部工业区绿色智造产业园6#厂房</w:t>
            </w:r>
            <w:r>
              <w:rPr>
                <w:bCs/>
              </w:rPr>
              <w:t>，</w:t>
            </w:r>
            <w:r>
              <w:rPr>
                <w:rFonts w:hint="eastAsia"/>
                <w:bCs/>
              </w:rPr>
              <w:t>根据</w:t>
            </w:r>
            <w:r>
              <w:rPr>
                <w:rFonts w:hint="eastAsia"/>
              </w:rPr>
              <w:t>《淮南经济技术开发区总体发展规划》</w:t>
            </w:r>
            <w:r>
              <w:rPr>
                <w:rFonts w:hint="eastAsia"/>
                <w:bCs/>
              </w:rPr>
              <w:t>用地规划图可知，项目用地性质为工业用地，符合开发区用地规划要求，项目选址和《</w:t>
            </w:r>
            <w:r>
              <w:rPr>
                <w:rFonts w:hint="eastAsia"/>
              </w:rPr>
              <w:t>《淮南经济技术开发区总体发展规划》</w:t>
            </w:r>
            <w:r>
              <w:rPr>
                <w:rFonts w:hint="eastAsia"/>
                <w:bCs/>
              </w:rPr>
              <w:t>用地规划图的位置关系见附图5。</w:t>
            </w:r>
          </w:p>
          <w:p w14:paraId="3B95E1ED">
            <w:pPr>
              <w:spacing w:line="360" w:lineRule="auto"/>
              <w:ind w:firstLine="480" w:firstLineChars="200"/>
              <w:rPr>
                <w:bCs/>
              </w:rPr>
            </w:pPr>
            <w:r>
              <w:rPr>
                <w:bCs/>
              </w:rPr>
              <w:t>（2）</w:t>
            </w:r>
            <w:r>
              <w:rPr>
                <w:rFonts w:hint="eastAsia"/>
                <w:bCs/>
              </w:rPr>
              <w:t>产业规划</w:t>
            </w:r>
          </w:p>
          <w:p w14:paraId="59CBF762">
            <w:pPr>
              <w:spacing w:line="360" w:lineRule="auto"/>
              <w:ind w:firstLine="480" w:firstLineChars="200"/>
              <w:rPr>
                <w:b/>
                <w:bCs/>
              </w:rPr>
            </w:pPr>
            <w:r>
              <w:rPr>
                <w:bCs/>
              </w:rPr>
              <w:t>行业类别属于</w:t>
            </w:r>
            <w:r>
              <w:t>C</w:t>
            </w:r>
            <w:r>
              <w:rPr>
                <w:rFonts w:hint="eastAsia"/>
              </w:rPr>
              <w:t>3670 汽车零部件及配件制造</w:t>
            </w:r>
            <w:r>
              <w:rPr>
                <w:bCs/>
              </w:rPr>
              <w:t>；根据</w:t>
            </w:r>
            <w:r>
              <w:rPr>
                <w:rFonts w:hint="eastAsia"/>
              </w:rPr>
              <w:t>《淮南经济技术开发区总体发展规划》</w:t>
            </w:r>
            <w:r>
              <w:rPr>
                <w:bCs/>
              </w:rPr>
              <w:t>，</w:t>
            </w:r>
            <w:r>
              <w:rPr>
                <w:rFonts w:hint="eastAsia"/>
              </w:rPr>
              <w:t>淮南经济技术开发区</w:t>
            </w:r>
            <w:r>
              <w:rPr>
                <w:bCs/>
              </w:rPr>
              <w:t>以</w:t>
            </w:r>
            <w:r>
              <w:rPr>
                <w:rFonts w:hint="eastAsia" w:ascii="宋体" w:hAnsi="宋体"/>
              </w:rPr>
              <w:t>生物医药、纺织服装、化学工业、机械电子与新型材料、食品加工、商贸流通</w:t>
            </w:r>
            <w:r>
              <w:t>等为主导产业</w:t>
            </w:r>
            <w:r>
              <w:rPr>
                <w:rFonts w:hint="eastAsia"/>
              </w:rPr>
              <w:t>。</w:t>
            </w:r>
            <w:r>
              <w:rPr>
                <w:bCs/>
              </w:rPr>
              <w:t>本项目属于</w:t>
            </w:r>
            <w:r>
              <w:rPr>
                <w:rFonts w:hint="eastAsia" w:ascii="宋体" w:hAnsi="宋体"/>
              </w:rPr>
              <w:t>汽车制造业</w:t>
            </w:r>
            <w:r>
              <w:rPr>
                <w:rFonts w:hint="eastAsia"/>
                <w:bCs/>
              </w:rPr>
              <w:t>，不属于禁止或淘汰类的项目，视为允许建设项目。</w:t>
            </w:r>
          </w:p>
          <w:p w14:paraId="50E278DC">
            <w:pPr>
              <w:spacing w:line="360" w:lineRule="auto"/>
              <w:jc w:val="center"/>
              <w:rPr>
                <w:rFonts w:hAnsi="黑体" w:eastAsia="黑体"/>
                <w:bCs/>
              </w:rPr>
            </w:pPr>
            <w:r>
              <w:rPr>
                <w:rFonts w:hAnsi="黑体" w:eastAsia="黑体"/>
                <w:bCs/>
              </w:rPr>
              <w:t>表</w:t>
            </w:r>
            <w:r>
              <w:rPr>
                <w:rFonts w:eastAsia="黑体"/>
                <w:bCs/>
              </w:rPr>
              <w:t>1-</w:t>
            </w:r>
            <w:r>
              <w:rPr>
                <w:rFonts w:hint="eastAsia" w:eastAsia="黑体"/>
                <w:bCs/>
              </w:rPr>
              <w:t xml:space="preserve">2  </w:t>
            </w:r>
            <w:r>
              <w:rPr>
                <w:rFonts w:hint="eastAsia" w:hAnsi="黑体" w:eastAsia="黑体"/>
                <w:bCs/>
              </w:rPr>
              <w:t>本项目与负面清单符合性分析</w:t>
            </w:r>
          </w:p>
          <w:tbl>
            <w:tblPr>
              <w:tblStyle w:val="16"/>
              <w:tblW w:w="4993" w:type="pct"/>
              <w:tblInd w:w="0" w:type="dxa"/>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449"/>
              <w:gridCol w:w="490"/>
              <w:gridCol w:w="2701"/>
              <w:gridCol w:w="2607"/>
              <w:gridCol w:w="846"/>
            </w:tblGrid>
            <w:tr w14:paraId="64DEB8D3">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top w:val="single" w:color="auto" w:sz="12" w:space="0"/>
                    <w:left w:val="nil"/>
                  </w:tcBorders>
                  <w:vAlign w:val="center"/>
                </w:tcPr>
                <w:p w14:paraId="174044F1">
                  <w:pPr>
                    <w:spacing w:line="276" w:lineRule="auto"/>
                    <w:jc w:val="center"/>
                    <w:rPr>
                      <w:b/>
                      <w:bCs/>
                      <w:sz w:val="21"/>
                      <w:szCs w:val="21"/>
                    </w:rPr>
                  </w:pPr>
                  <w:r>
                    <w:rPr>
                      <w:rFonts w:hint="eastAsia"/>
                      <w:b/>
                      <w:bCs/>
                      <w:sz w:val="21"/>
                      <w:szCs w:val="21"/>
                    </w:rPr>
                    <w:t>序号</w:t>
                  </w:r>
                </w:p>
              </w:tc>
              <w:tc>
                <w:tcPr>
                  <w:tcW w:w="345" w:type="pct"/>
                  <w:tcBorders>
                    <w:top w:val="single" w:color="auto" w:sz="12" w:space="0"/>
                  </w:tcBorders>
                  <w:vAlign w:val="center"/>
                </w:tcPr>
                <w:p w14:paraId="4CC57648">
                  <w:pPr>
                    <w:spacing w:line="276" w:lineRule="auto"/>
                    <w:jc w:val="center"/>
                    <w:rPr>
                      <w:b/>
                      <w:bCs/>
                      <w:sz w:val="21"/>
                      <w:szCs w:val="21"/>
                    </w:rPr>
                  </w:pPr>
                  <w:r>
                    <w:rPr>
                      <w:rFonts w:hint="eastAsia"/>
                      <w:b/>
                      <w:bCs/>
                      <w:sz w:val="21"/>
                      <w:szCs w:val="21"/>
                    </w:rPr>
                    <w:t>类型</w:t>
                  </w:r>
                </w:p>
              </w:tc>
              <w:tc>
                <w:tcPr>
                  <w:tcW w:w="1903" w:type="pct"/>
                  <w:tcBorders>
                    <w:top w:val="single" w:color="auto" w:sz="12" w:space="0"/>
                  </w:tcBorders>
                  <w:vAlign w:val="center"/>
                </w:tcPr>
                <w:p w14:paraId="2D8FA2D3">
                  <w:pPr>
                    <w:spacing w:line="276" w:lineRule="auto"/>
                    <w:jc w:val="center"/>
                    <w:rPr>
                      <w:b/>
                      <w:bCs/>
                      <w:sz w:val="21"/>
                      <w:szCs w:val="21"/>
                    </w:rPr>
                  </w:pPr>
                  <w:r>
                    <w:rPr>
                      <w:rFonts w:hint="eastAsia"/>
                      <w:b/>
                      <w:bCs/>
                      <w:sz w:val="21"/>
                      <w:szCs w:val="21"/>
                    </w:rPr>
                    <w:t>负面清单要求</w:t>
                  </w:r>
                </w:p>
              </w:tc>
              <w:tc>
                <w:tcPr>
                  <w:tcW w:w="1837" w:type="pct"/>
                  <w:tcBorders>
                    <w:top w:val="single" w:color="auto" w:sz="12" w:space="0"/>
                    <w:right w:val="single" w:color="auto" w:sz="6" w:space="0"/>
                  </w:tcBorders>
                  <w:vAlign w:val="center"/>
                </w:tcPr>
                <w:p w14:paraId="521DC712">
                  <w:pPr>
                    <w:spacing w:line="276" w:lineRule="auto"/>
                    <w:jc w:val="center"/>
                    <w:rPr>
                      <w:b/>
                      <w:bCs/>
                      <w:sz w:val="21"/>
                      <w:szCs w:val="21"/>
                    </w:rPr>
                  </w:pPr>
                  <w:r>
                    <w:rPr>
                      <w:rFonts w:hint="eastAsia"/>
                      <w:b/>
                      <w:bCs/>
                      <w:sz w:val="21"/>
                      <w:szCs w:val="21"/>
                    </w:rPr>
                    <w:t>本项目情况</w:t>
                  </w:r>
                </w:p>
              </w:tc>
              <w:tc>
                <w:tcPr>
                  <w:tcW w:w="596" w:type="pct"/>
                  <w:tcBorders>
                    <w:top w:val="single" w:color="auto" w:sz="12" w:space="0"/>
                    <w:left w:val="single" w:color="auto" w:sz="6" w:space="0"/>
                    <w:right w:val="nil"/>
                  </w:tcBorders>
                  <w:vAlign w:val="center"/>
                </w:tcPr>
                <w:p w14:paraId="6DECAE47">
                  <w:pPr>
                    <w:spacing w:line="276" w:lineRule="auto"/>
                    <w:jc w:val="center"/>
                    <w:rPr>
                      <w:b/>
                      <w:bCs/>
                      <w:sz w:val="21"/>
                      <w:szCs w:val="21"/>
                    </w:rPr>
                  </w:pPr>
                  <w:r>
                    <w:rPr>
                      <w:rFonts w:hint="eastAsia"/>
                      <w:b/>
                      <w:bCs/>
                      <w:sz w:val="21"/>
                      <w:szCs w:val="21"/>
                    </w:rPr>
                    <w:t>相符性</w:t>
                  </w:r>
                </w:p>
              </w:tc>
            </w:tr>
            <w:tr w14:paraId="26D61E05">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2A7AADCA">
                  <w:pPr>
                    <w:spacing w:line="276" w:lineRule="auto"/>
                    <w:jc w:val="center"/>
                    <w:rPr>
                      <w:sz w:val="21"/>
                      <w:szCs w:val="21"/>
                    </w:rPr>
                  </w:pPr>
                  <w:r>
                    <w:rPr>
                      <w:rFonts w:hint="eastAsia"/>
                      <w:sz w:val="21"/>
                      <w:szCs w:val="21"/>
                    </w:rPr>
                    <w:t>1</w:t>
                  </w:r>
                </w:p>
              </w:tc>
              <w:tc>
                <w:tcPr>
                  <w:tcW w:w="345" w:type="pct"/>
                  <w:vMerge w:val="restart"/>
                  <w:vAlign w:val="center"/>
                </w:tcPr>
                <w:p w14:paraId="255550C1">
                  <w:pPr>
                    <w:spacing w:line="276" w:lineRule="auto"/>
                    <w:jc w:val="center"/>
                    <w:rPr>
                      <w:sz w:val="21"/>
                      <w:szCs w:val="21"/>
                    </w:rPr>
                  </w:pPr>
                  <w:r>
                    <w:rPr>
                      <w:rFonts w:hint="eastAsia"/>
                      <w:sz w:val="21"/>
                      <w:szCs w:val="21"/>
                    </w:rPr>
                    <w:t>产业导向</w:t>
                  </w:r>
                </w:p>
              </w:tc>
              <w:tc>
                <w:tcPr>
                  <w:tcW w:w="1903" w:type="pct"/>
                  <w:vAlign w:val="center"/>
                </w:tcPr>
                <w:p w14:paraId="3FCBA057">
                  <w:pPr>
                    <w:spacing w:line="276" w:lineRule="auto"/>
                    <w:jc w:val="center"/>
                    <w:rPr>
                      <w:sz w:val="21"/>
                      <w:szCs w:val="21"/>
                    </w:rPr>
                  </w:pPr>
                  <w:r>
                    <w:rPr>
                      <w:rFonts w:hint="eastAsia"/>
                      <w:sz w:val="21"/>
                      <w:szCs w:val="21"/>
                    </w:rPr>
                    <w:t>禁止引入国家明令禁止建设或投资的、列入《产业结构调整指导目录（</w:t>
                  </w:r>
                  <w:r>
                    <w:rPr>
                      <w:sz w:val="21"/>
                      <w:szCs w:val="21"/>
                    </w:rPr>
                    <w:t>2019</w:t>
                  </w:r>
                  <w:r>
                    <w:rPr>
                      <w:rFonts w:hint="eastAsia"/>
                      <w:sz w:val="21"/>
                      <w:szCs w:val="21"/>
                    </w:rPr>
                    <w:t>年本）》、《外商投资产业指导目录（</w:t>
                  </w:r>
                  <w:r>
                    <w:rPr>
                      <w:sz w:val="21"/>
                      <w:szCs w:val="21"/>
                    </w:rPr>
                    <w:t>2017</w:t>
                  </w:r>
                  <w:r>
                    <w:rPr>
                      <w:rFonts w:hint="eastAsia"/>
                      <w:sz w:val="21"/>
                      <w:szCs w:val="21"/>
                    </w:rPr>
                    <w:t>年修订）》、《市场准入负面清单（</w:t>
                  </w:r>
                  <w:r>
                    <w:rPr>
                      <w:sz w:val="21"/>
                      <w:szCs w:val="21"/>
                    </w:rPr>
                    <w:t>2019</w:t>
                  </w:r>
                  <w:r>
                    <w:rPr>
                      <w:rFonts w:hint="eastAsia"/>
                      <w:sz w:val="21"/>
                      <w:szCs w:val="21"/>
                    </w:rPr>
                    <w:t>年版）》等相关产业政策中禁止或淘汰类的项目</w:t>
                  </w:r>
                </w:p>
              </w:tc>
              <w:tc>
                <w:tcPr>
                  <w:tcW w:w="1837" w:type="pct"/>
                  <w:vAlign w:val="center"/>
                </w:tcPr>
                <w:p w14:paraId="67629BC0">
                  <w:pPr>
                    <w:spacing w:line="276" w:lineRule="auto"/>
                    <w:jc w:val="center"/>
                    <w:rPr>
                      <w:sz w:val="21"/>
                      <w:szCs w:val="21"/>
                    </w:rPr>
                  </w:pPr>
                  <w:r>
                    <w:rPr>
                      <w:rFonts w:hint="eastAsia"/>
                      <w:sz w:val="21"/>
                      <w:szCs w:val="21"/>
                    </w:rPr>
                    <w:t>本项目为</w:t>
                  </w:r>
                  <w:r>
                    <w:rPr>
                      <w:sz w:val="21"/>
                      <w:szCs w:val="21"/>
                    </w:rPr>
                    <w:t>C</w:t>
                  </w:r>
                  <w:r>
                    <w:rPr>
                      <w:rFonts w:hint="eastAsia"/>
                      <w:sz w:val="21"/>
                      <w:szCs w:val="21"/>
                    </w:rPr>
                    <w:t>3670 汽车零部件及配件制造，</w:t>
                  </w:r>
                  <w:r>
                    <w:rPr>
                      <w:rFonts w:hint="eastAsia"/>
                      <w:bCs/>
                      <w:sz w:val="21"/>
                      <w:szCs w:val="21"/>
                    </w:rPr>
                    <w:t>对照《产业结构调整指导目录（2024年本）》、《外商投资产业指导目录（</w:t>
                  </w:r>
                  <w:r>
                    <w:rPr>
                      <w:bCs/>
                      <w:sz w:val="21"/>
                      <w:szCs w:val="21"/>
                    </w:rPr>
                    <w:t>2017</w:t>
                  </w:r>
                  <w:r>
                    <w:rPr>
                      <w:rFonts w:hint="eastAsia"/>
                      <w:bCs/>
                      <w:sz w:val="21"/>
                      <w:szCs w:val="21"/>
                    </w:rPr>
                    <w:t>年修订）》、《市场准入负面清单（</w:t>
                  </w:r>
                  <w:r>
                    <w:rPr>
                      <w:bCs/>
                      <w:sz w:val="21"/>
                      <w:szCs w:val="21"/>
                    </w:rPr>
                    <w:t>202</w:t>
                  </w:r>
                  <w:r>
                    <w:rPr>
                      <w:rFonts w:hint="eastAsia"/>
                      <w:bCs/>
                      <w:sz w:val="21"/>
                      <w:szCs w:val="21"/>
                    </w:rPr>
                    <w:t>2年版）》，不属于禁止或淘汰类的项目，视为允许建设项目</w:t>
                  </w:r>
                </w:p>
              </w:tc>
              <w:tc>
                <w:tcPr>
                  <w:tcW w:w="596" w:type="pct"/>
                  <w:tcBorders>
                    <w:right w:val="nil"/>
                  </w:tcBorders>
                  <w:vAlign w:val="center"/>
                </w:tcPr>
                <w:p w14:paraId="1FC72BDC">
                  <w:pPr>
                    <w:spacing w:line="276" w:lineRule="auto"/>
                    <w:jc w:val="center"/>
                    <w:rPr>
                      <w:sz w:val="21"/>
                      <w:szCs w:val="21"/>
                    </w:rPr>
                  </w:pPr>
                  <w:r>
                    <w:rPr>
                      <w:rFonts w:hint="eastAsia"/>
                      <w:sz w:val="21"/>
                      <w:szCs w:val="21"/>
                    </w:rPr>
                    <w:t>符合</w:t>
                  </w:r>
                </w:p>
              </w:tc>
            </w:tr>
            <w:tr w14:paraId="4D15B237">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1032A282">
                  <w:pPr>
                    <w:spacing w:line="276" w:lineRule="auto"/>
                    <w:jc w:val="center"/>
                    <w:rPr>
                      <w:sz w:val="21"/>
                      <w:szCs w:val="21"/>
                    </w:rPr>
                  </w:pPr>
                  <w:r>
                    <w:rPr>
                      <w:rFonts w:hint="eastAsia"/>
                      <w:sz w:val="21"/>
                      <w:szCs w:val="21"/>
                    </w:rPr>
                    <w:t>2</w:t>
                  </w:r>
                </w:p>
              </w:tc>
              <w:tc>
                <w:tcPr>
                  <w:tcW w:w="345" w:type="pct"/>
                  <w:vMerge w:val="continue"/>
                  <w:vAlign w:val="center"/>
                </w:tcPr>
                <w:p w14:paraId="752AB5B1">
                  <w:pPr>
                    <w:spacing w:line="276" w:lineRule="auto"/>
                    <w:jc w:val="center"/>
                    <w:rPr>
                      <w:sz w:val="21"/>
                      <w:szCs w:val="21"/>
                    </w:rPr>
                  </w:pPr>
                </w:p>
              </w:tc>
              <w:tc>
                <w:tcPr>
                  <w:tcW w:w="1903" w:type="pct"/>
                  <w:vAlign w:val="center"/>
                </w:tcPr>
                <w:p w14:paraId="371E1B18">
                  <w:pPr>
                    <w:spacing w:line="276" w:lineRule="auto"/>
                    <w:jc w:val="center"/>
                    <w:rPr>
                      <w:sz w:val="21"/>
                      <w:szCs w:val="21"/>
                    </w:rPr>
                  </w:pPr>
                  <w:r>
                    <w:rPr>
                      <w:rFonts w:hint="eastAsia"/>
                      <w:sz w:val="21"/>
                      <w:szCs w:val="21"/>
                    </w:rPr>
                    <w:t>禁止引进国家、安徽省明确规定不得审批的建设项目</w:t>
                  </w:r>
                </w:p>
              </w:tc>
              <w:tc>
                <w:tcPr>
                  <w:tcW w:w="1837" w:type="pct"/>
                  <w:vAlign w:val="center"/>
                </w:tcPr>
                <w:p w14:paraId="469DA54D">
                  <w:pPr>
                    <w:spacing w:line="276" w:lineRule="auto"/>
                    <w:jc w:val="center"/>
                    <w:rPr>
                      <w:sz w:val="21"/>
                      <w:szCs w:val="21"/>
                    </w:rPr>
                  </w:pPr>
                  <w:r>
                    <w:rPr>
                      <w:rFonts w:hint="eastAsia"/>
                      <w:sz w:val="21"/>
                      <w:szCs w:val="21"/>
                    </w:rPr>
                    <w:t>本项目为</w:t>
                  </w:r>
                  <w:r>
                    <w:rPr>
                      <w:sz w:val="21"/>
                      <w:szCs w:val="21"/>
                    </w:rPr>
                    <w:t>C</w:t>
                  </w:r>
                  <w:r>
                    <w:rPr>
                      <w:rFonts w:hint="eastAsia"/>
                      <w:sz w:val="21"/>
                      <w:szCs w:val="21"/>
                    </w:rPr>
                    <w:t>3670 汽车零部件及配件制造，不属于国家、安徽省明确规定不得审批的建设项目</w:t>
                  </w:r>
                </w:p>
              </w:tc>
              <w:tc>
                <w:tcPr>
                  <w:tcW w:w="596" w:type="pct"/>
                  <w:tcBorders>
                    <w:right w:val="nil"/>
                  </w:tcBorders>
                  <w:vAlign w:val="center"/>
                </w:tcPr>
                <w:p w14:paraId="336AA580">
                  <w:pPr>
                    <w:spacing w:line="276" w:lineRule="auto"/>
                    <w:jc w:val="center"/>
                    <w:rPr>
                      <w:sz w:val="21"/>
                      <w:szCs w:val="21"/>
                    </w:rPr>
                  </w:pPr>
                  <w:r>
                    <w:rPr>
                      <w:rFonts w:hint="eastAsia"/>
                      <w:sz w:val="21"/>
                      <w:szCs w:val="21"/>
                    </w:rPr>
                    <w:t>符合</w:t>
                  </w:r>
                </w:p>
              </w:tc>
            </w:tr>
            <w:tr w14:paraId="3B7598E5">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3F09705A">
                  <w:pPr>
                    <w:spacing w:line="276" w:lineRule="auto"/>
                    <w:jc w:val="center"/>
                    <w:rPr>
                      <w:sz w:val="21"/>
                      <w:szCs w:val="21"/>
                    </w:rPr>
                  </w:pPr>
                  <w:r>
                    <w:rPr>
                      <w:rFonts w:hint="eastAsia"/>
                      <w:sz w:val="21"/>
                      <w:szCs w:val="21"/>
                    </w:rPr>
                    <w:t>3</w:t>
                  </w:r>
                </w:p>
              </w:tc>
              <w:tc>
                <w:tcPr>
                  <w:tcW w:w="345" w:type="pct"/>
                  <w:vMerge w:val="continue"/>
                  <w:vAlign w:val="center"/>
                </w:tcPr>
                <w:p w14:paraId="697C5702">
                  <w:pPr>
                    <w:spacing w:line="276" w:lineRule="auto"/>
                    <w:jc w:val="center"/>
                    <w:rPr>
                      <w:sz w:val="21"/>
                      <w:szCs w:val="21"/>
                    </w:rPr>
                  </w:pPr>
                </w:p>
              </w:tc>
              <w:tc>
                <w:tcPr>
                  <w:tcW w:w="1903" w:type="pct"/>
                  <w:vAlign w:val="center"/>
                </w:tcPr>
                <w:p w14:paraId="00C43DA7">
                  <w:pPr>
                    <w:spacing w:line="276" w:lineRule="auto"/>
                    <w:jc w:val="center"/>
                    <w:rPr>
                      <w:sz w:val="21"/>
                      <w:szCs w:val="21"/>
                    </w:rPr>
                  </w:pPr>
                  <w:r>
                    <w:rPr>
                      <w:rFonts w:hint="eastAsia"/>
                      <w:sz w:val="21"/>
                      <w:szCs w:val="21"/>
                    </w:rPr>
                    <w:t>禁止引进钢铁、焦化、电解铝、铸造、水泥和平板玻璃等产能类项目</w:t>
                  </w:r>
                </w:p>
              </w:tc>
              <w:tc>
                <w:tcPr>
                  <w:tcW w:w="1837" w:type="pct"/>
                  <w:vAlign w:val="center"/>
                </w:tcPr>
                <w:p w14:paraId="7CB2CD17">
                  <w:pPr>
                    <w:spacing w:line="276" w:lineRule="auto"/>
                    <w:jc w:val="center"/>
                    <w:rPr>
                      <w:sz w:val="21"/>
                      <w:szCs w:val="21"/>
                    </w:rPr>
                  </w:pPr>
                  <w:r>
                    <w:rPr>
                      <w:rFonts w:hint="eastAsia"/>
                      <w:sz w:val="21"/>
                      <w:szCs w:val="21"/>
                    </w:rPr>
                    <w:t>本项目不涉及</w:t>
                  </w:r>
                </w:p>
              </w:tc>
              <w:tc>
                <w:tcPr>
                  <w:tcW w:w="596" w:type="pct"/>
                  <w:tcBorders>
                    <w:right w:val="nil"/>
                  </w:tcBorders>
                  <w:vAlign w:val="center"/>
                </w:tcPr>
                <w:p w14:paraId="2DF4EE5E">
                  <w:pPr>
                    <w:spacing w:line="276" w:lineRule="auto"/>
                    <w:jc w:val="center"/>
                    <w:rPr>
                      <w:sz w:val="21"/>
                      <w:szCs w:val="21"/>
                    </w:rPr>
                  </w:pPr>
                  <w:r>
                    <w:rPr>
                      <w:rFonts w:hint="eastAsia"/>
                      <w:sz w:val="21"/>
                      <w:szCs w:val="21"/>
                    </w:rPr>
                    <w:t>符合</w:t>
                  </w:r>
                </w:p>
              </w:tc>
            </w:tr>
            <w:tr w14:paraId="1DB77B15">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6C782A67">
                  <w:pPr>
                    <w:spacing w:line="276" w:lineRule="auto"/>
                    <w:jc w:val="center"/>
                    <w:rPr>
                      <w:sz w:val="21"/>
                      <w:szCs w:val="21"/>
                    </w:rPr>
                  </w:pPr>
                  <w:r>
                    <w:rPr>
                      <w:rFonts w:hint="eastAsia"/>
                      <w:sz w:val="21"/>
                      <w:szCs w:val="21"/>
                    </w:rPr>
                    <w:t>4</w:t>
                  </w:r>
                </w:p>
              </w:tc>
              <w:tc>
                <w:tcPr>
                  <w:tcW w:w="345" w:type="pct"/>
                  <w:vMerge w:val="continue"/>
                  <w:vAlign w:val="center"/>
                </w:tcPr>
                <w:p w14:paraId="071E27A7">
                  <w:pPr>
                    <w:spacing w:line="276" w:lineRule="auto"/>
                    <w:jc w:val="center"/>
                    <w:rPr>
                      <w:sz w:val="21"/>
                      <w:szCs w:val="21"/>
                    </w:rPr>
                  </w:pPr>
                </w:p>
              </w:tc>
              <w:tc>
                <w:tcPr>
                  <w:tcW w:w="1903" w:type="pct"/>
                  <w:vAlign w:val="center"/>
                </w:tcPr>
                <w:p w14:paraId="50BF8525">
                  <w:pPr>
                    <w:spacing w:line="276" w:lineRule="auto"/>
                    <w:jc w:val="center"/>
                    <w:rPr>
                      <w:sz w:val="21"/>
                      <w:szCs w:val="21"/>
                    </w:rPr>
                  </w:pPr>
                  <w:r>
                    <w:rPr>
                      <w:rFonts w:hint="eastAsia"/>
                      <w:sz w:val="21"/>
                      <w:szCs w:val="21"/>
                    </w:rPr>
                    <w:t>禁止新引入农药制造等污染较重的化工类项目</w:t>
                  </w:r>
                </w:p>
              </w:tc>
              <w:tc>
                <w:tcPr>
                  <w:tcW w:w="1837" w:type="pct"/>
                  <w:vAlign w:val="center"/>
                </w:tcPr>
                <w:p w14:paraId="14C7FAD3">
                  <w:pPr>
                    <w:spacing w:line="276" w:lineRule="auto"/>
                    <w:jc w:val="center"/>
                    <w:rPr>
                      <w:sz w:val="21"/>
                      <w:szCs w:val="21"/>
                    </w:rPr>
                  </w:pPr>
                  <w:r>
                    <w:rPr>
                      <w:rFonts w:hint="eastAsia"/>
                      <w:sz w:val="21"/>
                      <w:szCs w:val="21"/>
                    </w:rPr>
                    <w:t>本项目不涉及</w:t>
                  </w:r>
                </w:p>
              </w:tc>
              <w:tc>
                <w:tcPr>
                  <w:tcW w:w="596" w:type="pct"/>
                  <w:tcBorders>
                    <w:right w:val="nil"/>
                  </w:tcBorders>
                  <w:vAlign w:val="center"/>
                </w:tcPr>
                <w:p w14:paraId="6270D925">
                  <w:pPr>
                    <w:spacing w:line="276" w:lineRule="auto"/>
                    <w:jc w:val="center"/>
                    <w:rPr>
                      <w:sz w:val="21"/>
                      <w:szCs w:val="21"/>
                    </w:rPr>
                  </w:pPr>
                  <w:r>
                    <w:rPr>
                      <w:rFonts w:hint="eastAsia"/>
                      <w:sz w:val="21"/>
                      <w:szCs w:val="21"/>
                    </w:rPr>
                    <w:t>符合</w:t>
                  </w:r>
                </w:p>
              </w:tc>
            </w:tr>
            <w:tr w14:paraId="7A8A01DF">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5BFADED5">
                  <w:pPr>
                    <w:spacing w:line="276" w:lineRule="auto"/>
                    <w:jc w:val="center"/>
                    <w:rPr>
                      <w:sz w:val="21"/>
                      <w:szCs w:val="21"/>
                    </w:rPr>
                  </w:pPr>
                  <w:r>
                    <w:rPr>
                      <w:rFonts w:hint="eastAsia"/>
                      <w:sz w:val="21"/>
                      <w:szCs w:val="21"/>
                    </w:rPr>
                    <w:t>5</w:t>
                  </w:r>
                </w:p>
              </w:tc>
              <w:tc>
                <w:tcPr>
                  <w:tcW w:w="345" w:type="pct"/>
                  <w:vMerge w:val="continue"/>
                  <w:vAlign w:val="center"/>
                </w:tcPr>
                <w:p w14:paraId="23D519A0">
                  <w:pPr>
                    <w:spacing w:line="276" w:lineRule="auto"/>
                    <w:jc w:val="center"/>
                    <w:rPr>
                      <w:sz w:val="21"/>
                      <w:szCs w:val="21"/>
                    </w:rPr>
                  </w:pPr>
                </w:p>
              </w:tc>
              <w:tc>
                <w:tcPr>
                  <w:tcW w:w="1903" w:type="pct"/>
                  <w:vAlign w:val="center"/>
                </w:tcPr>
                <w:p w14:paraId="1B3F4730">
                  <w:pPr>
                    <w:spacing w:line="276" w:lineRule="auto"/>
                    <w:jc w:val="center"/>
                    <w:rPr>
                      <w:sz w:val="21"/>
                      <w:szCs w:val="21"/>
                    </w:rPr>
                  </w:pPr>
                  <w:r>
                    <w:rPr>
                      <w:rFonts w:hint="eastAsia"/>
                      <w:sz w:val="21"/>
                      <w:szCs w:val="21"/>
                    </w:rPr>
                    <w:t>禁止引进化学制浆造纸企业和印染、制革、化工、电镀、酿造等污染严重的小型企业</w:t>
                  </w:r>
                </w:p>
              </w:tc>
              <w:tc>
                <w:tcPr>
                  <w:tcW w:w="1837" w:type="pct"/>
                  <w:vAlign w:val="center"/>
                </w:tcPr>
                <w:p w14:paraId="31CD0F1F">
                  <w:pPr>
                    <w:spacing w:line="276" w:lineRule="auto"/>
                    <w:jc w:val="center"/>
                    <w:rPr>
                      <w:sz w:val="21"/>
                      <w:szCs w:val="21"/>
                    </w:rPr>
                  </w:pPr>
                  <w:r>
                    <w:rPr>
                      <w:rFonts w:hint="eastAsia"/>
                      <w:sz w:val="21"/>
                      <w:szCs w:val="21"/>
                    </w:rPr>
                    <w:t>本项目不涉及</w:t>
                  </w:r>
                </w:p>
              </w:tc>
              <w:tc>
                <w:tcPr>
                  <w:tcW w:w="596" w:type="pct"/>
                  <w:tcBorders>
                    <w:right w:val="nil"/>
                  </w:tcBorders>
                  <w:vAlign w:val="center"/>
                </w:tcPr>
                <w:p w14:paraId="0A7ACDF7">
                  <w:pPr>
                    <w:spacing w:line="276" w:lineRule="auto"/>
                    <w:jc w:val="center"/>
                    <w:rPr>
                      <w:sz w:val="21"/>
                      <w:szCs w:val="21"/>
                    </w:rPr>
                  </w:pPr>
                  <w:r>
                    <w:rPr>
                      <w:rFonts w:hint="eastAsia"/>
                      <w:sz w:val="21"/>
                      <w:szCs w:val="21"/>
                    </w:rPr>
                    <w:t>符合</w:t>
                  </w:r>
                </w:p>
              </w:tc>
            </w:tr>
            <w:tr w14:paraId="5BD7DB6A">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23F74506">
                  <w:pPr>
                    <w:spacing w:line="276" w:lineRule="auto"/>
                    <w:jc w:val="center"/>
                    <w:rPr>
                      <w:sz w:val="21"/>
                      <w:szCs w:val="21"/>
                    </w:rPr>
                  </w:pPr>
                  <w:r>
                    <w:rPr>
                      <w:rFonts w:hint="eastAsia"/>
                      <w:sz w:val="21"/>
                      <w:szCs w:val="21"/>
                    </w:rPr>
                    <w:t>6</w:t>
                  </w:r>
                </w:p>
              </w:tc>
              <w:tc>
                <w:tcPr>
                  <w:tcW w:w="345" w:type="pct"/>
                  <w:vMerge w:val="continue"/>
                  <w:vAlign w:val="center"/>
                </w:tcPr>
                <w:p w14:paraId="63420D82">
                  <w:pPr>
                    <w:spacing w:line="276" w:lineRule="auto"/>
                    <w:jc w:val="center"/>
                    <w:rPr>
                      <w:sz w:val="21"/>
                      <w:szCs w:val="21"/>
                    </w:rPr>
                  </w:pPr>
                </w:p>
              </w:tc>
              <w:tc>
                <w:tcPr>
                  <w:tcW w:w="1903" w:type="pct"/>
                  <w:vAlign w:val="center"/>
                </w:tcPr>
                <w:p w14:paraId="651913B1">
                  <w:pPr>
                    <w:spacing w:line="276" w:lineRule="auto"/>
                    <w:jc w:val="center"/>
                    <w:rPr>
                      <w:sz w:val="21"/>
                      <w:szCs w:val="21"/>
                    </w:rPr>
                  </w:pPr>
                  <w:r>
                    <w:rPr>
                      <w:rFonts w:hint="eastAsia"/>
                      <w:sz w:val="21"/>
                      <w:szCs w:val="21"/>
                    </w:rPr>
                    <w:t>严格控制化学药品原药制造等污染较重的项目</w:t>
                  </w:r>
                </w:p>
              </w:tc>
              <w:tc>
                <w:tcPr>
                  <w:tcW w:w="1837" w:type="pct"/>
                  <w:vAlign w:val="center"/>
                </w:tcPr>
                <w:p w14:paraId="0F66A1C7">
                  <w:pPr>
                    <w:spacing w:line="276" w:lineRule="auto"/>
                    <w:jc w:val="center"/>
                    <w:rPr>
                      <w:sz w:val="21"/>
                      <w:szCs w:val="21"/>
                    </w:rPr>
                  </w:pPr>
                  <w:r>
                    <w:rPr>
                      <w:rFonts w:hint="eastAsia"/>
                      <w:sz w:val="21"/>
                      <w:szCs w:val="21"/>
                    </w:rPr>
                    <w:t>本项目不涉及</w:t>
                  </w:r>
                </w:p>
              </w:tc>
              <w:tc>
                <w:tcPr>
                  <w:tcW w:w="596" w:type="pct"/>
                  <w:tcBorders>
                    <w:right w:val="nil"/>
                  </w:tcBorders>
                  <w:vAlign w:val="center"/>
                </w:tcPr>
                <w:p w14:paraId="33C70D15">
                  <w:pPr>
                    <w:spacing w:line="276" w:lineRule="auto"/>
                    <w:jc w:val="center"/>
                    <w:rPr>
                      <w:sz w:val="21"/>
                      <w:szCs w:val="21"/>
                    </w:rPr>
                  </w:pPr>
                  <w:r>
                    <w:rPr>
                      <w:rFonts w:hint="eastAsia"/>
                      <w:sz w:val="21"/>
                      <w:szCs w:val="21"/>
                    </w:rPr>
                    <w:t>符合</w:t>
                  </w:r>
                </w:p>
              </w:tc>
            </w:tr>
            <w:tr w14:paraId="22E602EB">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25A3B906">
                  <w:pPr>
                    <w:spacing w:line="276" w:lineRule="auto"/>
                    <w:jc w:val="center"/>
                    <w:rPr>
                      <w:sz w:val="21"/>
                      <w:szCs w:val="21"/>
                    </w:rPr>
                  </w:pPr>
                  <w:r>
                    <w:rPr>
                      <w:rFonts w:hint="eastAsia"/>
                      <w:sz w:val="21"/>
                      <w:szCs w:val="21"/>
                    </w:rPr>
                    <w:t>7</w:t>
                  </w:r>
                </w:p>
              </w:tc>
              <w:tc>
                <w:tcPr>
                  <w:tcW w:w="345" w:type="pct"/>
                  <w:vMerge w:val="continue"/>
                  <w:vAlign w:val="center"/>
                </w:tcPr>
                <w:p w14:paraId="3385C148">
                  <w:pPr>
                    <w:spacing w:line="276" w:lineRule="auto"/>
                    <w:jc w:val="center"/>
                    <w:rPr>
                      <w:sz w:val="21"/>
                      <w:szCs w:val="21"/>
                    </w:rPr>
                  </w:pPr>
                </w:p>
              </w:tc>
              <w:tc>
                <w:tcPr>
                  <w:tcW w:w="1903" w:type="pct"/>
                  <w:vAlign w:val="center"/>
                </w:tcPr>
                <w:p w14:paraId="7B896707">
                  <w:pPr>
                    <w:spacing w:line="276" w:lineRule="auto"/>
                    <w:jc w:val="center"/>
                    <w:rPr>
                      <w:sz w:val="21"/>
                      <w:szCs w:val="21"/>
                    </w:rPr>
                  </w:pPr>
                  <w:r>
                    <w:rPr>
                      <w:rFonts w:hint="eastAsia"/>
                      <w:sz w:val="21"/>
                      <w:szCs w:val="21"/>
                    </w:rPr>
                    <w:t>严格控制非主导产业高污染、高能耗类项目</w:t>
                  </w:r>
                </w:p>
              </w:tc>
              <w:tc>
                <w:tcPr>
                  <w:tcW w:w="1837" w:type="pct"/>
                  <w:vAlign w:val="center"/>
                </w:tcPr>
                <w:p w14:paraId="2218C423">
                  <w:pPr>
                    <w:spacing w:line="276" w:lineRule="auto"/>
                    <w:jc w:val="center"/>
                    <w:rPr>
                      <w:sz w:val="21"/>
                      <w:szCs w:val="21"/>
                    </w:rPr>
                  </w:pPr>
                  <w:r>
                    <w:rPr>
                      <w:rFonts w:hint="eastAsia"/>
                      <w:sz w:val="21"/>
                      <w:szCs w:val="21"/>
                    </w:rPr>
                    <w:t>本项目为</w:t>
                  </w:r>
                  <w:r>
                    <w:rPr>
                      <w:sz w:val="21"/>
                      <w:szCs w:val="21"/>
                    </w:rPr>
                    <w:t>C</w:t>
                  </w:r>
                  <w:r>
                    <w:rPr>
                      <w:rFonts w:hint="eastAsia"/>
                      <w:sz w:val="21"/>
                      <w:szCs w:val="21"/>
                    </w:rPr>
                    <w:t>3670 汽车零部件及配件制造，不属于高污染、高能耗类项目</w:t>
                  </w:r>
                </w:p>
              </w:tc>
              <w:tc>
                <w:tcPr>
                  <w:tcW w:w="596" w:type="pct"/>
                  <w:tcBorders>
                    <w:right w:val="nil"/>
                  </w:tcBorders>
                  <w:vAlign w:val="center"/>
                </w:tcPr>
                <w:p w14:paraId="439F0E96">
                  <w:pPr>
                    <w:spacing w:line="276" w:lineRule="auto"/>
                    <w:jc w:val="center"/>
                    <w:rPr>
                      <w:sz w:val="21"/>
                      <w:szCs w:val="21"/>
                    </w:rPr>
                  </w:pPr>
                  <w:r>
                    <w:rPr>
                      <w:rFonts w:hint="eastAsia"/>
                      <w:sz w:val="21"/>
                      <w:szCs w:val="21"/>
                    </w:rPr>
                    <w:t>符合</w:t>
                  </w:r>
                </w:p>
              </w:tc>
            </w:tr>
            <w:tr w14:paraId="5871CF9B">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4FE697DE">
                  <w:pPr>
                    <w:spacing w:line="276" w:lineRule="auto"/>
                    <w:jc w:val="center"/>
                    <w:rPr>
                      <w:sz w:val="21"/>
                      <w:szCs w:val="21"/>
                    </w:rPr>
                  </w:pPr>
                  <w:r>
                    <w:rPr>
                      <w:rFonts w:hint="eastAsia"/>
                      <w:sz w:val="21"/>
                      <w:szCs w:val="21"/>
                    </w:rPr>
                    <w:t>8</w:t>
                  </w:r>
                </w:p>
              </w:tc>
              <w:tc>
                <w:tcPr>
                  <w:tcW w:w="345" w:type="pct"/>
                  <w:vMerge w:val="restart"/>
                  <w:vAlign w:val="center"/>
                </w:tcPr>
                <w:p w14:paraId="2D7276F0">
                  <w:pPr>
                    <w:spacing w:line="276" w:lineRule="auto"/>
                    <w:jc w:val="center"/>
                    <w:rPr>
                      <w:sz w:val="21"/>
                      <w:szCs w:val="21"/>
                    </w:rPr>
                  </w:pPr>
                  <w:r>
                    <w:rPr>
                      <w:rFonts w:hint="eastAsia"/>
                      <w:sz w:val="21"/>
                      <w:szCs w:val="21"/>
                    </w:rPr>
                    <w:t>生产工艺</w:t>
                  </w:r>
                </w:p>
              </w:tc>
              <w:tc>
                <w:tcPr>
                  <w:tcW w:w="1903" w:type="pct"/>
                  <w:vAlign w:val="center"/>
                </w:tcPr>
                <w:p w14:paraId="3DF7551A">
                  <w:pPr>
                    <w:spacing w:line="276" w:lineRule="auto"/>
                    <w:jc w:val="center"/>
                    <w:rPr>
                      <w:sz w:val="21"/>
                      <w:szCs w:val="21"/>
                    </w:rPr>
                  </w:pPr>
                  <w:r>
                    <w:rPr>
                      <w:rFonts w:hint="eastAsia"/>
                      <w:sz w:val="21"/>
                      <w:szCs w:val="21"/>
                    </w:rPr>
                    <w:t>禁止引进炼油、产生致癌、致畸、致突变物质的项目</w:t>
                  </w:r>
                </w:p>
              </w:tc>
              <w:tc>
                <w:tcPr>
                  <w:tcW w:w="1837" w:type="pct"/>
                  <w:vAlign w:val="center"/>
                </w:tcPr>
                <w:p w14:paraId="74E8B352">
                  <w:pPr>
                    <w:spacing w:line="276" w:lineRule="auto"/>
                    <w:jc w:val="center"/>
                    <w:rPr>
                      <w:sz w:val="21"/>
                      <w:szCs w:val="21"/>
                    </w:rPr>
                  </w:pPr>
                  <w:r>
                    <w:rPr>
                      <w:rFonts w:hint="eastAsia"/>
                      <w:sz w:val="21"/>
                      <w:szCs w:val="21"/>
                    </w:rPr>
                    <w:t>本项目不涉及</w:t>
                  </w:r>
                </w:p>
              </w:tc>
              <w:tc>
                <w:tcPr>
                  <w:tcW w:w="596" w:type="pct"/>
                  <w:tcBorders>
                    <w:right w:val="nil"/>
                  </w:tcBorders>
                  <w:vAlign w:val="center"/>
                </w:tcPr>
                <w:p w14:paraId="164C6792">
                  <w:pPr>
                    <w:spacing w:line="276" w:lineRule="auto"/>
                    <w:jc w:val="center"/>
                    <w:rPr>
                      <w:sz w:val="21"/>
                      <w:szCs w:val="21"/>
                    </w:rPr>
                  </w:pPr>
                  <w:r>
                    <w:rPr>
                      <w:rFonts w:hint="eastAsia"/>
                      <w:sz w:val="21"/>
                      <w:szCs w:val="21"/>
                    </w:rPr>
                    <w:t>符合</w:t>
                  </w:r>
                </w:p>
              </w:tc>
            </w:tr>
            <w:tr w14:paraId="272E6EC1">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0A92E192">
                  <w:pPr>
                    <w:spacing w:line="276" w:lineRule="auto"/>
                    <w:jc w:val="center"/>
                    <w:rPr>
                      <w:sz w:val="21"/>
                      <w:szCs w:val="21"/>
                    </w:rPr>
                  </w:pPr>
                  <w:r>
                    <w:rPr>
                      <w:rFonts w:hint="eastAsia"/>
                      <w:sz w:val="21"/>
                      <w:szCs w:val="21"/>
                    </w:rPr>
                    <w:t>9</w:t>
                  </w:r>
                </w:p>
              </w:tc>
              <w:tc>
                <w:tcPr>
                  <w:tcW w:w="345" w:type="pct"/>
                  <w:vMerge w:val="continue"/>
                  <w:vAlign w:val="center"/>
                </w:tcPr>
                <w:p w14:paraId="64A89CFE">
                  <w:pPr>
                    <w:spacing w:line="276" w:lineRule="auto"/>
                    <w:jc w:val="center"/>
                    <w:rPr>
                      <w:sz w:val="21"/>
                      <w:szCs w:val="21"/>
                    </w:rPr>
                  </w:pPr>
                </w:p>
              </w:tc>
              <w:tc>
                <w:tcPr>
                  <w:tcW w:w="1903" w:type="pct"/>
                  <w:vAlign w:val="center"/>
                </w:tcPr>
                <w:p w14:paraId="2D662285">
                  <w:pPr>
                    <w:spacing w:line="276" w:lineRule="auto"/>
                    <w:jc w:val="center"/>
                    <w:rPr>
                      <w:sz w:val="21"/>
                      <w:szCs w:val="21"/>
                    </w:rPr>
                  </w:pPr>
                  <w:r>
                    <w:rPr>
                      <w:rFonts w:hint="eastAsia"/>
                      <w:sz w:val="21"/>
                      <w:szCs w:val="21"/>
                    </w:rPr>
                    <w:t>为主导产业及配套的上下游及延伸产业链项目的生产工艺、设备、污染治理技术等未达到清洁生产国内先进水平的、不符合环保相关要求的项目</w:t>
                  </w:r>
                </w:p>
              </w:tc>
              <w:tc>
                <w:tcPr>
                  <w:tcW w:w="1837" w:type="pct"/>
                  <w:vAlign w:val="center"/>
                </w:tcPr>
                <w:p w14:paraId="37425B38">
                  <w:pPr>
                    <w:spacing w:line="276" w:lineRule="auto"/>
                    <w:jc w:val="center"/>
                    <w:rPr>
                      <w:sz w:val="21"/>
                      <w:szCs w:val="21"/>
                    </w:rPr>
                  </w:pPr>
                  <w:r>
                    <w:rPr>
                      <w:rFonts w:hint="eastAsia"/>
                      <w:sz w:val="21"/>
                      <w:szCs w:val="21"/>
                    </w:rPr>
                    <w:t>本项目为C3670 汽车零部件及配件制造，符合相关要求</w:t>
                  </w:r>
                </w:p>
              </w:tc>
              <w:tc>
                <w:tcPr>
                  <w:tcW w:w="596" w:type="pct"/>
                  <w:tcBorders>
                    <w:right w:val="nil"/>
                  </w:tcBorders>
                  <w:vAlign w:val="center"/>
                </w:tcPr>
                <w:p w14:paraId="02884F5C">
                  <w:pPr>
                    <w:spacing w:line="276" w:lineRule="auto"/>
                    <w:jc w:val="center"/>
                    <w:rPr>
                      <w:sz w:val="21"/>
                      <w:szCs w:val="21"/>
                    </w:rPr>
                  </w:pPr>
                  <w:r>
                    <w:rPr>
                      <w:rFonts w:hint="eastAsia"/>
                      <w:sz w:val="21"/>
                      <w:szCs w:val="21"/>
                    </w:rPr>
                    <w:t>符合</w:t>
                  </w:r>
                </w:p>
              </w:tc>
            </w:tr>
            <w:tr w14:paraId="7CA9897A">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tcBorders>
                  <w:vAlign w:val="center"/>
                </w:tcPr>
                <w:p w14:paraId="71D5F8E9">
                  <w:pPr>
                    <w:spacing w:line="276" w:lineRule="auto"/>
                    <w:jc w:val="center"/>
                    <w:rPr>
                      <w:sz w:val="21"/>
                      <w:szCs w:val="21"/>
                    </w:rPr>
                  </w:pPr>
                  <w:r>
                    <w:rPr>
                      <w:rFonts w:hint="eastAsia"/>
                      <w:sz w:val="21"/>
                      <w:szCs w:val="21"/>
                    </w:rPr>
                    <w:t>1</w:t>
                  </w:r>
                  <w:r>
                    <w:rPr>
                      <w:sz w:val="21"/>
                      <w:szCs w:val="21"/>
                    </w:rPr>
                    <w:t>0</w:t>
                  </w:r>
                </w:p>
              </w:tc>
              <w:tc>
                <w:tcPr>
                  <w:tcW w:w="345" w:type="pct"/>
                  <w:vAlign w:val="center"/>
                </w:tcPr>
                <w:p w14:paraId="03553954">
                  <w:pPr>
                    <w:spacing w:line="276" w:lineRule="auto"/>
                    <w:jc w:val="center"/>
                    <w:rPr>
                      <w:sz w:val="21"/>
                      <w:szCs w:val="21"/>
                    </w:rPr>
                  </w:pPr>
                  <w:r>
                    <w:rPr>
                      <w:rFonts w:hint="eastAsia"/>
                      <w:sz w:val="21"/>
                      <w:szCs w:val="21"/>
                    </w:rPr>
                    <w:t>环保要求</w:t>
                  </w:r>
                </w:p>
              </w:tc>
              <w:tc>
                <w:tcPr>
                  <w:tcW w:w="1903" w:type="pct"/>
                  <w:vAlign w:val="center"/>
                </w:tcPr>
                <w:p w14:paraId="25903397">
                  <w:pPr>
                    <w:spacing w:line="276" w:lineRule="auto"/>
                    <w:jc w:val="center"/>
                    <w:rPr>
                      <w:sz w:val="21"/>
                      <w:szCs w:val="21"/>
                    </w:rPr>
                  </w:pPr>
                  <w:r>
                    <w:rPr>
                      <w:rFonts w:hint="eastAsia"/>
                      <w:sz w:val="21"/>
                      <w:szCs w:val="21"/>
                    </w:rPr>
                    <w:t>禁止引入尚需自行建设燃煤锅炉的企业入区，引进项目必须使用清洁能源或实施集中供热</w:t>
                  </w:r>
                </w:p>
              </w:tc>
              <w:tc>
                <w:tcPr>
                  <w:tcW w:w="1837" w:type="pct"/>
                  <w:vAlign w:val="center"/>
                </w:tcPr>
                <w:p w14:paraId="6AA7E357">
                  <w:pPr>
                    <w:spacing w:line="276" w:lineRule="auto"/>
                    <w:jc w:val="center"/>
                    <w:rPr>
                      <w:sz w:val="21"/>
                      <w:szCs w:val="21"/>
                    </w:rPr>
                  </w:pPr>
                  <w:r>
                    <w:rPr>
                      <w:rFonts w:hint="eastAsia"/>
                      <w:sz w:val="21"/>
                      <w:szCs w:val="21"/>
                    </w:rPr>
                    <w:t>本项目无需建设燃煤锅炉，使用清洁能源电能</w:t>
                  </w:r>
                </w:p>
              </w:tc>
              <w:tc>
                <w:tcPr>
                  <w:tcW w:w="596" w:type="pct"/>
                  <w:tcBorders>
                    <w:right w:val="nil"/>
                  </w:tcBorders>
                  <w:vAlign w:val="center"/>
                </w:tcPr>
                <w:p w14:paraId="0C494EDF">
                  <w:pPr>
                    <w:spacing w:line="276" w:lineRule="auto"/>
                    <w:jc w:val="center"/>
                    <w:rPr>
                      <w:sz w:val="21"/>
                      <w:szCs w:val="21"/>
                    </w:rPr>
                  </w:pPr>
                  <w:r>
                    <w:rPr>
                      <w:rFonts w:hint="eastAsia"/>
                      <w:sz w:val="21"/>
                      <w:szCs w:val="21"/>
                    </w:rPr>
                    <w:t>符合</w:t>
                  </w:r>
                </w:p>
              </w:tc>
            </w:tr>
            <w:tr w14:paraId="04CCD1D0">
              <w:tblPrEx>
                <w:tblBorders>
                  <w:top w:val="single" w:color="000000" w:sz="4" w:space="0"/>
                  <w:left w:val="single" w:color="auto" w:sz="12" w:space="0"/>
                  <w:bottom w:val="single" w:color="000000" w:sz="4"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7" w:type="pct"/>
                  <w:tcBorders>
                    <w:left w:val="nil"/>
                    <w:bottom w:val="single" w:color="auto" w:sz="12" w:space="0"/>
                  </w:tcBorders>
                  <w:vAlign w:val="center"/>
                </w:tcPr>
                <w:p w14:paraId="224879A7">
                  <w:pPr>
                    <w:spacing w:line="276" w:lineRule="auto"/>
                    <w:jc w:val="center"/>
                    <w:rPr>
                      <w:sz w:val="21"/>
                      <w:szCs w:val="21"/>
                    </w:rPr>
                  </w:pPr>
                  <w:r>
                    <w:rPr>
                      <w:rFonts w:hint="eastAsia"/>
                      <w:sz w:val="21"/>
                      <w:szCs w:val="21"/>
                    </w:rPr>
                    <w:t>1</w:t>
                  </w:r>
                  <w:r>
                    <w:rPr>
                      <w:sz w:val="21"/>
                      <w:szCs w:val="21"/>
                    </w:rPr>
                    <w:t>1</w:t>
                  </w:r>
                </w:p>
              </w:tc>
              <w:tc>
                <w:tcPr>
                  <w:tcW w:w="345" w:type="pct"/>
                  <w:tcBorders>
                    <w:bottom w:val="single" w:color="auto" w:sz="12" w:space="0"/>
                  </w:tcBorders>
                  <w:vAlign w:val="center"/>
                </w:tcPr>
                <w:p w14:paraId="66B28083">
                  <w:pPr>
                    <w:spacing w:line="276" w:lineRule="auto"/>
                    <w:jc w:val="center"/>
                    <w:rPr>
                      <w:sz w:val="21"/>
                      <w:szCs w:val="21"/>
                    </w:rPr>
                  </w:pPr>
                  <w:r>
                    <w:rPr>
                      <w:rFonts w:hint="eastAsia"/>
                      <w:sz w:val="21"/>
                      <w:szCs w:val="21"/>
                    </w:rPr>
                    <w:t>清洁生产</w:t>
                  </w:r>
                </w:p>
              </w:tc>
              <w:tc>
                <w:tcPr>
                  <w:tcW w:w="1903" w:type="pct"/>
                  <w:tcBorders>
                    <w:bottom w:val="single" w:color="auto" w:sz="12" w:space="0"/>
                  </w:tcBorders>
                  <w:vAlign w:val="center"/>
                </w:tcPr>
                <w:p w14:paraId="4C5F3009">
                  <w:pPr>
                    <w:spacing w:line="276" w:lineRule="auto"/>
                    <w:jc w:val="center"/>
                    <w:rPr>
                      <w:sz w:val="21"/>
                      <w:szCs w:val="21"/>
                    </w:rPr>
                  </w:pPr>
                  <w:r>
                    <w:rPr>
                      <w:rFonts w:hint="eastAsia"/>
                      <w:sz w:val="21"/>
                      <w:szCs w:val="21"/>
                    </w:rPr>
                    <w:t>禁止引入清洁生产低于国内先进水平的项目</w:t>
                  </w:r>
                </w:p>
              </w:tc>
              <w:tc>
                <w:tcPr>
                  <w:tcW w:w="1837" w:type="pct"/>
                  <w:tcBorders>
                    <w:bottom w:val="single" w:color="auto" w:sz="12" w:space="0"/>
                  </w:tcBorders>
                  <w:vAlign w:val="center"/>
                </w:tcPr>
                <w:p w14:paraId="08B308F2">
                  <w:pPr>
                    <w:spacing w:line="276" w:lineRule="auto"/>
                    <w:jc w:val="center"/>
                    <w:rPr>
                      <w:sz w:val="21"/>
                      <w:szCs w:val="21"/>
                    </w:rPr>
                  </w:pPr>
                  <w:r>
                    <w:rPr>
                      <w:rFonts w:hint="eastAsia"/>
                      <w:sz w:val="21"/>
                      <w:szCs w:val="21"/>
                    </w:rPr>
                    <w:t>本项目不涉及</w:t>
                  </w:r>
                </w:p>
              </w:tc>
              <w:tc>
                <w:tcPr>
                  <w:tcW w:w="596" w:type="pct"/>
                  <w:tcBorders>
                    <w:bottom w:val="single" w:color="auto" w:sz="12" w:space="0"/>
                    <w:right w:val="nil"/>
                  </w:tcBorders>
                  <w:vAlign w:val="center"/>
                </w:tcPr>
                <w:p w14:paraId="10FBE8F7">
                  <w:pPr>
                    <w:spacing w:line="276" w:lineRule="auto"/>
                    <w:jc w:val="center"/>
                    <w:rPr>
                      <w:sz w:val="21"/>
                      <w:szCs w:val="21"/>
                    </w:rPr>
                  </w:pPr>
                  <w:r>
                    <w:rPr>
                      <w:rFonts w:hint="eastAsia"/>
                      <w:sz w:val="21"/>
                      <w:szCs w:val="21"/>
                    </w:rPr>
                    <w:t>符合</w:t>
                  </w:r>
                </w:p>
              </w:tc>
            </w:tr>
          </w:tbl>
          <w:p w14:paraId="128C9232">
            <w:pPr>
              <w:spacing w:line="360" w:lineRule="auto"/>
              <w:ind w:firstLine="480" w:firstLineChars="200"/>
              <w:jc w:val="left"/>
            </w:pPr>
            <w:r>
              <w:rPr>
                <w:rFonts w:hint="eastAsia" w:hAnsi="宋体"/>
              </w:rPr>
              <w:t>综上，根据淮南经济技术开发区产业准入负面清单内容，本项目属于</w:t>
            </w:r>
            <w:r>
              <w:rPr>
                <w:rFonts w:hint="eastAsia"/>
              </w:rPr>
              <w:t>C3670 汽车零部件及配件制造</w:t>
            </w:r>
            <w:r>
              <w:rPr>
                <w:rFonts w:hint="eastAsia" w:hAnsi="宋体"/>
              </w:rPr>
              <w:t>，不属于淮南经济技术开发区负面准入清单内容，符合淮南经济技术开发区产业政策要求。</w:t>
            </w:r>
          </w:p>
          <w:p w14:paraId="63AF1592">
            <w:pPr>
              <w:autoSpaceDE w:val="0"/>
              <w:autoSpaceDN w:val="0"/>
              <w:spacing w:line="360" w:lineRule="auto"/>
              <w:ind w:firstLine="482" w:firstLineChars="200"/>
              <w:jc w:val="left"/>
              <w:rPr>
                <w:b/>
                <w:bCs/>
              </w:rPr>
            </w:pPr>
            <w:r>
              <w:rPr>
                <w:rFonts w:hint="eastAsia"/>
                <w:b/>
                <w:bCs/>
              </w:rPr>
              <w:t>2、与园区规划环评及规划环评审查意见相符性分析</w:t>
            </w:r>
          </w:p>
          <w:p w14:paraId="31F769BA">
            <w:pPr>
              <w:autoSpaceDE w:val="0"/>
              <w:autoSpaceDN w:val="0"/>
              <w:spacing w:line="360" w:lineRule="auto"/>
              <w:ind w:firstLine="480" w:firstLineChars="200"/>
              <w:jc w:val="left"/>
            </w:pPr>
            <w:r>
              <w:rPr>
                <w:rFonts w:hint="eastAsia"/>
              </w:rPr>
              <w:t>对照《淮南市东部工业区总体规划环境影响报告书》及《关于淮南市东部工业园区总体规划环境影响报告书的审查意见函》（淮环函</w:t>
            </w:r>
            <w:r>
              <w:rPr>
                <w:rFonts w:hint="eastAsia" w:hAnsi="宋体"/>
                <w:spacing w:val="-8"/>
              </w:rPr>
              <w:t>〔</w:t>
            </w:r>
            <w:r>
              <w:rPr>
                <w:rFonts w:hAnsi="宋体"/>
                <w:spacing w:val="-8"/>
              </w:rPr>
              <w:t>2010</w:t>
            </w:r>
            <w:r>
              <w:rPr>
                <w:rFonts w:hint="eastAsia" w:hAnsi="宋体"/>
                <w:spacing w:val="-8"/>
              </w:rPr>
              <w:t>〕</w:t>
            </w:r>
            <w:r>
              <w:t>130</w:t>
            </w:r>
            <w:r>
              <w:rPr>
                <w:rFonts w:hint="eastAsia"/>
              </w:rPr>
              <w:t>号），本项目与园区规划环评及规划环评审查意见相符性分析见下表所示。</w:t>
            </w:r>
          </w:p>
          <w:p w14:paraId="3B5E20E6">
            <w:pPr>
              <w:spacing w:line="360" w:lineRule="auto"/>
              <w:rPr>
                <w:rFonts w:hAnsi="黑体" w:eastAsia="黑体"/>
                <w:bCs/>
              </w:rPr>
            </w:pPr>
          </w:p>
          <w:p w14:paraId="51432DB6">
            <w:pPr>
              <w:spacing w:line="360" w:lineRule="auto"/>
              <w:jc w:val="center"/>
              <w:rPr>
                <w:rFonts w:eastAsia="黑体"/>
                <w:bCs/>
              </w:rPr>
            </w:pPr>
            <w:r>
              <w:rPr>
                <w:rFonts w:hAnsi="黑体" w:eastAsia="黑体"/>
                <w:bCs/>
              </w:rPr>
              <w:t>表</w:t>
            </w:r>
            <w:r>
              <w:rPr>
                <w:rFonts w:eastAsia="黑体"/>
                <w:bCs/>
              </w:rPr>
              <w:t>1-</w:t>
            </w:r>
            <w:r>
              <w:rPr>
                <w:rFonts w:hint="eastAsia" w:eastAsia="黑体"/>
                <w:bCs/>
              </w:rPr>
              <w:t xml:space="preserve">3  </w:t>
            </w:r>
            <w:r>
              <w:rPr>
                <w:rFonts w:hint="eastAsia" w:hAnsi="黑体" w:eastAsia="黑体"/>
              </w:rPr>
              <w:t>与《淮南市东部工业区总体规划环境影响报告书》及其审查意见</w:t>
            </w:r>
            <w:r>
              <w:rPr>
                <w:rFonts w:hint="eastAsia" w:hAnsi="黑体" w:eastAsia="黑体"/>
                <w:bCs/>
              </w:rPr>
              <w:t>符合性分析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50"/>
              <w:gridCol w:w="3202"/>
              <w:gridCol w:w="2986"/>
              <w:gridCol w:w="595"/>
            </w:tblGrid>
            <w:tr w14:paraId="1149C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45" w:type="pct"/>
                  <w:vAlign w:val="center"/>
                </w:tcPr>
                <w:p w14:paraId="2A1DFAA1">
                  <w:pPr>
                    <w:autoSpaceDE w:val="0"/>
                    <w:autoSpaceDN w:val="0"/>
                    <w:spacing w:line="276" w:lineRule="auto"/>
                    <w:jc w:val="center"/>
                    <w:rPr>
                      <w:b/>
                      <w:sz w:val="21"/>
                      <w:szCs w:val="21"/>
                    </w:rPr>
                  </w:pPr>
                  <w:r>
                    <w:rPr>
                      <w:b/>
                      <w:sz w:val="21"/>
                      <w:szCs w:val="21"/>
                    </w:rPr>
                    <w:t>序号</w:t>
                  </w:r>
                </w:p>
              </w:tc>
              <w:tc>
                <w:tcPr>
                  <w:tcW w:w="2244" w:type="pct"/>
                  <w:vAlign w:val="center"/>
                </w:tcPr>
                <w:p w14:paraId="7000E46E">
                  <w:pPr>
                    <w:autoSpaceDE w:val="0"/>
                    <w:autoSpaceDN w:val="0"/>
                    <w:spacing w:line="276" w:lineRule="auto"/>
                    <w:jc w:val="center"/>
                    <w:rPr>
                      <w:b/>
                      <w:sz w:val="21"/>
                      <w:szCs w:val="21"/>
                    </w:rPr>
                  </w:pPr>
                  <w:r>
                    <w:rPr>
                      <w:b/>
                      <w:sz w:val="21"/>
                      <w:szCs w:val="21"/>
                    </w:rPr>
                    <w:t>规划环评及审查意见要求</w:t>
                  </w:r>
                </w:p>
              </w:tc>
              <w:tc>
                <w:tcPr>
                  <w:tcW w:w="2093" w:type="pct"/>
                  <w:vAlign w:val="center"/>
                </w:tcPr>
                <w:p w14:paraId="211F9F4B">
                  <w:pPr>
                    <w:autoSpaceDE w:val="0"/>
                    <w:autoSpaceDN w:val="0"/>
                    <w:spacing w:line="276" w:lineRule="auto"/>
                    <w:jc w:val="center"/>
                    <w:rPr>
                      <w:b/>
                      <w:sz w:val="21"/>
                      <w:szCs w:val="21"/>
                    </w:rPr>
                  </w:pPr>
                  <w:r>
                    <w:rPr>
                      <w:b/>
                      <w:sz w:val="21"/>
                      <w:szCs w:val="21"/>
                    </w:rPr>
                    <w:t>本项目情况分析</w:t>
                  </w:r>
                </w:p>
              </w:tc>
              <w:tc>
                <w:tcPr>
                  <w:tcW w:w="417" w:type="pct"/>
                  <w:vAlign w:val="center"/>
                </w:tcPr>
                <w:p w14:paraId="42381081">
                  <w:pPr>
                    <w:autoSpaceDE w:val="0"/>
                    <w:autoSpaceDN w:val="0"/>
                    <w:spacing w:line="276" w:lineRule="auto"/>
                    <w:jc w:val="center"/>
                    <w:rPr>
                      <w:b/>
                      <w:sz w:val="21"/>
                      <w:szCs w:val="21"/>
                    </w:rPr>
                  </w:pPr>
                  <w:r>
                    <w:rPr>
                      <w:b/>
                      <w:sz w:val="21"/>
                      <w:szCs w:val="21"/>
                    </w:rPr>
                    <w:t>相符性</w:t>
                  </w:r>
                </w:p>
              </w:tc>
            </w:tr>
            <w:tr w14:paraId="685A2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45" w:type="pct"/>
                  <w:vAlign w:val="center"/>
                </w:tcPr>
                <w:p w14:paraId="5EDE6CDF">
                  <w:pPr>
                    <w:autoSpaceDE w:val="0"/>
                    <w:autoSpaceDN w:val="0"/>
                    <w:spacing w:line="276" w:lineRule="auto"/>
                    <w:jc w:val="center"/>
                    <w:rPr>
                      <w:sz w:val="21"/>
                      <w:szCs w:val="21"/>
                    </w:rPr>
                  </w:pPr>
                  <w:r>
                    <w:rPr>
                      <w:sz w:val="21"/>
                      <w:szCs w:val="21"/>
                    </w:rPr>
                    <w:t>1</w:t>
                  </w:r>
                </w:p>
              </w:tc>
              <w:tc>
                <w:tcPr>
                  <w:tcW w:w="2244" w:type="pct"/>
                  <w:vAlign w:val="center"/>
                </w:tcPr>
                <w:p w14:paraId="2F38B885">
                  <w:pPr>
                    <w:autoSpaceDE w:val="0"/>
                    <w:autoSpaceDN w:val="0"/>
                    <w:spacing w:line="276" w:lineRule="auto"/>
                    <w:jc w:val="center"/>
                    <w:rPr>
                      <w:sz w:val="21"/>
                      <w:szCs w:val="21"/>
                    </w:rPr>
                  </w:pPr>
                  <w:r>
                    <w:rPr>
                      <w:rFonts w:hint="eastAsia"/>
                      <w:sz w:val="21"/>
                      <w:szCs w:val="21"/>
                    </w:rPr>
                    <w:t>按照《报告书》提出的布局调整意见，进一步完善东部工业区规划，优化用地布局，节约用地，提高土地利用率</w:t>
                  </w:r>
                </w:p>
              </w:tc>
              <w:tc>
                <w:tcPr>
                  <w:tcW w:w="2093" w:type="pct"/>
                  <w:vAlign w:val="center"/>
                </w:tcPr>
                <w:p w14:paraId="6DE66A36">
                  <w:pPr>
                    <w:pStyle w:val="32"/>
                    <w:spacing w:line="276" w:lineRule="auto"/>
                    <w:jc w:val="center"/>
                    <w:rPr>
                      <w:color w:val="auto"/>
                      <w:sz w:val="21"/>
                      <w:szCs w:val="21"/>
                    </w:rPr>
                  </w:pPr>
                  <w:r>
                    <w:rPr>
                      <w:rFonts w:hint="eastAsia"/>
                      <w:color w:val="auto"/>
                      <w:sz w:val="21"/>
                      <w:szCs w:val="21"/>
                    </w:rPr>
                    <w:t>本项目位于安微省淮南市淮南经济技术开发区东部工业区绿色智造产业园6#厂房，</w:t>
                  </w:r>
                  <w:r>
                    <w:rPr>
                      <w:rFonts w:hint="eastAsia"/>
                      <w:bCs/>
                      <w:color w:val="auto"/>
                      <w:sz w:val="21"/>
                      <w:szCs w:val="21"/>
                    </w:rPr>
                    <w:t>项目用地性质为工业用地</w:t>
                  </w:r>
                  <w:r>
                    <w:rPr>
                      <w:rFonts w:hint="eastAsia"/>
                      <w:color w:val="auto"/>
                      <w:sz w:val="21"/>
                      <w:szCs w:val="21"/>
                    </w:rPr>
                    <w:t>，有利于提高土地利用率</w:t>
                  </w:r>
                </w:p>
              </w:tc>
              <w:tc>
                <w:tcPr>
                  <w:tcW w:w="417" w:type="pct"/>
                  <w:vAlign w:val="center"/>
                </w:tcPr>
                <w:p w14:paraId="13C85047">
                  <w:pPr>
                    <w:autoSpaceDE w:val="0"/>
                    <w:autoSpaceDN w:val="0"/>
                    <w:spacing w:line="276" w:lineRule="auto"/>
                    <w:jc w:val="center"/>
                    <w:rPr>
                      <w:sz w:val="21"/>
                      <w:szCs w:val="21"/>
                    </w:rPr>
                  </w:pPr>
                  <w:r>
                    <w:rPr>
                      <w:sz w:val="21"/>
                      <w:szCs w:val="21"/>
                    </w:rPr>
                    <w:t>符合</w:t>
                  </w:r>
                </w:p>
              </w:tc>
            </w:tr>
            <w:tr w14:paraId="3F85D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45" w:type="pct"/>
                  <w:vAlign w:val="center"/>
                </w:tcPr>
                <w:p w14:paraId="4407D431">
                  <w:pPr>
                    <w:autoSpaceDE w:val="0"/>
                    <w:autoSpaceDN w:val="0"/>
                    <w:spacing w:line="276" w:lineRule="auto"/>
                    <w:jc w:val="center"/>
                    <w:rPr>
                      <w:sz w:val="21"/>
                      <w:szCs w:val="21"/>
                    </w:rPr>
                  </w:pPr>
                  <w:r>
                    <w:rPr>
                      <w:sz w:val="21"/>
                      <w:szCs w:val="21"/>
                    </w:rPr>
                    <w:t>2</w:t>
                  </w:r>
                </w:p>
              </w:tc>
              <w:tc>
                <w:tcPr>
                  <w:tcW w:w="2244" w:type="pct"/>
                  <w:vAlign w:val="center"/>
                </w:tcPr>
                <w:p w14:paraId="14184F84">
                  <w:pPr>
                    <w:autoSpaceDE w:val="0"/>
                    <w:autoSpaceDN w:val="0"/>
                    <w:spacing w:line="276" w:lineRule="auto"/>
                    <w:jc w:val="center"/>
                    <w:rPr>
                      <w:sz w:val="21"/>
                      <w:szCs w:val="21"/>
                    </w:rPr>
                  </w:pPr>
                  <w:r>
                    <w:rPr>
                      <w:rFonts w:hint="eastAsia"/>
                      <w:sz w:val="21"/>
                      <w:szCs w:val="21"/>
                    </w:rPr>
                    <w:t>优化集聚区产业结构，提高入区项目技术含量，采用新型清洁生产工艺和设备。严格控制污染严重和有重大环境风险隐患的企业入区</w:t>
                  </w:r>
                  <w:r>
                    <w:rPr>
                      <w:sz w:val="21"/>
                      <w:szCs w:val="21"/>
                    </w:rPr>
                    <w:t>，</w:t>
                  </w:r>
                  <w:r>
                    <w:rPr>
                      <w:rFonts w:hint="eastAsia"/>
                      <w:sz w:val="21"/>
                      <w:szCs w:val="21"/>
                    </w:rPr>
                    <w:t>不符合国家产业政策、环保政策及产业要求的项目不得入区</w:t>
                  </w:r>
                </w:p>
              </w:tc>
              <w:tc>
                <w:tcPr>
                  <w:tcW w:w="2093" w:type="pct"/>
                  <w:vAlign w:val="center"/>
                </w:tcPr>
                <w:p w14:paraId="408D8885">
                  <w:pPr>
                    <w:pStyle w:val="32"/>
                    <w:spacing w:line="276" w:lineRule="auto"/>
                    <w:jc w:val="center"/>
                    <w:rPr>
                      <w:color w:val="auto"/>
                      <w:kern w:val="2"/>
                      <w:sz w:val="21"/>
                      <w:szCs w:val="21"/>
                    </w:rPr>
                  </w:pPr>
                  <w:r>
                    <w:rPr>
                      <w:rFonts w:hint="eastAsia"/>
                      <w:color w:val="auto"/>
                      <w:kern w:val="2"/>
                      <w:sz w:val="21"/>
                      <w:szCs w:val="21"/>
                    </w:rPr>
                    <w:t>本项目属于</w:t>
                  </w:r>
                  <w:r>
                    <w:rPr>
                      <w:rFonts w:hint="eastAsia"/>
                      <w:sz w:val="21"/>
                      <w:szCs w:val="21"/>
                    </w:rPr>
                    <w:t>C3670 汽车零部件及配件制造</w:t>
                  </w:r>
                  <w:r>
                    <w:rPr>
                      <w:rFonts w:hint="eastAsia"/>
                      <w:color w:val="auto"/>
                      <w:kern w:val="2"/>
                      <w:sz w:val="21"/>
                      <w:szCs w:val="21"/>
                    </w:rPr>
                    <w:t>，项目主要进行控制臂总成和衬套制造，采用新型清洁工艺和设备。项目不涉及重大环境风险隐患，且对照《产业结构调整目录（2024年本）》，</w:t>
                  </w:r>
                  <w:r>
                    <w:rPr>
                      <w:rFonts w:hint="eastAsia"/>
                      <w:bCs/>
                      <w:color w:val="auto"/>
                      <w:kern w:val="2"/>
                      <w:sz w:val="21"/>
                      <w:szCs w:val="21"/>
                    </w:rPr>
                    <w:t>本项目不属于其中的鼓励类、限制类或淘汰类，视为允许建设项目，符合国家产业政策要求</w:t>
                  </w:r>
                </w:p>
              </w:tc>
              <w:tc>
                <w:tcPr>
                  <w:tcW w:w="417" w:type="pct"/>
                  <w:vAlign w:val="center"/>
                </w:tcPr>
                <w:p w14:paraId="5C43C81F">
                  <w:pPr>
                    <w:autoSpaceDE w:val="0"/>
                    <w:autoSpaceDN w:val="0"/>
                    <w:spacing w:line="276" w:lineRule="auto"/>
                    <w:jc w:val="center"/>
                    <w:rPr>
                      <w:sz w:val="21"/>
                      <w:szCs w:val="21"/>
                    </w:rPr>
                  </w:pPr>
                  <w:r>
                    <w:rPr>
                      <w:sz w:val="21"/>
                      <w:szCs w:val="21"/>
                    </w:rPr>
                    <w:t>符合</w:t>
                  </w:r>
                </w:p>
              </w:tc>
            </w:tr>
            <w:tr w14:paraId="2D702A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45" w:type="pct"/>
                  <w:vAlign w:val="center"/>
                </w:tcPr>
                <w:p w14:paraId="01CC1EFD">
                  <w:pPr>
                    <w:autoSpaceDE w:val="0"/>
                    <w:autoSpaceDN w:val="0"/>
                    <w:spacing w:line="276" w:lineRule="auto"/>
                    <w:jc w:val="center"/>
                    <w:rPr>
                      <w:sz w:val="21"/>
                      <w:szCs w:val="21"/>
                    </w:rPr>
                  </w:pPr>
                  <w:r>
                    <w:rPr>
                      <w:sz w:val="21"/>
                      <w:szCs w:val="21"/>
                    </w:rPr>
                    <w:t>3</w:t>
                  </w:r>
                </w:p>
              </w:tc>
              <w:tc>
                <w:tcPr>
                  <w:tcW w:w="2244" w:type="pct"/>
                  <w:vAlign w:val="center"/>
                </w:tcPr>
                <w:p w14:paraId="53E817C2">
                  <w:pPr>
                    <w:autoSpaceDE w:val="0"/>
                    <w:autoSpaceDN w:val="0"/>
                    <w:spacing w:line="276" w:lineRule="auto"/>
                    <w:jc w:val="center"/>
                    <w:rPr>
                      <w:sz w:val="21"/>
                      <w:szCs w:val="21"/>
                    </w:rPr>
                  </w:pPr>
                  <w:r>
                    <w:rPr>
                      <w:rFonts w:hint="eastAsia"/>
                      <w:sz w:val="21"/>
                      <w:szCs w:val="21"/>
                    </w:rPr>
                    <w:t>排水采取雨污分流制。远期实现工业废水和生活污水分系统排放。生活污水纳入城市污水管网，进入淮南市第一污水处理厂。工业区污水处理厂和污水管网建成后，区内各企业污废水自行处理达到接管标准后进入区内污水处理厂，区内污水处理厂和污水管网未建成，各企业废水必须处理后达到《污水综合排放标准》（</w:t>
                  </w:r>
                  <w:r>
                    <w:rPr>
                      <w:sz w:val="21"/>
                      <w:szCs w:val="21"/>
                    </w:rPr>
                    <w:t>GB8978-1996</w:t>
                  </w:r>
                  <w:r>
                    <w:rPr>
                      <w:rFonts w:hint="eastAsia"/>
                      <w:sz w:val="21"/>
                      <w:szCs w:val="21"/>
                    </w:rPr>
                    <w:t>）一级标准的要求</w:t>
                  </w:r>
                </w:p>
              </w:tc>
              <w:tc>
                <w:tcPr>
                  <w:tcW w:w="2093" w:type="pct"/>
                  <w:vAlign w:val="center"/>
                </w:tcPr>
                <w:p w14:paraId="1E511868">
                  <w:pPr>
                    <w:pStyle w:val="32"/>
                    <w:spacing w:line="276" w:lineRule="auto"/>
                    <w:jc w:val="center"/>
                    <w:rPr>
                      <w:color w:val="auto"/>
                      <w:sz w:val="21"/>
                      <w:szCs w:val="21"/>
                    </w:rPr>
                  </w:pPr>
                  <w:r>
                    <w:rPr>
                      <w:rFonts w:hint="eastAsia"/>
                      <w:color w:val="auto"/>
                      <w:kern w:val="2"/>
                      <w:sz w:val="21"/>
                      <w:szCs w:val="21"/>
                    </w:rPr>
                    <w:t>本项目采取雨污分流制。</w:t>
                  </w:r>
                  <w:r>
                    <w:rPr>
                      <w:rFonts w:hAnsi="宋体"/>
                      <w:bCs/>
                      <w:sz w:val="21"/>
                      <w:szCs w:val="21"/>
                    </w:rPr>
                    <w:t>生活污水经化粪池处理</w:t>
                  </w:r>
                  <w:r>
                    <w:rPr>
                      <w:rFonts w:hint="eastAsia" w:hAnsi="宋体"/>
                      <w:bCs/>
                      <w:sz w:val="21"/>
                      <w:szCs w:val="21"/>
                    </w:rPr>
                    <w:t>后，排入市政污水管网</w:t>
                  </w:r>
                  <w:r>
                    <w:rPr>
                      <w:rFonts w:hAnsi="宋体"/>
                      <w:bCs/>
                      <w:sz w:val="21"/>
                      <w:szCs w:val="21"/>
                    </w:rPr>
                    <w:t>，</w:t>
                  </w:r>
                  <w:r>
                    <w:rPr>
                      <w:rFonts w:hint="eastAsia" w:hAnsi="宋体"/>
                      <w:bCs/>
                      <w:sz w:val="21"/>
                      <w:szCs w:val="21"/>
                    </w:rPr>
                    <w:t>最终进入淮南经济技术开发区工业污水处理厂</w:t>
                  </w:r>
                  <w:r>
                    <w:rPr>
                      <w:rFonts w:hAnsi="宋体"/>
                      <w:bCs/>
                      <w:sz w:val="21"/>
                      <w:szCs w:val="21"/>
                    </w:rPr>
                    <w:t>处理</w:t>
                  </w:r>
                </w:p>
              </w:tc>
              <w:tc>
                <w:tcPr>
                  <w:tcW w:w="417" w:type="pct"/>
                  <w:vAlign w:val="center"/>
                </w:tcPr>
                <w:p w14:paraId="1AEA3CD2">
                  <w:pPr>
                    <w:autoSpaceDE w:val="0"/>
                    <w:autoSpaceDN w:val="0"/>
                    <w:spacing w:line="276" w:lineRule="auto"/>
                    <w:jc w:val="center"/>
                    <w:rPr>
                      <w:sz w:val="21"/>
                      <w:szCs w:val="21"/>
                    </w:rPr>
                  </w:pPr>
                  <w:r>
                    <w:rPr>
                      <w:sz w:val="21"/>
                      <w:szCs w:val="21"/>
                    </w:rPr>
                    <w:t>符合</w:t>
                  </w:r>
                </w:p>
              </w:tc>
            </w:tr>
            <w:tr w14:paraId="1E5D04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45" w:type="pct"/>
                  <w:vAlign w:val="center"/>
                </w:tcPr>
                <w:p w14:paraId="28102EF6">
                  <w:pPr>
                    <w:autoSpaceDE w:val="0"/>
                    <w:autoSpaceDN w:val="0"/>
                    <w:spacing w:line="276" w:lineRule="auto"/>
                    <w:jc w:val="center"/>
                    <w:rPr>
                      <w:sz w:val="21"/>
                      <w:szCs w:val="21"/>
                    </w:rPr>
                  </w:pPr>
                  <w:r>
                    <w:rPr>
                      <w:sz w:val="21"/>
                      <w:szCs w:val="21"/>
                    </w:rPr>
                    <w:t>4</w:t>
                  </w:r>
                </w:p>
              </w:tc>
              <w:tc>
                <w:tcPr>
                  <w:tcW w:w="2244" w:type="pct"/>
                  <w:vAlign w:val="center"/>
                </w:tcPr>
                <w:p w14:paraId="07DA8799">
                  <w:pPr>
                    <w:autoSpaceDE w:val="0"/>
                    <w:autoSpaceDN w:val="0"/>
                    <w:spacing w:line="276" w:lineRule="auto"/>
                    <w:jc w:val="center"/>
                    <w:rPr>
                      <w:sz w:val="21"/>
                      <w:szCs w:val="21"/>
                    </w:rPr>
                  </w:pPr>
                  <w:r>
                    <w:rPr>
                      <w:rFonts w:hint="eastAsia"/>
                      <w:sz w:val="21"/>
                      <w:szCs w:val="21"/>
                    </w:rPr>
                    <w:t>按照循环经济的要求，提高工业区固废的综合利用率，严禁企业随意弃置。生活垃圾由环卫部门统一清运。企业产生的危险固废的收集、贮存应满足《危险废物贮存污染控制标准》</w:t>
                  </w:r>
                  <w:r>
                    <w:rPr>
                      <w:rFonts w:hint="eastAsia"/>
                      <w:bCs/>
                      <w:sz w:val="21"/>
                      <w:szCs w:val="21"/>
                    </w:rPr>
                    <w:t>（</w:t>
                  </w:r>
                  <w:r>
                    <w:rPr>
                      <w:sz w:val="21"/>
                      <w:szCs w:val="21"/>
                    </w:rPr>
                    <w:t>GB18597-2001</w:t>
                  </w:r>
                  <w:r>
                    <w:rPr>
                      <w:rFonts w:hint="eastAsia"/>
                      <w:sz w:val="21"/>
                      <w:szCs w:val="21"/>
                    </w:rPr>
                    <w:t>）的要求，并送有资质的危险废物处置单位处置，危险废物的转运应执行《危险废物转移联单管理办法》的有关规定</w:t>
                  </w:r>
                </w:p>
              </w:tc>
              <w:tc>
                <w:tcPr>
                  <w:tcW w:w="2093" w:type="pct"/>
                  <w:vAlign w:val="center"/>
                </w:tcPr>
                <w:p w14:paraId="0CF79D6D">
                  <w:pPr>
                    <w:jc w:val="center"/>
                    <w:rPr>
                      <w:rFonts w:ascii="宋体" w:hAnsi="宋体" w:cs="宋体"/>
                      <w:sz w:val="21"/>
                      <w:szCs w:val="21"/>
                    </w:rPr>
                  </w:pPr>
                  <w:r>
                    <w:rPr>
                      <w:rFonts w:hint="eastAsia"/>
                      <w:sz w:val="21"/>
                      <w:szCs w:val="21"/>
                    </w:rPr>
                    <w:t>一般</w:t>
                  </w:r>
                  <w:r>
                    <w:rPr>
                      <w:sz w:val="21"/>
                      <w:szCs w:val="21"/>
                    </w:rPr>
                    <w:t>工业固体废物</w:t>
                  </w:r>
                  <w:r>
                    <w:rPr>
                      <w:rFonts w:hint="eastAsia"/>
                      <w:sz w:val="21"/>
                      <w:szCs w:val="21"/>
                    </w:rPr>
                    <w:t>（</w:t>
                  </w:r>
                  <w:r>
                    <w:rPr>
                      <w:rFonts w:hAnsi="宋体"/>
                      <w:spacing w:val="-2"/>
                      <w:sz w:val="21"/>
                      <w:szCs w:val="21"/>
                    </w:rPr>
                    <w:t>废包装材料、</w:t>
                  </w:r>
                  <w:r>
                    <w:rPr>
                      <w:rFonts w:hint="eastAsia" w:hAnsi="宋体"/>
                      <w:spacing w:val="-2"/>
                      <w:sz w:val="21"/>
                      <w:szCs w:val="21"/>
                    </w:rPr>
                    <w:t>金属废边角料、橡胶</w:t>
                  </w:r>
                  <w:r>
                    <w:rPr>
                      <w:rFonts w:hAnsi="宋体"/>
                      <w:spacing w:val="-2"/>
                      <w:sz w:val="21"/>
                      <w:szCs w:val="21"/>
                    </w:rPr>
                    <w:t>废边角料</w:t>
                  </w:r>
                  <w:r>
                    <w:rPr>
                      <w:rFonts w:hint="eastAsia" w:hAnsi="宋体"/>
                      <w:spacing w:val="-2"/>
                      <w:sz w:val="21"/>
                      <w:szCs w:val="21"/>
                    </w:rPr>
                    <w:t>、废钢丸、除尘器收集的粉尘</w:t>
                  </w:r>
                  <w:r>
                    <w:rPr>
                      <w:rFonts w:hint="eastAsia"/>
                      <w:sz w:val="21"/>
                      <w:szCs w:val="21"/>
                    </w:rPr>
                    <w:t>）收集后暂存于一般固体废物暂存间，定期外售综合利用；危险废物（</w:t>
                  </w:r>
                  <w:r>
                    <w:rPr>
                      <w:rFonts w:hint="eastAsia" w:hAnsi="宋体"/>
                      <w:spacing w:val="-2"/>
                      <w:sz w:val="21"/>
                      <w:szCs w:val="21"/>
                    </w:rPr>
                    <w:t>振光废水、清洗废液和废水、</w:t>
                  </w:r>
                  <w:r>
                    <w:rPr>
                      <w:rFonts w:hAnsi="宋体"/>
                      <w:bCs/>
                      <w:spacing w:val="-2"/>
                      <w:sz w:val="21"/>
                      <w:szCs w:val="21"/>
                    </w:rPr>
                    <w:t>废</w:t>
                  </w:r>
                  <w:r>
                    <w:rPr>
                      <w:rFonts w:hint="eastAsia" w:hAnsi="宋体"/>
                      <w:bCs/>
                      <w:spacing w:val="-2"/>
                      <w:sz w:val="21"/>
                      <w:szCs w:val="21"/>
                    </w:rPr>
                    <w:t>脱模剂</w:t>
                  </w:r>
                  <w:r>
                    <w:rPr>
                      <w:rFonts w:hAnsi="宋体"/>
                      <w:bCs/>
                      <w:spacing w:val="-2"/>
                      <w:sz w:val="21"/>
                      <w:szCs w:val="21"/>
                    </w:rPr>
                    <w:t>、</w:t>
                  </w:r>
                  <w:r>
                    <w:rPr>
                      <w:rFonts w:hint="eastAsia" w:hAnsi="宋体"/>
                      <w:bCs/>
                      <w:spacing w:val="-2"/>
                      <w:sz w:val="21"/>
                      <w:szCs w:val="21"/>
                    </w:rPr>
                    <w:t>废胶粘剂、</w:t>
                  </w:r>
                  <w:r>
                    <w:rPr>
                      <w:rFonts w:hint="eastAsia"/>
                      <w:sz w:val="21"/>
                      <w:szCs w:val="21"/>
                    </w:rPr>
                    <w:t>槽渣</w:t>
                  </w:r>
                  <w:r>
                    <w:rPr>
                      <w:rFonts w:hAnsi="宋体"/>
                      <w:bCs/>
                      <w:spacing w:val="-2"/>
                      <w:sz w:val="21"/>
                      <w:szCs w:val="21"/>
                    </w:rPr>
                    <w:t>、</w:t>
                  </w:r>
                  <w:r>
                    <w:rPr>
                      <w:rFonts w:hAnsi="宋体"/>
                      <w:spacing w:val="-2"/>
                      <w:sz w:val="21"/>
                      <w:szCs w:val="21"/>
                    </w:rPr>
                    <w:t>废</w:t>
                  </w:r>
                  <w:r>
                    <w:rPr>
                      <w:rFonts w:hint="eastAsia" w:hAnsi="宋体"/>
                      <w:spacing w:val="-2"/>
                      <w:sz w:val="21"/>
                      <w:szCs w:val="21"/>
                    </w:rPr>
                    <w:t>机</w:t>
                  </w:r>
                  <w:r>
                    <w:rPr>
                      <w:rFonts w:hAnsi="宋体"/>
                      <w:spacing w:val="-2"/>
                      <w:sz w:val="21"/>
                      <w:szCs w:val="21"/>
                    </w:rPr>
                    <w:t>油、</w:t>
                  </w:r>
                  <w:r>
                    <w:rPr>
                      <w:rFonts w:hint="eastAsia" w:hAnsi="宋体"/>
                      <w:spacing w:val="-2"/>
                      <w:sz w:val="21"/>
                      <w:szCs w:val="21"/>
                    </w:rPr>
                    <w:t>废机油</w:t>
                  </w:r>
                  <w:r>
                    <w:rPr>
                      <w:rFonts w:hAnsi="宋体"/>
                      <w:spacing w:val="-2"/>
                      <w:sz w:val="21"/>
                      <w:szCs w:val="21"/>
                    </w:rPr>
                    <w:t>桶</w:t>
                  </w:r>
                  <w:r>
                    <w:rPr>
                      <w:rFonts w:hint="eastAsia" w:hAnsi="宋体"/>
                      <w:spacing w:val="-2"/>
                      <w:sz w:val="21"/>
                      <w:szCs w:val="21"/>
                    </w:rPr>
                    <w:t>、</w:t>
                  </w:r>
                  <w:r>
                    <w:rPr>
                      <w:rFonts w:hAnsi="宋体"/>
                      <w:spacing w:val="-2"/>
                      <w:sz w:val="21"/>
                      <w:szCs w:val="21"/>
                    </w:rPr>
                    <w:t>含油抹布</w:t>
                  </w:r>
                  <w:r>
                    <w:rPr>
                      <w:rFonts w:hint="eastAsia" w:hAnsi="宋体"/>
                      <w:spacing w:val="-2"/>
                      <w:sz w:val="21"/>
                      <w:szCs w:val="21"/>
                    </w:rPr>
                    <w:t>、废活性炭</w:t>
                  </w:r>
                  <w:r>
                    <w:rPr>
                      <w:rStyle w:val="23"/>
                      <w:rFonts w:hint="eastAsia"/>
                    </w:rPr>
                    <w:t>等</w:t>
                  </w:r>
                  <w:r>
                    <w:rPr>
                      <w:rFonts w:hint="eastAsia"/>
                      <w:sz w:val="21"/>
                      <w:szCs w:val="21"/>
                    </w:rPr>
                    <w:t>）收集后</w:t>
                  </w:r>
                  <w:r>
                    <w:rPr>
                      <w:sz w:val="21"/>
                      <w:szCs w:val="21"/>
                    </w:rPr>
                    <w:t>分类暂存于危废库，委托有资质单位定期处置；生活垃圾</w:t>
                  </w:r>
                  <w:r>
                    <w:rPr>
                      <w:rFonts w:hint="eastAsia"/>
                      <w:sz w:val="21"/>
                      <w:szCs w:val="21"/>
                    </w:rPr>
                    <w:t>由环卫部门统一清运</w:t>
                  </w:r>
                </w:p>
              </w:tc>
              <w:tc>
                <w:tcPr>
                  <w:tcW w:w="417" w:type="pct"/>
                  <w:vAlign w:val="center"/>
                </w:tcPr>
                <w:p w14:paraId="687226F3">
                  <w:pPr>
                    <w:autoSpaceDE w:val="0"/>
                    <w:autoSpaceDN w:val="0"/>
                    <w:spacing w:line="276" w:lineRule="auto"/>
                    <w:jc w:val="center"/>
                    <w:rPr>
                      <w:sz w:val="21"/>
                      <w:szCs w:val="21"/>
                    </w:rPr>
                  </w:pPr>
                  <w:r>
                    <w:rPr>
                      <w:sz w:val="21"/>
                      <w:szCs w:val="21"/>
                    </w:rPr>
                    <w:t>符合</w:t>
                  </w:r>
                </w:p>
              </w:tc>
            </w:tr>
            <w:tr w14:paraId="46B70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45" w:type="pct"/>
                  <w:vAlign w:val="center"/>
                </w:tcPr>
                <w:p w14:paraId="470B07EC">
                  <w:pPr>
                    <w:autoSpaceDE w:val="0"/>
                    <w:autoSpaceDN w:val="0"/>
                    <w:spacing w:line="276" w:lineRule="auto"/>
                    <w:jc w:val="center"/>
                    <w:rPr>
                      <w:sz w:val="21"/>
                      <w:szCs w:val="21"/>
                    </w:rPr>
                  </w:pPr>
                  <w:r>
                    <w:rPr>
                      <w:rFonts w:hint="eastAsia"/>
                      <w:sz w:val="21"/>
                      <w:szCs w:val="21"/>
                    </w:rPr>
                    <w:t>5</w:t>
                  </w:r>
                </w:p>
              </w:tc>
              <w:tc>
                <w:tcPr>
                  <w:tcW w:w="2244" w:type="pct"/>
                  <w:vAlign w:val="center"/>
                </w:tcPr>
                <w:p w14:paraId="49AC2488">
                  <w:pPr>
                    <w:autoSpaceDE w:val="0"/>
                    <w:autoSpaceDN w:val="0"/>
                    <w:spacing w:line="276" w:lineRule="auto"/>
                    <w:jc w:val="center"/>
                    <w:rPr>
                      <w:sz w:val="21"/>
                      <w:szCs w:val="21"/>
                    </w:rPr>
                  </w:pPr>
                  <w:r>
                    <w:rPr>
                      <w:rFonts w:hint="eastAsia"/>
                      <w:sz w:val="21"/>
                      <w:szCs w:val="21"/>
                    </w:rPr>
                    <w:t>工业区内采用清洁能源，禁止使用燃煤锅炉</w:t>
                  </w:r>
                </w:p>
              </w:tc>
              <w:tc>
                <w:tcPr>
                  <w:tcW w:w="2093" w:type="pct"/>
                  <w:vAlign w:val="center"/>
                </w:tcPr>
                <w:p w14:paraId="19F611DA">
                  <w:pPr>
                    <w:pStyle w:val="32"/>
                    <w:spacing w:line="276" w:lineRule="auto"/>
                    <w:jc w:val="center"/>
                    <w:rPr>
                      <w:color w:val="auto"/>
                      <w:kern w:val="2"/>
                      <w:sz w:val="21"/>
                      <w:szCs w:val="21"/>
                    </w:rPr>
                  </w:pPr>
                  <w:r>
                    <w:rPr>
                      <w:rFonts w:hint="eastAsia"/>
                      <w:sz w:val="21"/>
                      <w:szCs w:val="21"/>
                    </w:rPr>
                    <w:t>本项目无需建设燃煤锅炉，且不使用天然气，仅使用清洁能源电能</w:t>
                  </w:r>
                </w:p>
              </w:tc>
              <w:tc>
                <w:tcPr>
                  <w:tcW w:w="417" w:type="pct"/>
                  <w:vAlign w:val="center"/>
                </w:tcPr>
                <w:p w14:paraId="1F5BD9B1">
                  <w:pPr>
                    <w:autoSpaceDE w:val="0"/>
                    <w:autoSpaceDN w:val="0"/>
                    <w:spacing w:line="276" w:lineRule="auto"/>
                    <w:jc w:val="center"/>
                    <w:rPr>
                      <w:sz w:val="21"/>
                      <w:szCs w:val="21"/>
                    </w:rPr>
                  </w:pPr>
                  <w:r>
                    <w:rPr>
                      <w:rFonts w:hint="eastAsia"/>
                      <w:sz w:val="21"/>
                      <w:szCs w:val="21"/>
                    </w:rPr>
                    <w:t>符合</w:t>
                  </w:r>
                </w:p>
              </w:tc>
            </w:tr>
          </w:tbl>
          <w:p w14:paraId="0E1AF6C4">
            <w:pPr>
              <w:spacing w:line="360" w:lineRule="auto"/>
              <w:ind w:firstLine="480" w:firstLineChars="200"/>
            </w:pPr>
          </w:p>
        </w:tc>
      </w:tr>
    </w:tbl>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364"/>
      </w:tblGrid>
      <w:tr w14:paraId="3CD7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2A0DBE39">
            <w:pPr>
              <w:spacing w:line="360" w:lineRule="auto"/>
              <w:jc w:val="center"/>
              <w:rPr>
                <w:rFonts w:eastAsia="黑体"/>
              </w:rPr>
            </w:pPr>
            <w:r>
              <w:t>其他符合性分析</w:t>
            </w:r>
          </w:p>
        </w:tc>
        <w:tc>
          <w:tcPr>
            <w:tcW w:w="7364" w:type="dxa"/>
          </w:tcPr>
          <w:p w14:paraId="1BE90ED4">
            <w:pPr>
              <w:spacing w:line="360" w:lineRule="auto"/>
              <w:ind w:firstLine="482" w:firstLineChars="200"/>
              <w:rPr>
                <w:b/>
              </w:rPr>
            </w:pPr>
            <w:r>
              <w:rPr>
                <w:b/>
              </w:rPr>
              <w:t>1、产业政策合理性</w:t>
            </w:r>
          </w:p>
          <w:p w14:paraId="546A784A">
            <w:pPr>
              <w:spacing w:line="360" w:lineRule="auto"/>
              <w:ind w:firstLine="480" w:firstLineChars="200"/>
              <w:jc w:val="left"/>
            </w:pPr>
            <w:r>
              <w:rPr>
                <w:rFonts w:hint="eastAsia"/>
              </w:rPr>
              <w:t>本项目为C3670 汽车零部件及配件制造，具体产品为控制臂总成和衬套。</w:t>
            </w:r>
            <w:r>
              <w:t>查询《产业结构调整指导目录（20</w:t>
            </w:r>
            <w:r>
              <w:rPr>
                <w:rFonts w:hint="eastAsia"/>
              </w:rPr>
              <w:t>24</w:t>
            </w:r>
            <w:r>
              <w:t>年本）》，</w:t>
            </w:r>
            <w:r>
              <w:rPr>
                <w:rFonts w:hint="eastAsia"/>
                <w:highlight w:val="none"/>
              </w:rPr>
              <w:t>本项目不属于其中的鼓励类、限制类或淘汰类，视为允许建设项目，符合国家产业政策要求</w:t>
            </w:r>
            <w:r>
              <w:rPr>
                <w:highlight w:val="none"/>
              </w:rPr>
              <w:t>。本项目</w:t>
            </w:r>
            <w:r>
              <w:rPr>
                <w:rFonts w:hint="eastAsia"/>
                <w:highlight w:val="none"/>
              </w:rPr>
              <w:t>已取得淮南经开区经济发展局</w:t>
            </w:r>
            <w:r>
              <w:rPr>
                <w:highlight w:val="none"/>
              </w:rPr>
              <w:t>备案（</w:t>
            </w:r>
            <w:r>
              <w:t>项目代码为</w:t>
            </w:r>
            <w:r>
              <w:rPr>
                <w:rFonts w:hint="eastAsia"/>
              </w:rPr>
              <w:t>2510-340461-04-01-898280</w:t>
            </w:r>
            <w:r>
              <w:t>）。</w:t>
            </w:r>
          </w:p>
          <w:p w14:paraId="1110D83F">
            <w:pPr>
              <w:spacing w:line="360" w:lineRule="auto"/>
              <w:ind w:firstLine="480" w:firstLineChars="200"/>
            </w:pPr>
            <w:r>
              <w:t>综上所述，本项目的建设符合国家产业政策要求。</w:t>
            </w:r>
          </w:p>
          <w:p w14:paraId="7E736EE0">
            <w:pPr>
              <w:spacing w:line="360" w:lineRule="auto"/>
              <w:ind w:firstLine="482" w:firstLineChars="200"/>
              <w:rPr>
                <w:b/>
              </w:rPr>
            </w:pPr>
            <w:r>
              <w:rPr>
                <w:rFonts w:hint="eastAsia"/>
                <w:b/>
              </w:rPr>
              <w:t>2</w:t>
            </w:r>
            <w:r>
              <w:rPr>
                <w:b/>
              </w:rPr>
              <w:t>、周边环境相容性分析</w:t>
            </w:r>
          </w:p>
          <w:p w14:paraId="38133ECB">
            <w:pPr>
              <w:autoSpaceDE w:val="0"/>
              <w:autoSpaceDN w:val="0"/>
              <w:adjustRightInd w:val="0"/>
              <w:spacing w:line="360" w:lineRule="auto"/>
              <w:ind w:firstLine="480" w:firstLineChars="200"/>
              <w:rPr>
                <w:b/>
              </w:rPr>
            </w:pPr>
            <w:r>
              <w:t>本项目</w:t>
            </w:r>
            <w:r>
              <w:rPr>
                <w:rFonts w:hint="eastAsia"/>
              </w:rPr>
              <w:t>位于安微省淮南市淮南经济技术开发区东部工业区绿色智造产业园6#厂房。</w:t>
            </w:r>
            <w:r>
              <w:rPr>
                <w:bCs/>
              </w:rPr>
              <w:t>项目区</w:t>
            </w:r>
            <w:r>
              <w:rPr>
                <w:rFonts w:hint="eastAsia"/>
                <w:bCs/>
              </w:rPr>
              <w:t>东</w:t>
            </w:r>
            <w:r>
              <w:rPr>
                <w:bCs/>
              </w:rPr>
              <w:t>侧为</w:t>
            </w:r>
            <w:r>
              <w:rPr>
                <w:rFonts w:hint="eastAsia"/>
                <w:bCs/>
              </w:rPr>
              <w:t>安徽科安电气设备有限公司</w:t>
            </w:r>
            <w:r>
              <w:rPr>
                <w:bCs/>
              </w:rPr>
              <w:t>（</w:t>
            </w:r>
            <w:r>
              <w:rPr>
                <w:rFonts w:hint="eastAsia"/>
                <w:bCs/>
              </w:rPr>
              <w:t>绿色智造产业园7#、9#、11#厂房，主要从事电气机械和器材制造</w:t>
            </w:r>
            <w:r>
              <w:rPr>
                <w:bCs/>
              </w:rPr>
              <w:t>）</w:t>
            </w:r>
            <w:r>
              <w:rPr>
                <w:rFonts w:hint="eastAsia"/>
                <w:bCs/>
              </w:rPr>
              <w:t>，</w:t>
            </w:r>
            <w:r>
              <w:rPr>
                <w:bCs/>
              </w:rPr>
              <w:t>南侧为</w:t>
            </w:r>
            <w:r>
              <w:rPr>
                <w:rFonts w:hint="eastAsia"/>
                <w:bCs/>
              </w:rPr>
              <w:t>绿色智造产业园</w:t>
            </w:r>
            <w:r>
              <w:rPr>
                <w:rFonts w:hint="eastAsia"/>
                <w:bCs/>
                <w:lang w:val="en-US" w:eastAsia="zh-CN"/>
              </w:rPr>
              <w:t>宿舍楼</w:t>
            </w:r>
            <w:r>
              <w:rPr>
                <w:rFonts w:hint="eastAsia"/>
                <w:bCs/>
              </w:rPr>
              <w:t>，西</w:t>
            </w:r>
            <w:r>
              <w:rPr>
                <w:bCs/>
              </w:rPr>
              <w:t>侧为</w:t>
            </w:r>
            <w:r>
              <w:rPr>
                <w:rFonts w:hint="eastAsia"/>
                <w:bCs/>
              </w:rPr>
              <w:t>安徽集杰汽车零部件制造有限公司（主要从事镍基高温合金冷轧宽幅卷和镍基高温合金冷拔管材制造），</w:t>
            </w:r>
            <w:r>
              <w:rPr>
                <w:bCs/>
              </w:rPr>
              <w:t>北侧</w:t>
            </w:r>
            <w:r>
              <w:rPr>
                <w:rFonts w:hint="eastAsia"/>
                <w:bCs/>
              </w:rPr>
              <w:t>为安徽通腾智能装备有限公司（绿色智造产业园1#厂房，主要从事仪器仪表制造）</w:t>
            </w:r>
            <w:r>
              <w:rPr>
                <w:bCs/>
              </w:rPr>
              <w:t>。项目周边关系图见附图2。项目投入运行且经采取有效的防治措施后对周围环境影响较小。因此，本项目</w:t>
            </w:r>
            <w:r>
              <w:rPr>
                <w:rFonts w:hint="eastAsia"/>
                <w:bCs/>
              </w:rPr>
              <w:t>与周边</w:t>
            </w:r>
            <w:r>
              <w:rPr>
                <w:bCs/>
              </w:rPr>
              <w:t>环境基本相容。</w:t>
            </w:r>
          </w:p>
          <w:p w14:paraId="58A5D28D">
            <w:pPr>
              <w:spacing w:line="360" w:lineRule="auto"/>
              <w:ind w:firstLine="482" w:firstLineChars="200"/>
              <w:rPr>
                <w:rFonts w:eastAsia="黑体"/>
              </w:rPr>
            </w:pPr>
            <w:r>
              <w:rPr>
                <w:rFonts w:hint="eastAsia"/>
                <w:b/>
              </w:rPr>
              <w:t>3</w:t>
            </w:r>
            <w:r>
              <w:rPr>
                <w:b/>
              </w:rPr>
              <w:t>、</w:t>
            </w:r>
            <w:r>
              <w:rPr>
                <w:rFonts w:hint="eastAsia"/>
                <w:b/>
              </w:rPr>
              <w:t>与《长江经济带发展负面清单指南（试行）》</w:t>
            </w:r>
            <w:r>
              <w:rPr>
                <w:b/>
              </w:rPr>
              <w:t>相符性分析</w:t>
            </w:r>
          </w:p>
          <w:p w14:paraId="1EA4CF69">
            <w:pPr>
              <w:spacing w:line="360" w:lineRule="auto"/>
              <w:jc w:val="center"/>
            </w:pPr>
            <w:r>
              <w:rPr>
                <w:rFonts w:eastAsia="黑体"/>
              </w:rPr>
              <w:t>表1-</w:t>
            </w:r>
            <w:r>
              <w:rPr>
                <w:rFonts w:hint="eastAsia" w:eastAsia="黑体"/>
              </w:rPr>
              <w:t>4</w:t>
            </w:r>
            <w:r>
              <w:rPr>
                <w:rFonts w:eastAsia="黑体"/>
              </w:rPr>
              <w:t xml:space="preserve">  与</w:t>
            </w:r>
            <w:r>
              <w:rPr>
                <w:rFonts w:hint="eastAsia" w:eastAsia="黑体"/>
              </w:rPr>
              <w:t>《长江经济带发展负面清单指南（试行）》</w:t>
            </w:r>
            <w:r>
              <w:rPr>
                <w:rFonts w:eastAsia="黑体"/>
              </w:rPr>
              <w:t>相符性分析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3465"/>
              <w:gridCol w:w="2296"/>
              <w:gridCol w:w="865"/>
            </w:tblGrid>
            <w:tr w14:paraId="351DCA3E">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695AE899">
                  <w:pPr>
                    <w:spacing w:line="276" w:lineRule="auto"/>
                    <w:jc w:val="center"/>
                    <w:rPr>
                      <w:b/>
                      <w:bCs/>
                      <w:sz w:val="21"/>
                      <w:szCs w:val="21"/>
                    </w:rPr>
                  </w:pPr>
                  <w:r>
                    <w:rPr>
                      <w:b/>
                      <w:bCs/>
                      <w:sz w:val="21"/>
                      <w:szCs w:val="21"/>
                    </w:rPr>
                    <w:t>序号</w:t>
                  </w:r>
                </w:p>
              </w:tc>
              <w:tc>
                <w:tcPr>
                  <w:tcW w:w="2423" w:type="pct"/>
                  <w:vAlign w:val="center"/>
                </w:tcPr>
                <w:p w14:paraId="5310605B">
                  <w:pPr>
                    <w:spacing w:line="276" w:lineRule="auto"/>
                    <w:jc w:val="center"/>
                    <w:rPr>
                      <w:b/>
                      <w:bCs/>
                      <w:sz w:val="21"/>
                      <w:szCs w:val="21"/>
                    </w:rPr>
                  </w:pPr>
                  <w:r>
                    <w:rPr>
                      <w:b/>
                      <w:bCs/>
                      <w:sz w:val="21"/>
                      <w:szCs w:val="21"/>
                    </w:rPr>
                    <w:t>相关规范情况</w:t>
                  </w:r>
                </w:p>
              </w:tc>
              <w:tc>
                <w:tcPr>
                  <w:tcW w:w="1605" w:type="pct"/>
                  <w:vAlign w:val="center"/>
                </w:tcPr>
                <w:p w14:paraId="38BC895C">
                  <w:pPr>
                    <w:spacing w:line="276" w:lineRule="auto"/>
                    <w:jc w:val="center"/>
                    <w:rPr>
                      <w:b/>
                      <w:bCs/>
                      <w:sz w:val="21"/>
                      <w:szCs w:val="21"/>
                    </w:rPr>
                  </w:pPr>
                  <w:r>
                    <w:rPr>
                      <w:b/>
                      <w:bCs/>
                      <w:sz w:val="21"/>
                      <w:szCs w:val="21"/>
                    </w:rPr>
                    <w:t>本项目情况</w:t>
                  </w:r>
                </w:p>
              </w:tc>
              <w:tc>
                <w:tcPr>
                  <w:tcW w:w="605" w:type="pct"/>
                  <w:vAlign w:val="center"/>
                </w:tcPr>
                <w:p w14:paraId="10548A62">
                  <w:pPr>
                    <w:spacing w:line="276" w:lineRule="auto"/>
                    <w:jc w:val="center"/>
                    <w:rPr>
                      <w:b/>
                      <w:bCs/>
                      <w:sz w:val="21"/>
                      <w:szCs w:val="21"/>
                    </w:rPr>
                  </w:pPr>
                  <w:r>
                    <w:rPr>
                      <w:b/>
                      <w:bCs/>
                      <w:sz w:val="21"/>
                      <w:szCs w:val="21"/>
                    </w:rPr>
                    <w:t>相符性分析</w:t>
                  </w:r>
                </w:p>
              </w:tc>
            </w:tr>
            <w:tr w14:paraId="2CE18907">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65242E98">
                  <w:pPr>
                    <w:spacing w:line="276" w:lineRule="auto"/>
                    <w:jc w:val="center"/>
                    <w:rPr>
                      <w:sz w:val="21"/>
                      <w:szCs w:val="21"/>
                    </w:rPr>
                  </w:pPr>
                  <w:r>
                    <w:rPr>
                      <w:sz w:val="21"/>
                      <w:szCs w:val="21"/>
                    </w:rPr>
                    <w:t>1</w:t>
                  </w:r>
                </w:p>
              </w:tc>
              <w:tc>
                <w:tcPr>
                  <w:tcW w:w="2423" w:type="pct"/>
                  <w:vAlign w:val="center"/>
                </w:tcPr>
                <w:p w14:paraId="05209104">
                  <w:pPr>
                    <w:spacing w:line="276" w:lineRule="auto"/>
                    <w:jc w:val="center"/>
                    <w:rPr>
                      <w:sz w:val="21"/>
                      <w:szCs w:val="21"/>
                    </w:rPr>
                  </w:pPr>
                  <w:r>
                    <w:rPr>
                      <w:sz w:val="21"/>
                      <w:szCs w:val="21"/>
                    </w:rPr>
                    <w:t>禁止在自然保护区核心区、缓冲区的岸线和河段范围内投资建设旅游和生产经营项目。禁止在风景名胜区核心景区的岸线和河段范围内投资建设与风景名胜资源无关的项目</w:t>
                  </w:r>
                </w:p>
              </w:tc>
              <w:tc>
                <w:tcPr>
                  <w:tcW w:w="1605" w:type="pct"/>
                  <w:vAlign w:val="center"/>
                </w:tcPr>
                <w:p w14:paraId="43841752">
                  <w:pPr>
                    <w:spacing w:line="276" w:lineRule="auto"/>
                    <w:jc w:val="center"/>
                    <w:rPr>
                      <w:sz w:val="21"/>
                      <w:szCs w:val="21"/>
                    </w:rPr>
                  </w:pPr>
                  <w:r>
                    <w:rPr>
                      <w:sz w:val="21"/>
                      <w:szCs w:val="21"/>
                    </w:rPr>
                    <w:t>本项目建设在</w:t>
                  </w:r>
                  <w:r>
                    <w:rPr>
                      <w:rFonts w:hint="eastAsia"/>
                      <w:sz w:val="21"/>
                      <w:szCs w:val="21"/>
                    </w:rPr>
                    <w:t>淮南经济技术开发区</w:t>
                  </w:r>
                  <w:r>
                    <w:rPr>
                      <w:sz w:val="21"/>
                      <w:szCs w:val="21"/>
                    </w:rPr>
                    <w:t>内，不属于自然保护区和风景名胜区</w:t>
                  </w:r>
                </w:p>
              </w:tc>
              <w:tc>
                <w:tcPr>
                  <w:tcW w:w="605" w:type="pct"/>
                  <w:vAlign w:val="center"/>
                </w:tcPr>
                <w:p w14:paraId="486139EC">
                  <w:pPr>
                    <w:spacing w:line="276" w:lineRule="auto"/>
                    <w:jc w:val="center"/>
                    <w:rPr>
                      <w:sz w:val="21"/>
                      <w:szCs w:val="21"/>
                    </w:rPr>
                  </w:pPr>
                  <w:r>
                    <w:rPr>
                      <w:bCs/>
                      <w:sz w:val="21"/>
                      <w:szCs w:val="21"/>
                    </w:rPr>
                    <w:t>符合</w:t>
                  </w:r>
                </w:p>
              </w:tc>
            </w:tr>
            <w:tr w14:paraId="0559DBAC">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7FA97B01">
                  <w:pPr>
                    <w:spacing w:line="276" w:lineRule="auto"/>
                    <w:jc w:val="center"/>
                    <w:rPr>
                      <w:sz w:val="21"/>
                      <w:szCs w:val="21"/>
                    </w:rPr>
                  </w:pPr>
                  <w:r>
                    <w:rPr>
                      <w:sz w:val="21"/>
                      <w:szCs w:val="21"/>
                    </w:rPr>
                    <w:t>2</w:t>
                  </w:r>
                </w:p>
              </w:tc>
              <w:tc>
                <w:tcPr>
                  <w:tcW w:w="2423" w:type="pct"/>
                  <w:vAlign w:val="center"/>
                </w:tcPr>
                <w:p w14:paraId="1A576631">
                  <w:pPr>
                    <w:spacing w:line="276" w:lineRule="auto"/>
                    <w:jc w:val="center"/>
                    <w:rPr>
                      <w:sz w:val="21"/>
                      <w:szCs w:val="21"/>
                    </w:rPr>
                  </w:pPr>
                  <w:r>
                    <w:rPr>
                      <w:sz w:val="21"/>
                      <w:szCs w:val="21"/>
                    </w:rPr>
                    <w:t>禁止在饮用水水源一级保护区的岸线和河段范围内新建、改建、扩建与供水设施和保护水源无关的项目，以及网箱养殖、旅游等可能污染饮用水体的投资建设项目。禁止在饮用水源二级保护区的岸线和河段范围内新建、改建、扩建排放污染物的投资建设项目</w:t>
                  </w:r>
                </w:p>
              </w:tc>
              <w:tc>
                <w:tcPr>
                  <w:tcW w:w="1605" w:type="pct"/>
                  <w:vAlign w:val="center"/>
                </w:tcPr>
                <w:p w14:paraId="7D419F85">
                  <w:pPr>
                    <w:spacing w:line="276" w:lineRule="auto"/>
                    <w:jc w:val="center"/>
                    <w:rPr>
                      <w:bCs/>
                      <w:sz w:val="21"/>
                      <w:szCs w:val="21"/>
                    </w:rPr>
                  </w:pPr>
                  <w:r>
                    <w:rPr>
                      <w:sz w:val="21"/>
                      <w:szCs w:val="21"/>
                    </w:rPr>
                    <w:t>本项目建设在</w:t>
                  </w:r>
                  <w:r>
                    <w:rPr>
                      <w:rFonts w:hint="eastAsia"/>
                      <w:sz w:val="21"/>
                      <w:szCs w:val="21"/>
                    </w:rPr>
                    <w:t>淮南经济技术开发区</w:t>
                  </w:r>
                  <w:r>
                    <w:rPr>
                      <w:sz w:val="21"/>
                      <w:szCs w:val="21"/>
                    </w:rPr>
                    <w:t>内，不属于饮用水源保护区</w:t>
                  </w:r>
                </w:p>
              </w:tc>
              <w:tc>
                <w:tcPr>
                  <w:tcW w:w="605" w:type="pct"/>
                  <w:vAlign w:val="center"/>
                </w:tcPr>
                <w:p w14:paraId="0275F7CA">
                  <w:pPr>
                    <w:spacing w:line="276" w:lineRule="auto"/>
                    <w:jc w:val="center"/>
                    <w:rPr>
                      <w:bCs/>
                      <w:sz w:val="21"/>
                      <w:szCs w:val="21"/>
                    </w:rPr>
                  </w:pPr>
                  <w:r>
                    <w:rPr>
                      <w:bCs/>
                      <w:sz w:val="21"/>
                      <w:szCs w:val="21"/>
                    </w:rPr>
                    <w:t>符合</w:t>
                  </w:r>
                </w:p>
              </w:tc>
            </w:tr>
            <w:tr w14:paraId="4DB919A4">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3B1F2FBD">
                  <w:pPr>
                    <w:spacing w:line="276" w:lineRule="auto"/>
                    <w:jc w:val="center"/>
                    <w:rPr>
                      <w:sz w:val="21"/>
                      <w:szCs w:val="21"/>
                    </w:rPr>
                  </w:pPr>
                  <w:r>
                    <w:rPr>
                      <w:sz w:val="21"/>
                      <w:szCs w:val="21"/>
                    </w:rPr>
                    <w:t>3</w:t>
                  </w:r>
                </w:p>
              </w:tc>
              <w:tc>
                <w:tcPr>
                  <w:tcW w:w="2423" w:type="pct"/>
                  <w:vAlign w:val="center"/>
                </w:tcPr>
                <w:p w14:paraId="58E3014D">
                  <w:pPr>
                    <w:spacing w:line="276" w:lineRule="auto"/>
                    <w:jc w:val="center"/>
                    <w:rPr>
                      <w:sz w:val="21"/>
                      <w:szCs w:val="21"/>
                    </w:rPr>
                  </w:pPr>
                  <w:r>
                    <w:rPr>
                      <w:sz w:val="21"/>
                      <w:szCs w:val="21"/>
                    </w:rPr>
                    <w:t>禁止在生态保护红线和永久基本农田范围内投资建设除国家重大战略资源勘查项目、生态保护修复和环境治理项目、重大基础设施项目、军事国防项目以及农牧民基本生产生活等必要的民生以外的项目</w:t>
                  </w:r>
                </w:p>
              </w:tc>
              <w:tc>
                <w:tcPr>
                  <w:tcW w:w="1605" w:type="pct"/>
                  <w:vAlign w:val="center"/>
                </w:tcPr>
                <w:p w14:paraId="51F123DC">
                  <w:pPr>
                    <w:spacing w:line="276" w:lineRule="auto"/>
                    <w:jc w:val="center"/>
                    <w:rPr>
                      <w:bCs/>
                      <w:sz w:val="21"/>
                      <w:szCs w:val="21"/>
                    </w:rPr>
                  </w:pPr>
                  <w:r>
                    <w:rPr>
                      <w:sz w:val="21"/>
                      <w:szCs w:val="21"/>
                    </w:rPr>
                    <w:t>本项目建设在</w:t>
                  </w:r>
                  <w:r>
                    <w:rPr>
                      <w:rFonts w:hint="eastAsia"/>
                      <w:sz w:val="21"/>
                      <w:szCs w:val="21"/>
                    </w:rPr>
                    <w:t>淮南经济技术开发区</w:t>
                  </w:r>
                  <w:r>
                    <w:rPr>
                      <w:sz w:val="21"/>
                      <w:szCs w:val="21"/>
                    </w:rPr>
                    <w:t>内，不在生态保护红线和永久基本农田范围内</w:t>
                  </w:r>
                </w:p>
              </w:tc>
              <w:tc>
                <w:tcPr>
                  <w:tcW w:w="605" w:type="pct"/>
                  <w:vAlign w:val="center"/>
                </w:tcPr>
                <w:p w14:paraId="0DAF8BC5">
                  <w:pPr>
                    <w:spacing w:line="276" w:lineRule="auto"/>
                    <w:jc w:val="center"/>
                    <w:rPr>
                      <w:bCs/>
                      <w:sz w:val="21"/>
                      <w:szCs w:val="21"/>
                    </w:rPr>
                  </w:pPr>
                  <w:r>
                    <w:rPr>
                      <w:bCs/>
                      <w:sz w:val="21"/>
                      <w:szCs w:val="21"/>
                    </w:rPr>
                    <w:t>符合</w:t>
                  </w:r>
                </w:p>
              </w:tc>
            </w:tr>
            <w:tr w14:paraId="0BDAC055">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051489E0">
                  <w:pPr>
                    <w:spacing w:line="276" w:lineRule="auto"/>
                    <w:jc w:val="center"/>
                    <w:rPr>
                      <w:sz w:val="21"/>
                      <w:szCs w:val="21"/>
                    </w:rPr>
                  </w:pPr>
                  <w:r>
                    <w:rPr>
                      <w:sz w:val="21"/>
                      <w:szCs w:val="21"/>
                    </w:rPr>
                    <w:t>4</w:t>
                  </w:r>
                </w:p>
              </w:tc>
              <w:tc>
                <w:tcPr>
                  <w:tcW w:w="2423" w:type="pct"/>
                  <w:vAlign w:val="center"/>
                </w:tcPr>
                <w:p w14:paraId="55733729">
                  <w:pPr>
                    <w:spacing w:line="276" w:lineRule="auto"/>
                    <w:jc w:val="center"/>
                    <w:rPr>
                      <w:sz w:val="21"/>
                      <w:szCs w:val="21"/>
                    </w:rPr>
                  </w:pPr>
                  <w:r>
                    <w:rPr>
                      <w:sz w:val="21"/>
                      <w:szCs w:val="21"/>
                    </w:rPr>
                    <w:t>禁止在长江干支流1公里范围内新建、扩建化工园区和化工项目，禁止在合规园区外新建、扩建钢铁、石化、化工、焦化、建材、有色等高污染项目</w:t>
                  </w:r>
                </w:p>
              </w:tc>
              <w:tc>
                <w:tcPr>
                  <w:tcW w:w="1605" w:type="pct"/>
                  <w:vAlign w:val="center"/>
                </w:tcPr>
                <w:p w14:paraId="7DF539A9">
                  <w:pPr>
                    <w:spacing w:line="276" w:lineRule="auto"/>
                    <w:jc w:val="center"/>
                    <w:rPr>
                      <w:bCs/>
                      <w:sz w:val="21"/>
                      <w:szCs w:val="21"/>
                    </w:rPr>
                  </w:pPr>
                  <w:r>
                    <w:rPr>
                      <w:sz w:val="21"/>
                      <w:szCs w:val="21"/>
                    </w:rPr>
                    <w:t>本项目建设地不属于长江干支流1公里的范围</w:t>
                  </w:r>
                </w:p>
              </w:tc>
              <w:tc>
                <w:tcPr>
                  <w:tcW w:w="605" w:type="pct"/>
                  <w:vAlign w:val="center"/>
                </w:tcPr>
                <w:p w14:paraId="14395B22">
                  <w:pPr>
                    <w:spacing w:line="276" w:lineRule="auto"/>
                    <w:jc w:val="center"/>
                    <w:rPr>
                      <w:bCs/>
                      <w:sz w:val="21"/>
                      <w:szCs w:val="21"/>
                    </w:rPr>
                  </w:pPr>
                  <w:r>
                    <w:rPr>
                      <w:bCs/>
                      <w:sz w:val="21"/>
                      <w:szCs w:val="21"/>
                    </w:rPr>
                    <w:t>符合</w:t>
                  </w:r>
                </w:p>
              </w:tc>
            </w:tr>
            <w:tr w14:paraId="7F49CFE0">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1D9A82A0">
                  <w:pPr>
                    <w:spacing w:line="276" w:lineRule="auto"/>
                    <w:jc w:val="center"/>
                    <w:rPr>
                      <w:sz w:val="21"/>
                      <w:szCs w:val="21"/>
                    </w:rPr>
                  </w:pPr>
                  <w:r>
                    <w:rPr>
                      <w:sz w:val="21"/>
                      <w:szCs w:val="21"/>
                    </w:rPr>
                    <w:t>5</w:t>
                  </w:r>
                </w:p>
              </w:tc>
              <w:tc>
                <w:tcPr>
                  <w:tcW w:w="2423" w:type="pct"/>
                  <w:vAlign w:val="center"/>
                </w:tcPr>
                <w:p w14:paraId="764A5484">
                  <w:pPr>
                    <w:spacing w:line="276" w:lineRule="auto"/>
                    <w:jc w:val="center"/>
                    <w:rPr>
                      <w:sz w:val="21"/>
                      <w:szCs w:val="21"/>
                    </w:rPr>
                  </w:pPr>
                  <w:r>
                    <w:rPr>
                      <w:sz w:val="21"/>
                      <w:szCs w:val="21"/>
                    </w:rPr>
                    <w:t>禁止新建、扩建不符合国家石化、现代煤化工等产业布局规划的项目</w:t>
                  </w:r>
                </w:p>
              </w:tc>
              <w:tc>
                <w:tcPr>
                  <w:tcW w:w="1605" w:type="pct"/>
                  <w:vAlign w:val="center"/>
                </w:tcPr>
                <w:p w14:paraId="2D3CBFDB">
                  <w:pPr>
                    <w:spacing w:line="276" w:lineRule="auto"/>
                    <w:jc w:val="center"/>
                    <w:rPr>
                      <w:bCs/>
                      <w:sz w:val="21"/>
                      <w:szCs w:val="21"/>
                    </w:rPr>
                  </w:pPr>
                  <w:r>
                    <w:rPr>
                      <w:sz w:val="21"/>
                      <w:szCs w:val="21"/>
                    </w:rPr>
                    <w:t>本项目与</w:t>
                  </w:r>
                  <w:r>
                    <w:rPr>
                      <w:rFonts w:hint="eastAsia"/>
                      <w:sz w:val="21"/>
                      <w:szCs w:val="21"/>
                    </w:rPr>
                    <w:t>淮南经济技术开发区</w:t>
                  </w:r>
                  <w:r>
                    <w:rPr>
                      <w:sz w:val="21"/>
                      <w:szCs w:val="21"/>
                    </w:rPr>
                    <w:t>的规划相符合</w:t>
                  </w:r>
                </w:p>
              </w:tc>
              <w:tc>
                <w:tcPr>
                  <w:tcW w:w="605" w:type="pct"/>
                  <w:vAlign w:val="center"/>
                </w:tcPr>
                <w:p w14:paraId="10645991">
                  <w:pPr>
                    <w:spacing w:line="276" w:lineRule="auto"/>
                    <w:jc w:val="center"/>
                    <w:rPr>
                      <w:bCs/>
                      <w:sz w:val="21"/>
                      <w:szCs w:val="21"/>
                    </w:rPr>
                  </w:pPr>
                  <w:r>
                    <w:rPr>
                      <w:bCs/>
                      <w:sz w:val="21"/>
                      <w:szCs w:val="21"/>
                    </w:rPr>
                    <w:t>符合</w:t>
                  </w:r>
                </w:p>
              </w:tc>
            </w:tr>
            <w:tr w14:paraId="419BE3D7">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763E1842">
                  <w:pPr>
                    <w:spacing w:line="276" w:lineRule="auto"/>
                    <w:jc w:val="center"/>
                    <w:rPr>
                      <w:sz w:val="21"/>
                      <w:szCs w:val="21"/>
                    </w:rPr>
                  </w:pPr>
                  <w:r>
                    <w:rPr>
                      <w:sz w:val="21"/>
                      <w:szCs w:val="21"/>
                    </w:rPr>
                    <w:t>6</w:t>
                  </w:r>
                </w:p>
              </w:tc>
              <w:tc>
                <w:tcPr>
                  <w:tcW w:w="2423" w:type="pct"/>
                  <w:vAlign w:val="center"/>
                </w:tcPr>
                <w:p w14:paraId="6110A30B">
                  <w:pPr>
                    <w:spacing w:line="276" w:lineRule="auto"/>
                    <w:jc w:val="center"/>
                    <w:rPr>
                      <w:sz w:val="21"/>
                      <w:szCs w:val="21"/>
                    </w:rPr>
                  </w:pPr>
                  <w:r>
                    <w:rPr>
                      <w:sz w:val="21"/>
                      <w:szCs w:val="21"/>
                    </w:rPr>
                    <w:t>禁止新建、扩建法律法规和相关政策明令禁止的落后产能项目</w:t>
                  </w:r>
                </w:p>
              </w:tc>
              <w:tc>
                <w:tcPr>
                  <w:tcW w:w="1605" w:type="pct"/>
                  <w:vAlign w:val="center"/>
                </w:tcPr>
                <w:p w14:paraId="048E9129">
                  <w:pPr>
                    <w:spacing w:line="276" w:lineRule="auto"/>
                    <w:jc w:val="center"/>
                    <w:rPr>
                      <w:bCs/>
                      <w:sz w:val="21"/>
                      <w:szCs w:val="21"/>
                    </w:rPr>
                  </w:pPr>
                  <w:r>
                    <w:rPr>
                      <w:sz w:val="21"/>
                      <w:szCs w:val="21"/>
                    </w:rPr>
                    <w:t>本项目不属于落后产能项目，</w:t>
                  </w:r>
                  <w:r>
                    <w:rPr>
                      <w:bCs/>
                      <w:sz w:val="21"/>
                      <w:szCs w:val="21"/>
                    </w:rPr>
                    <w:t>项目</w:t>
                  </w:r>
                  <w:r>
                    <w:rPr>
                      <w:rFonts w:hint="eastAsia"/>
                      <w:sz w:val="21"/>
                      <w:szCs w:val="21"/>
                    </w:rPr>
                    <w:t>已取得淮南经开区经济发展局</w:t>
                  </w:r>
                  <w:r>
                    <w:rPr>
                      <w:sz w:val="21"/>
                      <w:szCs w:val="21"/>
                    </w:rPr>
                    <w:t>备案（项目代码为</w:t>
                  </w:r>
                  <w:r>
                    <w:rPr>
                      <w:rFonts w:hint="eastAsia"/>
                      <w:sz w:val="21"/>
                      <w:szCs w:val="21"/>
                    </w:rPr>
                    <w:t>2510-340461-04-01-898280</w:t>
                  </w:r>
                  <w:r>
                    <w:rPr>
                      <w:sz w:val="21"/>
                      <w:szCs w:val="21"/>
                    </w:rPr>
                    <w:t>），符合政策要求</w:t>
                  </w:r>
                </w:p>
              </w:tc>
              <w:tc>
                <w:tcPr>
                  <w:tcW w:w="605" w:type="pct"/>
                  <w:vAlign w:val="center"/>
                </w:tcPr>
                <w:p w14:paraId="1DE249A5">
                  <w:pPr>
                    <w:spacing w:line="276" w:lineRule="auto"/>
                    <w:jc w:val="center"/>
                    <w:rPr>
                      <w:bCs/>
                      <w:sz w:val="21"/>
                      <w:szCs w:val="21"/>
                    </w:rPr>
                  </w:pPr>
                  <w:r>
                    <w:rPr>
                      <w:bCs/>
                      <w:sz w:val="21"/>
                      <w:szCs w:val="21"/>
                    </w:rPr>
                    <w:t>符合</w:t>
                  </w:r>
                </w:p>
              </w:tc>
            </w:tr>
            <w:tr w14:paraId="25D31249">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65" w:type="pct"/>
                  <w:vAlign w:val="center"/>
                </w:tcPr>
                <w:p w14:paraId="70D6B547">
                  <w:pPr>
                    <w:spacing w:line="276" w:lineRule="auto"/>
                    <w:jc w:val="center"/>
                    <w:rPr>
                      <w:sz w:val="21"/>
                      <w:szCs w:val="21"/>
                    </w:rPr>
                  </w:pPr>
                  <w:r>
                    <w:rPr>
                      <w:sz w:val="21"/>
                      <w:szCs w:val="21"/>
                    </w:rPr>
                    <w:t>7</w:t>
                  </w:r>
                </w:p>
              </w:tc>
              <w:tc>
                <w:tcPr>
                  <w:tcW w:w="2423" w:type="pct"/>
                  <w:vAlign w:val="center"/>
                </w:tcPr>
                <w:p w14:paraId="51D03F88">
                  <w:pPr>
                    <w:spacing w:line="276" w:lineRule="auto"/>
                    <w:jc w:val="center"/>
                    <w:rPr>
                      <w:sz w:val="21"/>
                      <w:szCs w:val="21"/>
                    </w:rPr>
                  </w:pPr>
                  <w:r>
                    <w:rPr>
                      <w:sz w:val="21"/>
                      <w:szCs w:val="21"/>
                    </w:rPr>
                    <w:t>禁止新建、扩建不符合国家产能置换要求的严重过剩产能行业的项目</w:t>
                  </w:r>
                </w:p>
              </w:tc>
              <w:tc>
                <w:tcPr>
                  <w:tcW w:w="1605" w:type="pct"/>
                  <w:vAlign w:val="center"/>
                </w:tcPr>
                <w:p w14:paraId="6966A6A1">
                  <w:pPr>
                    <w:spacing w:line="276" w:lineRule="auto"/>
                    <w:jc w:val="center"/>
                    <w:rPr>
                      <w:bCs/>
                      <w:sz w:val="21"/>
                      <w:szCs w:val="21"/>
                    </w:rPr>
                  </w:pPr>
                  <w:r>
                    <w:rPr>
                      <w:sz w:val="21"/>
                      <w:szCs w:val="21"/>
                    </w:rPr>
                    <w:t>本项目所需行业不需要产能置换</w:t>
                  </w:r>
                </w:p>
              </w:tc>
              <w:tc>
                <w:tcPr>
                  <w:tcW w:w="605" w:type="pct"/>
                  <w:vAlign w:val="center"/>
                </w:tcPr>
                <w:p w14:paraId="133B5B61">
                  <w:pPr>
                    <w:spacing w:line="276" w:lineRule="auto"/>
                    <w:jc w:val="center"/>
                    <w:rPr>
                      <w:bCs/>
                      <w:sz w:val="21"/>
                      <w:szCs w:val="21"/>
                    </w:rPr>
                  </w:pPr>
                  <w:r>
                    <w:rPr>
                      <w:bCs/>
                      <w:sz w:val="21"/>
                      <w:szCs w:val="21"/>
                    </w:rPr>
                    <w:t>符合</w:t>
                  </w:r>
                </w:p>
              </w:tc>
            </w:tr>
          </w:tbl>
          <w:p w14:paraId="7B923E49">
            <w:pPr>
              <w:autoSpaceDE w:val="0"/>
              <w:autoSpaceDN w:val="0"/>
              <w:adjustRightInd w:val="0"/>
              <w:spacing w:line="360" w:lineRule="auto"/>
              <w:ind w:firstLine="482" w:firstLineChars="200"/>
              <w:rPr>
                <w:b/>
              </w:rPr>
            </w:pPr>
            <w:r>
              <w:rPr>
                <w:rFonts w:hint="eastAsia"/>
                <w:b/>
              </w:rPr>
              <w:t>4、</w:t>
            </w:r>
            <w:r>
              <w:rPr>
                <w:rFonts w:ascii="宋体" w:hAnsi="宋体"/>
                <w:b/>
              </w:rPr>
              <w:t>与“关于印发《淮南市“十四五”生态环</w:t>
            </w:r>
            <w:r>
              <w:rPr>
                <w:b/>
              </w:rPr>
              <w:t>境保护规划》的通知（淮环通〔2022〕46</w:t>
            </w:r>
            <w:r>
              <w:rPr>
                <w:rFonts w:hAnsi="宋体"/>
                <w:b/>
              </w:rPr>
              <w:t>号</w:t>
            </w:r>
            <w:r>
              <w:rPr>
                <w:rFonts w:ascii="宋体" w:hAnsi="宋体"/>
                <w:b/>
              </w:rPr>
              <w:t>）”</w:t>
            </w:r>
            <w:r>
              <w:rPr>
                <w:b/>
              </w:rPr>
              <w:t>符合性分析。</w:t>
            </w:r>
          </w:p>
          <w:p w14:paraId="70EE40CA">
            <w:pPr>
              <w:autoSpaceDE w:val="0"/>
              <w:autoSpaceDN w:val="0"/>
              <w:adjustRightInd w:val="0"/>
              <w:spacing w:line="360" w:lineRule="auto"/>
              <w:jc w:val="center"/>
              <w:rPr>
                <w:rFonts w:eastAsia="黑体"/>
              </w:rPr>
            </w:pPr>
            <w:r>
              <w:rPr>
                <w:rFonts w:hAnsi="黑体" w:eastAsia="黑体"/>
              </w:rPr>
              <w:t>表</w:t>
            </w:r>
            <w:r>
              <w:rPr>
                <w:rFonts w:hint="eastAsia"/>
              </w:rPr>
              <w:t>1-5</w:t>
            </w:r>
            <w:r>
              <w:rPr>
                <w:rFonts w:hAnsi="黑体" w:eastAsia="黑体"/>
              </w:rPr>
              <w:t>项目与《淮南市</w:t>
            </w:r>
            <w:r>
              <w:rPr>
                <w:rFonts w:hint="eastAsia" w:ascii="黑体" w:hAnsi="黑体" w:eastAsia="黑体" w:cs="黑体"/>
              </w:rPr>
              <w:t>“十四五”生态</w:t>
            </w:r>
            <w:r>
              <w:rPr>
                <w:rFonts w:hAnsi="黑体" w:eastAsia="黑体"/>
              </w:rPr>
              <w:t>环境保护规划》符合性分析</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92"/>
              <w:gridCol w:w="935"/>
            </w:tblGrid>
            <w:tr w14:paraId="6001A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2" w:type="pct"/>
                  <w:vAlign w:val="center"/>
                </w:tcPr>
                <w:p w14:paraId="79C36EFE">
                  <w:pPr>
                    <w:autoSpaceDE w:val="0"/>
                    <w:autoSpaceDN w:val="0"/>
                    <w:adjustRightInd w:val="0"/>
                    <w:spacing w:line="276" w:lineRule="auto"/>
                    <w:jc w:val="center"/>
                    <w:rPr>
                      <w:b/>
                      <w:sz w:val="21"/>
                      <w:szCs w:val="21"/>
                    </w:rPr>
                  </w:pPr>
                  <w:r>
                    <w:rPr>
                      <w:b/>
                      <w:sz w:val="21"/>
                      <w:szCs w:val="21"/>
                    </w:rPr>
                    <w:t>淮环通〔2022〕46号</w:t>
                  </w:r>
                </w:p>
              </w:tc>
              <w:tc>
                <w:tcPr>
                  <w:tcW w:w="1883" w:type="pct"/>
                  <w:vAlign w:val="center"/>
                </w:tcPr>
                <w:p w14:paraId="21CF3F5E">
                  <w:pPr>
                    <w:autoSpaceDE w:val="0"/>
                    <w:autoSpaceDN w:val="0"/>
                    <w:adjustRightInd w:val="0"/>
                    <w:spacing w:line="276" w:lineRule="auto"/>
                    <w:jc w:val="center"/>
                    <w:rPr>
                      <w:b/>
                      <w:sz w:val="21"/>
                      <w:szCs w:val="21"/>
                    </w:rPr>
                  </w:pPr>
                  <w:r>
                    <w:rPr>
                      <w:b/>
                      <w:sz w:val="21"/>
                      <w:szCs w:val="21"/>
                    </w:rPr>
                    <w:t>本项目</w:t>
                  </w:r>
                </w:p>
              </w:tc>
              <w:tc>
                <w:tcPr>
                  <w:tcW w:w="654" w:type="pct"/>
                  <w:vAlign w:val="center"/>
                </w:tcPr>
                <w:p w14:paraId="5D680420">
                  <w:pPr>
                    <w:autoSpaceDE w:val="0"/>
                    <w:autoSpaceDN w:val="0"/>
                    <w:adjustRightInd w:val="0"/>
                    <w:spacing w:line="276" w:lineRule="auto"/>
                    <w:jc w:val="center"/>
                    <w:rPr>
                      <w:b/>
                      <w:sz w:val="21"/>
                      <w:szCs w:val="21"/>
                    </w:rPr>
                  </w:pPr>
                  <w:r>
                    <w:rPr>
                      <w:rFonts w:hAnsi="Calibri"/>
                      <w:b/>
                      <w:sz w:val="21"/>
                      <w:szCs w:val="21"/>
                    </w:rPr>
                    <w:t>符合性</w:t>
                  </w:r>
                </w:p>
              </w:tc>
            </w:tr>
            <w:tr w14:paraId="4B29F9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20" w:type="dxa"/>
                  <w:vAlign w:val="center"/>
                </w:tcPr>
                <w:p w14:paraId="2069CA36">
                  <w:pPr>
                    <w:adjustRightInd w:val="0"/>
                    <w:snapToGrid w:val="0"/>
                    <w:spacing w:line="276" w:lineRule="auto"/>
                    <w:jc w:val="center"/>
                    <w:rPr>
                      <w:sz w:val="21"/>
                      <w:szCs w:val="21"/>
                    </w:rPr>
                  </w:pPr>
                  <w:r>
                    <w:rPr>
                      <w:rFonts w:hint="eastAsia" w:cs="宋体"/>
                      <w:sz w:val="21"/>
                      <w:szCs w:val="21"/>
                    </w:rPr>
                    <w:t>控制煤炭消费总量，加快实施重点用能单位节能低碳行动和重点产业能效提升计划，严格执行高耗能行业产品能耗限额标准体系</w:t>
                  </w:r>
                </w:p>
              </w:tc>
              <w:tc>
                <w:tcPr>
                  <w:tcW w:w="2693" w:type="dxa"/>
                  <w:vAlign w:val="center"/>
                </w:tcPr>
                <w:p w14:paraId="2D5F8167">
                  <w:pPr>
                    <w:adjustRightInd w:val="0"/>
                    <w:snapToGrid w:val="0"/>
                    <w:spacing w:line="276" w:lineRule="auto"/>
                    <w:jc w:val="center"/>
                    <w:rPr>
                      <w:sz w:val="21"/>
                      <w:szCs w:val="21"/>
                    </w:rPr>
                  </w:pPr>
                  <w:r>
                    <w:rPr>
                      <w:rFonts w:hint="eastAsia" w:cs="宋体"/>
                      <w:sz w:val="21"/>
                      <w:szCs w:val="21"/>
                    </w:rPr>
                    <w:t>本项目不涉及煤炭使用</w:t>
                  </w:r>
                </w:p>
              </w:tc>
              <w:tc>
                <w:tcPr>
                  <w:tcW w:w="935" w:type="dxa"/>
                  <w:vAlign w:val="center"/>
                </w:tcPr>
                <w:p w14:paraId="64FF1DFA">
                  <w:pPr>
                    <w:adjustRightInd w:val="0"/>
                    <w:snapToGrid w:val="0"/>
                    <w:spacing w:line="276" w:lineRule="auto"/>
                    <w:jc w:val="center"/>
                    <w:rPr>
                      <w:sz w:val="21"/>
                      <w:szCs w:val="21"/>
                    </w:rPr>
                  </w:pPr>
                  <w:r>
                    <w:rPr>
                      <w:rFonts w:hint="eastAsia" w:hAnsi="Calibri" w:cs="宋体"/>
                      <w:sz w:val="21"/>
                      <w:szCs w:val="21"/>
                    </w:rPr>
                    <w:t>符合</w:t>
                  </w:r>
                </w:p>
              </w:tc>
            </w:tr>
            <w:tr w14:paraId="0F9B5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20" w:type="dxa"/>
                  <w:vAlign w:val="center"/>
                </w:tcPr>
                <w:p w14:paraId="73E786BB">
                  <w:pPr>
                    <w:adjustRightInd w:val="0"/>
                    <w:snapToGrid w:val="0"/>
                    <w:spacing w:line="276" w:lineRule="auto"/>
                    <w:jc w:val="center"/>
                    <w:rPr>
                      <w:sz w:val="21"/>
                      <w:szCs w:val="21"/>
                    </w:rPr>
                  </w:pPr>
                  <w:r>
                    <w:rPr>
                      <w:rFonts w:hint="eastAsia" w:hAnsi="宋体"/>
                      <w:sz w:val="21"/>
                      <w:szCs w:val="21"/>
                    </w:rPr>
                    <w:t>按照“分类管理、分级负责、属地为主”的总体要求，进一步健全市、县区（市职能部门）、乡镇（县区职能部门）三级环境应急响应机制。修编全市突发环境事件总体应急预案，定期开展环境应急演练，建立健全信息共享、组织指挥、应对保障等方面协调联动工作机制，形成快速处置突发事件的合力，不断完善网状环境应急指挥体系</w:t>
                  </w:r>
                </w:p>
              </w:tc>
              <w:tc>
                <w:tcPr>
                  <w:tcW w:w="2693" w:type="dxa"/>
                  <w:vAlign w:val="center"/>
                </w:tcPr>
                <w:p w14:paraId="4A80B306">
                  <w:pPr>
                    <w:adjustRightInd w:val="0"/>
                    <w:snapToGrid w:val="0"/>
                    <w:spacing w:line="276" w:lineRule="auto"/>
                    <w:jc w:val="center"/>
                    <w:rPr>
                      <w:sz w:val="21"/>
                      <w:szCs w:val="21"/>
                    </w:rPr>
                  </w:pPr>
                  <w:r>
                    <w:rPr>
                      <w:rFonts w:hint="eastAsia" w:cs="宋体"/>
                      <w:sz w:val="21"/>
                      <w:szCs w:val="21"/>
                    </w:rPr>
                    <w:t>本项目将</w:t>
                  </w:r>
                  <w:r>
                    <w:rPr>
                      <w:rFonts w:hint="eastAsia"/>
                      <w:bCs/>
                      <w:kern w:val="2"/>
                      <w:sz w:val="21"/>
                      <w:szCs w:val="21"/>
                    </w:rPr>
                    <w:t>编制突发环境事件应急预案并到生态环境主管部门备案</w:t>
                  </w:r>
                </w:p>
              </w:tc>
              <w:tc>
                <w:tcPr>
                  <w:tcW w:w="935" w:type="dxa"/>
                  <w:vAlign w:val="center"/>
                </w:tcPr>
                <w:p w14:paraId="4767FD0F">
                  <w:pPr>
                    <w:adjustRightInd w:val="0"/>
                    <w:snapToGrid w:val="0"/>
                    <w:spacing w:line="276" w:lineRule="auto"/>
                    <w:jc w:val="center"/>
                    <w:rPr>
                      <w:sz w:val="21"/>
                      <w:szCs w:val="21"/>
                    </w:rPr>
                  </w:pPr>
                  <w:r>
                    <w:rPr>
                      <w:rFonts w:hint="eastAsia" w:hAnsi="Calibri" w:cs="宋体"/>
                      <w:sz w:val="21"/>
                      <w:szCs w:val="21"/>
                    </w:rPr>
                    <w:t>符合</w:t>
                  </w:r>
                </w:p>
              </w:tc>
            </w:tr>
            <w:tr w14:paraId="2C9C1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20" w:type="dxa"/>
                  <w:vAlign w:val="center"/>
                </w:tcPr>
                <w:p w14:paraId="03F74129">
                  <w:pPr>
                    <w:pStyle w:val="14"/>
                    <w:shd w:val="clear" w:color="auto" w:fill="FFFFFF"/>
                    <w:spacing w:before="0" w:beforeAutospacing="0" w:after="0" w:afterAutospacing="0" w:line="276" w:lineRule="auto"/>
                    <w:jc w:val="center"/>
                    <w:rPr>
                      <w:sz w:val="21"/>
                      <w:szCs w:val="21"/>
                    </w:rPr>
                  </w:pPr>
                  <w:r>
                    <w:rPr>
                      <w:rFonts w:ascii="Times New Roman" w:hAnsi="Times New Roman"/>
                      <w:sz w:val="21"/>
                      <w:szCs w:val="21"/>
                      <w:shd w:val="clear" w:color="auto" w:fill="FFFFFF"/>
                    </w:rPr>
                    <w:t>筑牢源头防线。围绕危废专项整治三年行动，加快推进重点涉危企业环保智能监控体系建设，在涉危重点企业安装视频监控、智能地磅、电子液位计等设备，集成视频、称重、贮存、工况和排放等数据，实时监控危险废物产生、处置、流向，数据实时同步上传至安徽省固体废物动态信息管理平台</w:t>
                  </w:r>
                </w:p>
              </w:tc>
              <w:tc>
                <w:tcPr>
                  <w:tcW w:w="2693" w:type="dxa"/>
                  <w:vAlign w:val="center"/>
                </w:tcPr>
                <w:p w14:paraId="49392BB1">
                  <w:pPr>
                    <w:adjustRightInd w:val="0"/>
                    <w:snapToGrid w:val="0"/>
                    <w:spacing w:line="276" w:lineRule="auto"/>
                    <w:jc w:val="center"/>
                    <w:rPr>
                      <w:sz w:val="21"/>
                      <w:szCs w:val="21"/>
                    </w:rPr>
                  </w:pPr>
                  <w:r>
                    <w:rPr>
                      <w:rFonts w:hint="eastAsia" w:cs="宋体"/>
                      <w:sz w:val="21"/>
                      <w:szCs w:val="21"/>
                    </w:rPr>
                    <w:t>本项目危险废物收集后暂存于危废暂存间，定期委托有资质的单位处置</w:t>
                  </w:r>
                </w:p>
              </w:tc>
              <w:tc>
                <w:tcPr>
                  <w:tcW w:w="935" w:type="dxa"/>
                  <w:vAlign w:val="center"/>
                </w:tcPr>
                <w:p w14:paraId="7E8222E4">
                  <w:pPr>
                    <w:adjustRightInd w:val="0"/>
                    <w:snapToGrid w:val="0"/>
                    <w:spacing w:line="276" w:lineRule="auto"/>
                    <w:jc w:val="center"/>
                    <w:rPr>
                      <w:sz w:val="21"/>
                      <w:szCs w:val="21"/>
                    </w:rPr>
                  </w:pPr>
                  <w:r>
                    <w:rPr>
                      <w:rFonts w:hint="eastAsia" w:hAnsi="Calibri" w:cs="宋体"/>
                      <w:sz w:val="21"/>
                      <w:szCs w:val="21"/>
                    </w:rPr>
                    <w:t>符合</w:t>
                  </w:r>
                </w:p>
              </w:tc>
            </w:tr>
          </w:tbl>
          <w:p w14:paraId="4006D039">
            <w:pPr>
              <w:spacing w:line="360" w:lineRule="auto"/>
              <w:ind w:firstLine="482" w:firstLineChars="200"/>
              <w:jc w:val="left"/>
              <w:rPr>
                <w:b/>
              </w:rPr>
            </w:pPr>
            <w:r>
              <w:rPr>
                <w:rFonts w:hint="eastAsia"/>
                <w:b/>
              </w:rPr>
              <w:t>5、</w:t>
            </w:r>
            <w:r>
              <w:rPr>
                <w:b/>
              </w:rPr>
              <w:t>与《安徽省淮河流域水污染防治条例》</w:t>
            </w:r>
            <w:r>
              <w:rPr>
                <w:rFonts w:hint="eastAsia"/>
                <w:b/>
              </w:rPr>
              <w:t>（安徽省人大常委会公告 第8号）</w:t>
            </w:r>
            <w:r>
              <w:rPr>
                <w:b/>
              </w:rPr>
              <w:t>符合性分析</w:t>
            </w:r>
          </w:p>
          <w:p w14:paraId="40A413F4">
            <w:pPr>
              <w:pStyle w:val="32"/>
              <w:adjustRightInd/>
              <w:spacing w:line="360" w:lineRule="auto"/>
              <w:jc w:val="center"/>
              <w:rPr>
                <w:rFonts w:eastAsia="黑体"/>
                <w:color w:val="auto"/>
              </w:rPr>
            </w:pPr>
            <w:r>
              <w:rPr>
                <w:rFonts w:eastAsia="黑体"/>
                <w:color w:val="auto"/>
              </w:rPr>
              <w:t>表</w:t>
            </w:r>
            <w:r>
              <w:rPr>
                <w:rFonts w:hint="eastAsia" w:eastAsia="黑体"/>
                <w:color w:val="auto"/>
              </w:rPr>
              <w:t>1-6</w:t>
            </w:r>
            <w:r>
              <w:rPr>
                <w:rFonts w:eastAsia="黑体"/>
                <w:color w:val="auto"/>
              </w:rPr>
              <w:t>项目建设与《安徽省淮河流域水污染防治条例》</w:t>
            </w:r>
            <w:r>
              <w:rPr>
                <w:rFonts w:hint="eastAsia" w:eastAsia="黑体"/>
                <w:color w:val="auto"/>
              </w:rPr>
              <w:t>（安徽省人大常委会公告 第8号）</w:t>
            </w:r>
            <w:r>
              <w:rPr>
                <w:rFonts w:hAnsi="黑体" w:eastAsia="黑体"/>
                <w:color w:val="auto"/>
              </w:rPr>
              <w:t>符合性</w:t>
            </w:r>
            <w:r>
              <w:rPr>
                <w:rFonts w:eastAsia="黑体"/>
                <w:color w:val="auto"/>
              </w:rPr>
              <w:t>分析</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119"/>
              <w:gridCol w:w="2267"/>
              <w:gridCol w:w="1076"/>
            </w:tblGrid>
            <w:tr w14:paraId="77318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12" w:space="0"/>
                    <w:left w:val="nil"/>
                    <w:bottom w:val="single" w:color="auto" w:sz="4" w:space="0"/>
                    <w:right w:val="single" w:color="auto" w:sz="4" w:space="0"/>
                  </w:tcBorders>
                  <w:vAlign w:val="center"/>
                </w:tcPr>
                <w:p w14:paraId="137F8295">
                  <w:pPr>
                    <w:spacing w:line="276" w:lineRule="auto"/>
                    <w:jc w:val="center"/>
                    <w:rPr>
                      <w:b/>
                      <w:sz w:val="21"/>
                      <w:szCs w:val="21"/>
                    </w:rPr>
                  </w:pPr>
                  <w:r>
                    <w:rPr>
                      <w:b/>
                      <w:sz w:val="21"/>
                      <w:szCs w:val="21"/>
                    </w:rPr>
                    <w:t>序号</w:t>
                  </w:r>
                </w:p>
              </w:tc>
              <w:tc>
                <w:tcPr>
                  <w:tcW w:w="2182" w:type="pct"/>
                  <w:tcBorders>
                    <w:top w:val="single" w:color="auto" w:sz="12" w:space="0"/>
                    <w:left w:val="single" w:color="auto" w:sz="4" w:space="0"/>
                    <w:bottom w:val="single" w:color="auto" w:sz="4" w:space="0"/>
                    <w:right w:val="single" w:color="auto" w:sz="4" w:space="0"/>
                  </w:tcBorders>
                  <w:vAlign w:val="center"/>
                </w:tcPr>
                <w:p w14:paraId="5B966458">
                  <w:pPr>
                    <w:spacing w:line="276" w:lineRule="auto"/>
                    <w:jc w:val="center"/>
                    <w:rPr>
                      <w:b/>
                      <w:sz w:val="21"/>
                      <w:szCs w:val="21"/>
                    </w:rPr>
                  </w:pPr>
                  <w:r>
                    <w:rPr>
                      <w:b/>
                      <w:sz w:val="21"/>
                      <w:szCs w:val="21"/>
                    </w:rPr>
                    <w:t>相关要求</w:t>
                  </w:r>
                </w:p>
              </w:tc>
              <w:tc>
                <w:tcPr>
                  <w:tcW w:w="1586" w:type="pct"/>
                  <w:tcBorders>
                    <w:top w:val="single" w:color="auto" w:sz="12" w:space="0"/>
                    <w:left w:val="single" w:color="auto" w:sz="4" w:space="0"/>
                    <w:bottom w:val="single" w:color="auto" w:sz="4" w:space="0"/>
                    <w:right w:val="single" w:color="auto" w:sz="4" w:space="0"/>
                  </w:tcBorders>
                  <w:vAlign w:val="center"/>
                </w:tcPr>
                <w:p w14:paraId="0C73319C">
                  <w:pPr>
                    <w:spacing w:line="276" w:lineRule="auto"/>
                    <w:jc w:val="center"/>
                    <w:rPr>
                      <w:b/>
                      <w:sz w:val="21"/>
                      <w:szCs w:val="21"/>
                    </w:rPr>
                  </w:pPr>
                  <w:r>
                    <w:rPr>
                      <w:b/>
                      <w:sz w:val="21"/>
                      <w:szCs w:val="21"/>
                    </w:rPr>
                    <w:t>本项目情况</w:t>
                  </w:r>
                </w:p>
              </w:tc>
              <w:tc>
                <w:tcPr>
                  <w:tcW w:w="753" w:type="pct"/>
                  <w:tcBorders>
                    <w:top w:val="single" w:color="auto" w:sz="12" w:space="0"/>
                    <w:left w:val="single" w:color="auto" w:sz="4" w:space="0"/>
                    <w:bottom w:val="single" w:color="auto" w:sz="4" w:space="0"/>
                    <w:right w:val="nil"/>
                  </w:tcBorders>
                  <w:vAlign w:val="center"/>
                </w:tcPr>
                <w:p w14:paraId="097B2FE4">
                  <w:pPr>
                    <w:spacing w:line="276" w:lineRule="auto"/>
                    <w:jc w:val="center"/>
                    <w:rPr>
                      <w:b/>
                      <w:sz w:val="21"/>
                      <w:szCs w:val="21"/>
                    </w:rPr>
                  </w:pPr>
                  <w:r>
                    <w:rPr>
                      <w:rFonts w:hAnsi="Calibri"/>
                      <w:b/>
                      <w:sz w:val="21"/>
                      <w:szCs w:val="21"/>
                    </w:rPr>
                    <w:t>符合性</w:t>
                  </w:r>
                </w:p>
              </w:tc>
            </w:tr>
            <w:tr w14:paraId="678949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nil"/>
                    <w:bottom w:val="single" w:color="auto" w:sz="4" w:space="0"/>
                    <w:right w:val="single" w:color="auto" w:sz="4" w:space="0"/>
                  </w:tcBorders>
                  <w:vAlign w:val="center"/>
                </w:tcPr>
                <w:p w14:paraId="2191AACE">
                  <w:pPr>
                    <w:spacing w:line="276" w:lineRule="auto"/>
                    <w:jc w:val="center"/>
                    <w:rPr>
                      <w:sz w:val="21"/>
                      <w:szCs w:val="21"/>
                    </w:rPr>
                  </w:pPr>
                  <w:r>
                    <w:rPr>
                      <w:sz w:val="21"/>
                      <w:szCs w:val="21"/>
                    </w:rPr>
                    <w:t>1</w:t>
                  </w:r>
                </w:p>
              </w:tc>
              <w:tc>
                <w:tcPr>
                  <w:tcW w:w="2182" w:type="pct"/>
                  <w:tcBorders>
                    <w:top w:val="single" w:color="auto" w:sz="4" w:space="0"/>
                    <w:left w:val="single" w:color="auto" w:sz="4" w:space="0"/>
                    <w:bottom w:val="single" w:color="auto" w:sz="4" w:space="0"/>
                    <w:right w:val="single" w:color="auto" w:sz="4" w:space="0"/>
                  </w:tcBorders>
                  <w:vAlign w:val="center"/>
                </w:tcPr>
                <w:p w14:paraId="1C5DA5F6">
                  <w:pPr>
                    <w:spacing w:line="276" w:lineRule="auto"/>
                    <w:jc w:val="center"/>
                    <w:rPr>
                      <w:sz w:val="21"/>
                      <w:szCs w:val="21"/>
                    </w:rPr>
                  </w:pPr>
                  <w:r>
                    <w:rPr>
                      <w:sz w:val="21"/>
                      <w:szCs w:val="21"/>
                    </w:rPr>
                    <w:t>禁止在淮河流域新建化学制浆造纸企业和印染、制革、化工、电镀、酿造等污染严重的小型企业。严格限制在淮河流域新建印染、制革、化工、电镀、酿造等大中型项目或者其他污染严重的项目；建设该类项目的，应当事前征得省人民政府生态环境行政主管部门的同意，并按照规定办理有关手续</w:t>
                  </w:r>
                </w:p>
              </w:tc>
              <w:tc>
                <w:tcPr>
                  <w:tcW w:w="1586" w:type="pct"/>
                  <w:tcBorders>
                    <w:top w:val="single" w:color="auto" w:sz="4" w:space="0"/>
                    <w:left w:val="single" w:color="auto" w:sz="4" w:space="0"/>
                    <w:bottom w:val="single" w:color="auto" w:sz="4" w:space="0"/>
                    <w:right w:val="single" w:color="auto" w:sz="4" w:space="0"/>
                  </w:tcBorders>
                  <w:vAlign w:val="center"/>
                </w:tcPr>
                <w:p w14:paraId="796AE6C7">
                  <w:pPr>
                    <w:spacing w:line="276" w:lineRule="auto"/>
                    <w:jc w:val="center"/>
                    <w:rPr>
                      <w:sz w:val="21"/>
                      <w:szCs w:val="21"/>
                    </w:rPr>
                  </w:pPr>
                  <w:r>
                    <w:rPr>
                      <w:sz w:val="21"/>
                      <w:szCs w:val="21"/>
                    </w:rPr>
                    <w:t>本项目为</w:t>
                  </w:r>
                  <w:r>
                    <w:rPr>
                      <w:rFonts w:hint="eastAsia"/>
                      <w:sz w:val="21"/>
                      <w:szCs w:val="21"/>
                    </w:rPr>
                    <w:t>C3670 汽车零部件及配件制造</w:t>
                  </w:r>
                  <w:r>
                    <w:rPr>
                      <w:sz w:val="21"/>
                      <w:szCs w:val="21"/>
                    </w:rPr>
                    <w:t>，不属于印染、制革、化工、电镀、酿造等类型项目</w:t>
                  </w:r>
                </w:p>
              </w:tc>
              <w:tc>
                <w:tcPr>
                  <w:tcW w:w="753" w:type="pct"/>
                  <w:tcBorders>
                    <w:top w:val="single" w:color="auto" w:sz="4" w:space="0"/>
                    <w:left w:val="single" w:color="auto" w:sz="4" w:space="0"/>
                    <w:bottom w:val="single" w:color="auto" w:sz="4" w:space="0"/>
                    <w:right w:val="nil"/>
                  </w:tcBorders>
                  <w:vAlign w:val="center"/>
                </w:tcPr>
                <w:p w14:paraId="5429097E">
                  <w:pPr>
                    <w:spacing w:line="276" w:lineRule="auto"/>
                    <w:jc w:val="center"/>
                    <w:rPr>
                      <w:sz w:val="21"/>
                      <w:szCs w:val="21"/>
                    </w:rPr>
                  </w:pPr>
                  <w:r>
                    <w:rPr>
                      <w:sz w:val="21"/>
                      <w:szCs w:val="21"/>
                    </w:rPr>
                    <w:t>符合</w:t>
                  </w:r>
                </w:p>
              </w:tc>
            </w:tr>
            <w:tr w14:paraId="13BD5D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nil"/>
                    <w:bottom w:val="single" w:color="auto" w:sz="12" w:space="0"/>
                    <w:right w:val="single" w:color="auto" w:sz="4" w:space="0"/>
                  </w:tcBorders>
                  <w:vAlign w:val="center"/>
                </w:tcPr>
                <w:p w14:paraId="6DDE7C25">
                  <w:pPr>
                    <w:spacing w:line="276" w:lineRule="auto"/>
                    <w:jc w:val="center"/>
                    <w:rPr>
                      <w:sz w:val="21"/>
                      <w:szCs w:val="21"/>
                    </w:rPr>
                  </w:pPr>
                  <w:r>
                    <w:rPr>
                      <w:rFonts w:hint="eastAsia"/>
                      <w:sz w:val="21"/>
                      <w:szCs w:val="21"/>
                    </w:rPr>
                    <w:t>3</w:t>
                  </w:r>
                </w:p>
              </w:tc>
              <w:tc>
                <w:tcPr>
                  <w:tcW w:w="2182" w:type="pct"/>
                  <w:tcBorders>
                    <w:top w:val="single" w:color="auto" w:sz="4" w:space="0"/>
                    <w:left w:val="single" w:color="auto" w:sz="4" w:space="0"/>
                    <w:bottom w:val="single" w:color="auto" w:sz="12" w:space="0"/>
                    <w:right w:val="single" w:color="auto" w:sz="4" w:space="0"/>
                  </w:tcBorders>
                  <w:vAlign w:val="center"/>
                </w:tcPr>
                <w:p w14:paraId="60094240">
                  <w:pPr>
                    <w:spacing w:line="276" w:lineRule="auto"/>
                    <w:jc w:val="center"/>
                    <w:rPr>
                      <w:sz w:val="21"/>
                      <w:szCs w:val="21"/>
                    </w:rPr>
                  </w:pPr>
                  <w:r>
                    <w:rPr>
                      <w:sz w:val="21"/>
                      <w:szCs w:val="21"/>
                    </w:rPr>
                    <w:t>在淮河流域城市公共排水设施覆盖区域内，应当实行雨水、污水分流；排水户应当将雨水、污水分别排入公共雨水、污水管网及其附属设施</w:t>
                  </w:r>
                </w:p>
              </w:tc>
              <w:tc>
                <w:tcPr>
                  <w:tcW w:w="1586" w:type="pct"/>
                  <w:tcBorders>
                    <w:top w:val="single" w:color="auto" w:sz="4" w:space="0"/>
                    <w:left w:val="single" w:color="auto" w:sz="4" w:space="0"/>
                    <w:bottom w:val="single" w:color="auto" w:sz="12" w:space="0"/>
                    <w:right w:val="single" w:color="auto" w:sz="4" w:space="0"/>
                  </w:tcBorders>
                  <w:vAlign w:val="center"/>
                </w:tcPr>
                <w:p w14:paraId="29C23F82">
                  <w:pPr>
                    <w:widowControl/>
                    <w:spacing w:line="276" w:lineRule="auto"/>
                    <w:jc w:val="center"/>
                    <w:rPr>
                      <w:bCs/>
                      <w:sz w:val="21"/>
                      <w:szCs w:val="21"/>
                    </w:rPr>
                  </w:pPr>
                  <w:r>
                    <w:rPr>
                      <w:rFonts w:hint="eastAsia"/>
                      <w:bCs/>
                      <w:sz w:val="21"/>
                      <w:szCs w:val="21"/>
                    </w:rPr>
                    <w:t>本项目采取雨污分流制。生活污水经化粪池处理后，排入市政污水管网，最终进入淮南经济技术开发区工业污水处理厂处理</w:t>
                  </w:r>
                </w:p>
              </w:tc>
              <w:tc>
                <w:tcPr>
                  <w:tcW w:w="753" w:type="pct"/>
                  <w:tcBorders>
                    <w:top w:val="single" w:color="auto" w:sz="4" w:space="0"/>
                    <w:left w:val="single" w:color="auto" w:sz="4" w:space="0"/>
                    <w:bottom w:val="single" w:color="auto" w:sz="12" w:space="0"/>
                    <w:right w:val="nil"/>
                  </w:tcBorders>
                  <w:vAlign w:val="center"/>
                </w:tcPr>
                <w:p w14:paraId="51687474">
                  <w:pPr>
                    <w:spacing w:line="276" w:lineRule="auto"/>
                    <w:jc w:val="center"/>
                    <w:rPr>
                      <w:sz w:val="21"/>
                      <w:szCs w:val="21"/>
                    </w:rPr>
                  </w:pPr>
                  <w:r>
                    <w:rPr>
                      <w:sz w:val="21"/>
                      <w:szCs w:val="21"/>
                    </w:rPr>
                    <w:t>符合</w:t>
                  </w:r>
                </w:p>
              </w:tc>
            </w:tr>
          </w:tbl>
          <w:p w14:paraId="3148E5B0">
            <w:pPr>
              <w:spacing w:line="360" w:lineRule="auto"/>
              <w:ind w:firstLine="482" w:firstLineChars="200"/>
              <w:rPr>
                <w:rFonts w:hAnsi="宋体"/>
                <w:b/>
                <w:kern w:val="2"/>
              </w:rPr>
            </w:pPr>
            <w:r>
              <w:rPr>
                <w:rFonts w:hint="eastAsia" w:hAnsi="宋体"/>
                <w:b/>
                <w:kern w:val="2"/>
              </w:rPr>
              <w:t>6、</w:t>
            </w:r>
            <w:r>
              <w:rPr>
                <w:rFonts w:hAnsi="宋体"/>
                <w:b/>
                <w:kern w:val="2"/>
              </w:rPr>
              <w:t>与《安徽省空气质量持续改善行动方案》（皖政〔</w:t>
            </w:r>
            <w:r>
              <w:rPr>
                <w:b/>
                <w:kern w:val="2"/>
              </w:rPr>
              <w:t>2024</w:t>
            </w:r>
            <w:r>
              <w:rPr>
                <w:rFonts w:hAnsi="宋体"/>
                <w:b/>
                <w:kern w:val="2"/>
              </w:rPr>
              <w:t>〕</w:t>
            </w:r>
            <w:r>
              <w:rPr>
                <w:b/>
                <w:kern w:val="2"/>
              </w:rPr>
              <w:t>36</w:t>
            </w:r>
            <w:r>
              <w:rPr>
                <w:rFonts w:hAnsi="宋体"/>
                <w:b/>
                <w:kern w:val="2"/>
              </w:rPr>
              <w:t>号）相符性分析</w:t>
            </w:r>
          </w:p>
          <w:p w14:paraId="67FA7BB5">
            <w:pPr>
              <w:spacing w:line="360" w:lineRule="auto"/>
              <w:jc w:val="center"/>
              <w:rPr>
                <w:rFonts w:eastAsia="黑体"/>
                <w:kern w:val="2"/>
              </w:rPr>
            </w:pPr>
            <w:r>
              <w:rPr>
                <w:rFonts w:eastAsia="黑体"/>
                <w:kern w:val="2"/>
              </w:rPr>
              <w:t>表</w:t>
            </w:r>
            <w:r>
              <w:rPr>
                <w:rFonts w:eastAsia="黑体"/>
                <w:kern w:val="2"/>
                <w:szCs w:val="22"/>
              </w:rPr>
              <w:t>1-</w:t>
            </w:r>
            <w:r>
              <w:rPr>
                <w:rFonts w:hint="eastAsia" w:eastAsia="黑体"/>
                <w:kern w:val="2"/>
                <w:szCs w:val="22"/>
              </w:rPr>
              <w:t>7</w:t>
            </w:r>
            <w:r>
              <w:rPr>
                <w:rFonts w:eastAsia="黑体"/>
                <w:kern w:val="2"/>
                <w:szCs w:val="22"/>
              </w:rPr>
              <w:t>与</w:t>
            </w:r>
            <w:r>
              <w:rPr>
                <w:rFonts w:hint="eastAsia" w:eastAsia="黑体"/>
                <w:kern w:val="2"/>
                <w:szCs w:val="22"/>
              </w:rPr>
              <w:t>《安徽省空气质量持续改善行动方案》（皖政〔2024〕36号）</w:t>
            </w:r>
            <w:r>
              <w:rPr>
                <w:rFonts w:eastAsia="黑体"/>
                <w:kern w:val="2"/>
                <w:szCs w:val="22"/>
              </w:rPr>
              <w:t>相符性分析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85"/>
              <w:gridCol w:w="2552"/>
              <w:gridCol w:w="2976"/>
              <w:gridCol w:w="935"/>
            </w:tblGrid>
            <w:tr w14:paraId="388B35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79" w:type="pct"/>
                  <w:shd w:val="clear" w:color="auto" w:fill="auto"/>
                  <w:vAlign w:val="center"/>
                </w:tcPr>
                <w:p w14:paraId="155B5B36">
                  <w:pPr>
                    <w:spacing w:line="276" w:lineRule="auto"/>
                    <w:jc w:val="center"/>
                    <w:rPr>
                      <w:b/>
                      <w:kern w:val="2"/>
                      <w:sz w:val="21"/>
                      <w:szCs w:val="21"/>
                    </w:rPr>
                  </w:pPr>
                  <w:r>
                    <w:rPr>
                      <w:rFonts w:hAnsi="宋体"/>
                      <w:b/>
                      <w:kern w:val="2"/>
                      <w:sz w:val="21"/>
                      <w:szCs w:val="21"/>
                    </w:rPr>
                    <w:t>序号</w:t>
                  </w:r>
                </w:p>
              </w:tc>
              <w:tc>
                <w:tcPr>
                  <w:tcW w:w="1785" w:type="pct"/>
                  <w:shd w:val="clear" w:color="auto" w:fill="auto"/>
                  <w:vAlign w:val="center"/>
                </w:tcPr>
                <w:p w14:paraId="009DEC30">
                  <w:pPr>
                    <w:spacing w:line="276" w:lineRule="auto"/>
                    <w:jc w:val="center"/>
                    <w:rPr>
                      <w:b/>
                      <w:kern w:val="2"/>
                      <w:sz w:val="21"/>
                      <w:szCs w:val="21"/>
                    </w:rPr>
                  </w:pPr>
                  <w:r>
                    <w:rPr>
                      <w:rFonts w:hAnsi="宋体"/>
                      <w:b/>
                      <w:kern w:val="2"/>
                      <w:sz w:val="21"/>
                      <w:szCs w:val="21"/>
                    </w:rPr>
                    <w:t>措施内容</w:t>
                  </w:r>
                </w:p>
              </w:tc>
              <w:tc>
                <w:tcPr>
                  <w:tcW w:w="2082" w:type="pct"/>
                  <w:shd w:val="clear" w:color="auto" w:fill="auto"/>
                  <w:vAlign w:val="center"/>
                </w:tcPr>
                <w:p w14:paraId="01041CED">
                  <w:pPr>
                    <w:spacing w:line="276" w:lineRule="auto"/>
                    <w:jc w:val="center"/>
                    <w:rPr>
                      <w:b/>
                      <w:kern w:val="2"/>
                      <w:sz w:val="21"/>
                      <w:szCs w:val="21"/>
                    </w:rPr>
                  </w:pPr>
                  <w:r>
                    <w:rPr>
                      <w:rFonts w:hAnsi="宋体"/>
                      <w:b/>
                      <w:kern w:val="2"/>
                      <w:sz w:val="21"/>
                      <w:szCs w:val="21"/>
                    </w:rPr>
                    <w:t>本项目措施</w:t>
                  </w:r>
                </w:p>
              </w:tc>
              <w:tc>
                <w:tcPr>
                  <w:tcW w:w="654" w:type="pct"/>
                  <w:shd w:val="clear" w:color="auto" w:fill="auto"/>
                  <w:vAlign w:val="center"/>
                </w:tcPr>
                <w:p w14:paraId="7B10C558">
                  <w:pPr>
                    <w:spacing w:line="276" w:lineRule="auto"/>
                    <w:jc w:val="center"/>
                    <w:rPr>
                      <w:b/>
                      <w:kern w:val="2"/>
                      <w:sz w:val="21"/>
                      <w:szCs w:val="21"/>
                    </w:rPr>
                  </w:pPr>
                  <w:r>
                    <w:rPr>
                      <w:rFonts w:hAnsi="宋体"/>
                      <w:b/>
                      <w:kern w:val="2"/>
                      <w:sz w:val="21"/>
                      <w:szCs w:val="21"/>
                    </w:rPr>
                    <w:t>相符性</w:t>
                  </w:r>
                </w:p>
              </w:tc>
            </w:tr>
            <w:tr w14:paraId="051D1E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79" w:type="pct"/>
                  <w:shd w:val="clear" w:color="auto" w:fill="auto"/>
                  <w:vAlign w:val="center"/>
                </w:tcPr>
                <w:p w14:paraId="2AF6F911">
                  <w:pPr>
                    <w:spacing w:line="276" w:lineRule="auto"/>
                    <w:jc w:val="center"/>
                    <w:rPr>
                      <w:kern w:val="2"/>
                      <w:sz w:val="21"/>
                      <w:szCs w:val="21"/>
                    </w:rPr>
                  </w:pPr>
                  <w:r>
                    <w:rPr>
                      <w:kern w:val="2"/>
                      <w:sz w:val="21"/>
                      <w:szCs w:val="21"/>
                    </w:rPr>
                    <w:t>1</w:t>
                  </w:r>
                </w:p>
              </w:tc>
              <w:tc>
                <w:tcPr>
                  <w:tcW w:w="1785" w:type="pct"/>
                  <w:shd w:val="clear" w:color="auto" w:fill="auto"/>
                  <w:vAlign w:val="center"/>
                </w:tcPr>
                <w:p w14:paraId="6D954011">
                  <w:pPr>
                    <w:spacing w:line="276" w:lineRule="auto"/>
                    <w:jc w:val="center"/>
                    <w:rPr>
                      <w:kern w:val="2"/>
                      <w:sz w:val="21"/>
                      <w:szCs w:val="21"/>
                      <w:shd w:val="clear" w:color="auto" w:fill="FFFFFF"/>
                    </w:rPr>
                  </w:pPr>
                  <w:r>
                    <w:rPr>
                      <w:rFonts w:hAnsi="宋体"/>
                      <w:kern w:val="2"/>
                      <w:sz w:val="21"/>
                      <w:szCs w:val="21"/>
                      <w:shd w:val="clear" w:color="auto" w:fill="FFFFFF"/>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实施</w:t>
                  </w:r>
                  <w:r>
                    <w:rPr>
                      <w:kern w:val="2"/>
                      <w:sz w:val="21"/>
                      <w:szCs w:val="21"/>
                      <w:shd w:val="clear" w:color="auto" w:fill="FFFFFF"/>
                    </w:rPr>
                    <w:t>“</w:t>
                  </w:r>
                  <w:r>
                    <w:rPr>
                      <w:rFonts w:hAnsi="宋体"/>
                      <w:kern w:val="2"/>
                      <w:sz w:val="21"/>
                      <w:szCs w:val="21"/>
                      <w:shd w:val="clear" w:color="auto" w:fill="FFFFFF"/>
                    </w:rPr>
                    <w:t>高污染、高耗能</w:t>
                  </w:r>
                  <w:r>
                    <w:rPr>
                      <w:kern w:val="2"/>
                      <w:sz w:val="21"/>
                      <w:szCs w:val="21"/>
                      <w:shd w:val="clear" w:color="auto" w:fill="FFFFFF"/>
                    </w:rPr>
                    <w:t>”</w:t>
                  </w:r>
                  <w:r>
                    <w:rPr>
                      <w:rFonts w:hAnsi="宋体"/>
                      <w:kern w:val="2"/>
                      <w:sz w:val="21"/>
                      <w:szCs w:val="21"/>
                      <w:shd w:val="clear" w:color="auto" w:fill="FFFFFF"/>
                    </w:rPr>
                    <w:t>项目部门联审，源头管控低水平项目上马</w:t>
                  </w:r>
                </w:p>
              </w:tc>
              <w:tc>
                <w:tcPr>
                  <w:tcW w:w="2082" w:type="pct"/>
                  <w:shd w:val="clear" w:color="auto" w:fill="auto"/>
                  <w:vAlign w:val="center"/>
                </w:tcPr>
                <w:p w14:paraId="2A00204C">
                  <w:pPr>
                    <w:spacing w:line="276" w:lineRule="auto"/>
                    <w:jc w:val="left"/>
                    <w:rPr>
                      <w:kern w:val="2"/>
                      <w:sz w:val="21"/>
                      <w:szCs w:val="21"/>
                      <w:shd w:val="clear" w:color="auto" w:fill="FFFFFF"/>
                    </w:rPr>
                  </w:pPr>
                  <w:bookmarkStart w:id="3" w:name="OLE_LINK31"/>
                  <w:bookmarkStart w:id="4" w:name="OLE_LINK32"/>
                  <w:r>
                    <w:rPr>
                      <w:rFonts w:hint="eastAsia" w:hAnsi="宋体"/>
                      <w:sz w:val="21"/>
                      <w:szCs w:val="21"/>
                    </w:rPr>
                    <w:t>本项目为</w:t>
                  </w:r>
                  <w:bookmarkEnd w:id="3"/>
                  <w:bookmarkEnd w:id="4"/>
                  <w:r>
                    <w:rPr>
                      <w:rFonts w:hint="eastAsia" w:hAnsi="宋体"/>
                      <w:sz w:val="21"/>
                      <w:szCs w:val="21"/>
                    </w:rPr>
                    <w:t>C3670 汽车零部件及配件制造，生产控制臂总成和衬套。</w:t>
                  </w:r>
                  <w:r>
                    <w:rPr>
                      <w:rFonts w:hAnsi="宋体"/>
                      <w:sz w:val="21"/>
                      <w:szCs w:val="21"/>
                    </w:rPr>
                    <w:t>查询《产业结构调整指导目录（20</w:t>
                  </w:r>
                  <w:r>
                    <w:rPr>
                      <w:rFonts w:hint="eastAsia" w:hAnsi="宋体"/>
                      <w:sz w:val="21"/>
                      <w:szCs w:val="21"/>
                    </w:rPr>
                    <w:t>24</w:t>
                  </w:r>
                  <w:r>
                    <w:rPr>
                      <w:rFonts w:hAnsi="宋体"/>
                      <w:sz w:val="21"/>
                      <w:szCs w:val="21"/>
                    </w:rPr>
                    <w:t>年本）》，</w:t>
                  </w:r>
                  <w:r>
                    <w:rPr>
                      <w:rFonts w:hint="eastAsia" w:hAnsi="宋体"/>
                      <w:sz w:val="21"/>
                      <w:szCs w:val="21"/>
                    </w:rPr>
                    <w:t>本项目不属于其中的鼓励类、限制类或淘汰类，视为允许建设项目，符合国家产业政策要求。</w:t>
                  </w:r>
                  <w:r>
                    <w:rPr>
                      <w:rFonts w:hAnsi="宋体"/>
                      <w:sz w:val="21"/>
                      <w:szCs w:val="21"/>
                    </w:rPr>
                    <w:t>本项目建设符合国家产业规划、政策、生态环境分区管</w:t>
                  </w:r>
                  <w:r>
                    <w:rPr>
                      <w:rFonts w:hint="eastAsia" w:hAnsi="宋体"/>
                      <w:sz w:val="21"/>
                      <w:szCs w:val="21"/>
                    </w:rPr>
                    <w:t>控的要求，项目在环评手续进行时将同步进行节能审查，并严格落实产能置换、重点污染物总量控制、污染物排放区域削减、碳排放达峰目标等要求。</w:t>
                  </w:r>
                  <w:r>
                    <w:rPr>
                      <w:rFonts w:hAnsi="宋体"/>
                      <w:sz w:val="21"/>
                      <w:szCs w:val="21"/>
                    </w:rPr>
                    <w:t>对照《安徽</w:t>
                  </w:r>
                  <w:r>
                    <w:rPr>
                      <w:rFonts w:ascii="宋体" w:hAnsi="宋体"/>
                      <w:sz w:val="21"/>
                      <w:szCs w:val="21"/>
                    </w:rPr>
                    <w:t>省“两高”项目</w:t>
                  </w:r>
                  <w:r>
                    <w:rPr>
                      <w:rFonts w:hAnsi="宋体"/>
                      <w:sz w:val="21"/>
                      <w:szCs w:val="21"/>
                    </w:rPr>
                    <w:t>管理目录（试行）》，本项目不属于高耗能、高排放项目</w:t>
                  </w:r>
                </w:p>
              </w:tc>
              <w:tc>
                <w:tcPr>
                  <w:tcW w:w="654" w:type="pct"/>
                  <w:shd w:val="clear" w:color="auto" w:fill="auto"/>
                  <w:vAlign w:val="center"/>
                </w:tcPr>
                <w:p w14:paraId="3E25A38D">
                  <w:pPr>
                    <w:spacing w:line="276" w:lineRule="auto"/>
                    <w:jc w:val="center"/>
                    <w:rPr>
                      <w:kern w:val="2"/>
                      <w:sz w:val="21"/>
                      <w:szCs w:val="21"/>
                    </w:rPr>
                  </w:pPr>
                  <w:r>
                    <w:rPr>
                      <w:rFonts w:hAnsi="宋体"/>
                      <w:kern w:val="2"/>
                      <w:sz w:val="21"/>
                      <w:szCs w:val="21"/>
                    </w:rPr>
                    <w:t>符合</w:t>
                  </w:r>
                </w:p>
              </w:tc>
            </w:tr>
            <w:tr w14:paraId="724D3E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79" w:type="pct"/>
                  <w:shd w:val="clear" w:color="auto" w:fill="auto"/>
                  <w:vAlign w:val="center"/>
                </w:tcPr>
                <w:p w14:paraId="4705A418">
                  <w:pPr>
                    <w:spacing w:line="276" w:lineRule="auto"/>
                    <w:jc w:val="center"/>
                    <w:rPr>
                      <w:kern w:val="2"/>
                      <w:sz w:val="21"/>
                      <w:szCs w:val="21"/>
                      <w:shd w:val="clear" w:color="auto" w:fill="FFFFFF"/>
                    </w:rPr>
                  </w:pPr>
                  <w:r>
                    <w:rPr>
                      <w:kern w:val="2"/>
                      <w:sz w:val="21"/>
                      <w:szCs w:val="21"/>
                      <w:shd w:val="clear" w:color="auto" w:fill="FFFFFF"/>
                    </w:rPr>
                    <w:t>2</w:t>
                  </w:r>
                </w:p>
              </w:tc>
              <w:tc>
                <w:tcPr>
                  <w:tcW w:w="1785" w:type="pct"/>
                  <w:shd w:val="clear" w:color="auto" w:fill="auto"/>
                  <w:vAlign w:val="center"/>
                </w:tcPr>
                <w:p w14:paraId="353E15E7">
                  <w:pPr>
                    <w:spacing w:line="276" w:lineRule="auto"/>
                    <w:jc w:val="center"/>
                    <w:rPr>
                      <w:kern w:val="2"/>
                      <w:sz w:val="21"/>
                      <w:szCs w:val="21"/>
                      <w:shd w:val="clear" w:color="auto" w:fill="FFFFFF"/>
                    </w:rPr>
                  </w:pPr>
                  <w:r>
                    <w:rPr>
                      <w:rFonts w:hAnsi="宋体"/>
                      <w:kern w:val="2"/>
                      <w:sz w:val="21"/>
                      <w:szCs w:val="21"/>
                      <w:shd w:val="clear" w:color="auto" w:fill="FFFFFF"/>
                    </w:rPr>
                    <w:t>有序推动落后产能淘汰。严格执行《产业结构调整指导目录》</w:t>
                  </w:r>
                </w:p>
              </w:tc>
              <w:tc>
                <w:tcPr>
                  <w:tcW w:w="2082" w:type="pct"/>
                  <w:shd w:val="clear" w:color="auto" w:fill="auto"/>
                  <w:vAlign w:val="center"/>
                </w:tcPr>
                <w:p w14:paraId="6CCF77CF">
                  <w:pPr>
                    <w:spacing w:line="276" w:lineRule="auto"/>
                    <w:jc w:val="left"/>
                    <w:rPr>
                      <w:kern w:val="2"/>
                      <w:sz w:val="21"/>
                      <w:szCs w:val="21"/>
                      <w:shd w:val="clear" w:color="auto" w:fill="FFFFFF"/>
                    </w:rPr>
                  </w:pPr>
                  <w:r>
                    <w:rPr>
                      <w:rFonts w:hint="eastAsia" w:hAnsi="宋体"/>
                      <w:sz w:val="21"/>
                      <w:szCs w:val="21"/>
                    </w:rPr>
                    <w:t>本项目为C3670 汽车零部件及配件制造，生产控制臂总成和衬套。</w:t>
                  </w:r>
                  <w:r>
                    <w:rPr>
                      <w:rFonts w:hAnsi="宋体"/>
                      <w:sz w:val="21"/>
                      <w:szCs w:val="21"/>
                    </w:rPr>
                    <w:t>查询《产业结构调整指导目录（20</w:t>
                  </w:r>
                  <w:r>
                    <w:rPr>
                      <w:rFonts w:hint="eastAsia" w:hAnsi="宋体"/>
                      <w:sz w:val="21"/>
                      <w:szCs w:val="21"/>
                    </w:rPr>
                    <w:t>24</w:t>
                  </w:r>
                  <w:r>
                    <w:rPr>
                      <w:rFonts w:hAnsi="宋体"/>
                      <w:sz w:val="21"/>
                      <w:szCs w:val="21"/>
                    </w:rPr>
                    <w:t>年本）》，</w:t>
                  </w:r>
                  <w:r>
                    <w:rPr>
                      <w:rFonts w:hint="eastAsia" w:hAnsi="宋体"/>
                      <w:sz w:val="21"/>
                      <w:szCs w:val="21"/>
                    </w:rPr>
                    <w:t>本项目不属于其中的鼓励类、限制类或淘汰类，视为允许建设项目，符合国家产业政策要求</w:t>
                  </w:r>
                </w:p>
              </w:tc>
              <w:tc>
                <w:tcPr>
                  <w:tcW w:w="654" w:type="pct"/>
                  <w:shd w:val="clear" w:color="auto" w:fill="auto"/>
                  <w:vAlign w:val="center"/>
                </w:tcPr>
                <w:p w14:paraId="749E5398">
                  <w:pPr>
                    <w:spacing w:line="276" w:lineRule="auto"/>
                    <w:jc w:val="center"/>
                    <w:rPr>
                      <w:kern w:val="2"/>
                      <w:sz w:val="21"/>
                      <w:szCs w:val="21"/>
                    </w:rPr>
                  </w:pPr>
                  <w:r>
                    <w:rPr>
                      <w:rFonts w:hAnsi="宋体"/>
                      <w:kern w:val="2"/>
                      <w:sz w:val="21"/>
                      <w:szCs w:val="21"/>
                    </w:rPr>
                    <w:t>符合</w:t>
                  </w:r>
                </w:p>
              </w:tc>
            </w:tr>
            <w:tr w14:paraId="1F56B6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79" w:type="pct"/>
                  <w:shd w:val="clear" w:color="auto" w:fill="auto"/>
                  <w:vAlign w:val="center"/>
                </w:tcPr>
                <w:p w14:paraId="23BC1BED">
                  <w:pPr>
                    <w:spacing w:line="276" w:lineRule="auto"/>
                    <w:jc w:val="center"/>
                    <w:rPr>
                      <w:kern w:val="2"/>
                      <w:sz w:val="21"/>
                      <w:szCs w:val="21"/>
                      <w:shd w:val="clear" w:color="auto" w:fill="FFFFFF"/>
                    </w:rPr>
                  </w:pPr>
                  <w:r>
                    <w:rPr>
                      <w:rFonts w:hint="eastAsia"/>
                      <w:kern w:val="2"/>
                      <w:sz w:val="21"/>
                      <w:szCs w:val="21"/>
                      <w:shd w:val="clear" w:color="auto" w:fill="FFFFFF"/>
                    </w:rPr>
                    <w:t>4</w:t>
                  </w:r>
                </w:p>
              </w:tc>
              <w:tc>
                <w:tcPr>
                  <w:tcW w:w="1785" w:type="pct"/>
                  <w:shd w:val="clear" w:color="auto" w:fill="auto"/>
                  <w:vAlign w:val="center"/>
                </w:tcPr>
                <w:p w14:paraId="35F7FB3B">
                  <w:pPr>
                    <w:spacing w:line="276" w:lineRule="auto"/>
                    <w:jc w:val="center"/>
                    <w:rPr>
                      <w:kern w:val="2"/>
                      <w:sz w:val="21"/>
                      <w:szCs w:val="21"/>
                      <w:shd w:val="clear" w:color="auto" w:fill="FFFFFF"/>
                    </w:rPr>
                  </w:pPr>
                  <w:r>
                    <w:rPr>
                      <w:kern w:val="2"/>
                      <w:sz w:val="21"/>
                      <w:szCs w:val="21"/>
                      <w:shd w:val="clear" w:color="auto" w:fill="FFFFFF"/>
                    </w:rPr>
                    <w:t>加快涉气重点行业深度治理。高质量推进钢铁、水泥、焦化等重点行业及燃煤锅炉超低排放改造</w:t>
                  </w:r>
                </w:p>
              </w:tc>
              <w:tc>
                <w:tcPr>
                  <w:tcW w:w="2082" w:type="pct"/>
                  <w:shd w:val="clear" w:color="auto" w:fill="auto"/>
                  <w:vAlign w:val="center"/>
                </w:tcPr>
                <w:p w14:paraId="7A1B7FA3">
                  <w:pPr>
                    <w:spacing w:line="276" w:lineRule="auto"/>
                    <w:jc w:val="center"/>
                    <w:rPr>
                      <w:kern w:val="2"/>
                      <w:sz w:val="21"/>
                      <w:szCs w:val="21"/>
                      <w:shd w:val="clear" w:color="auto" w:fill="FFFFFF"/>
                    </w:rPr>
                  </w:pPr>
                  <w:r>
                    <w:rPr>
                      <w:rFonts w:hint="eastAsia"/>
                      <w:kern w:val="2"/>
                      <w:sz w:val="21"/>
                      <w:szCs w:val="21"/>
                      <w:shd w:val="clear" w:color="auto" w:fill="FFFFFF"/>
                    </w:rPr>
                    <w:t>本项目无需建设燃煤锅炉，且不使用天然气，仅使用清洁能源电能</w:t>
                  </w:r>
                </w:p>
              </w:tc>
              <w:tc>
                <w:tcPr>
                  <w:tcW w:w="654" w:type="pct"/>
                  <w:shd w:val="clear" w:color="auto" w:fill="auto"/>
                  <w:vAlign w:val="center"/>
                </w:tcPr>
                <w:p w14:paraId="095A563F">
                  <w:pPr>
                    <w:spacing w:line="276" w:lineRule="auto"/>
                    <w:jc w:val="center"/>
                    <w:rPr>
                      <w:kern w:val="2"/>
                      <w:sz w:val="21"/>
                      <w:szCs w:val="21"/>
                    </w:rPr>
                  </w:pPr>
                  <w:r>
                    <w:rPr>
                      <w:rFonts w:hAnsi="宋体"/>
                      <w:kern w:val="2"/>
                      <w:sz w:val="21"/>
                      <w:szCs w:val="21"/>
                    </w:rPr>
                    <w:t>符合</w:t>
                  </w:r>
                </w:p>
              </w:tc>
            </w:tr>
            <w:tr w14:paraId="703A6A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79" w:type="pct"/>
                  <w:shd w:val="clear" w:color="auto" w:fill="auto"/>
                  <w:vAlign w:val="center"/>
                </w:tcPr>
                <w:p w14:paraId="405CA93F">
                  <w:pPr>
                    <w:spacing w:line="276" w:lineRule="auto"/>
                    <w:jc w:val="center"/>
                    <w:rPr>
                      <w:kern w:val="2"/>
                      <w:sz w:val="21"/>
                      <w:szCs w:val="21"/>
                      <w:shd w:val="clear" w:color="auto" w:fill="FFFFFF"/>
                    </w:rPr>
                  </w:pPr>
                  <w:r>
                    <w:rPr>
                      <w:rFonts w:hint="eastAsia"/>
                      <w:kern w:val="2"/>
                      <w:sz w:val="21"/>
                      <w:szCs w:val="21"/>
                      <w:shd w:val="clear" w:color="auto" w:fill="FFFFFF"/>
                    </w:rPr>
                    <w:t>5</w:t>
                  </w:r>
                </w:p>
              </w:tc>
              <w:tc>
                <w:tcPr>
                  <w:tcW w:w="1785" w:type="pct"/>
                  <w:shd w:val="clear" w:color="auto" w:fill="auto"/>
                  <w:vAlign w:val="center"/>
                </w:tcPr>
                <w:p w14:paraId="630F0ACE">
                  <w:pPr>
                    <w:spacing w:line="276" w:lineRule="auto"/>
                    <w:jc w:val="center"/>
                    <w:rPr>
                      <w:kern w:val="2"/>
                      <w:sz w:val="21"/>
                      <w:szCs w:val="21"/>
                      <w:shd w:val="clear" w:color="auto" w:fill="FFFFFF"/>
                    </w:rPr>
                  </w:pPr>
                  <w:r>
                    <w:rPr>
                      <w:kern w:val="2"/>
                      <w:sz w:val="21"/>
                      <w:szCs w:val="21"/>
                      <w:shd w:val="clear" w:color="auto" w:fill="FFFFFF"/>
                    </w:rPr>
                    <w:t>推动工业炉窑清洁能源替代。有序推进工业领域电能替代，提高电气化水平，推动大用户直供气，降低供气成本。重点区域不再新增燃料类煤气发生炉，新改扩建加热炉、热处理炉、干燥炉、熔化炉原则上采用清洁低碳能源</w:t>
                  </w:r>
                </w:p>
              </w:tc>
              <w:tc>
                <w:tcPr>
                  <w:tcW w:w="2082" w:type="pct"/>
                  <w:shd w:val="clear" w:color="auto" w:fill="auto"/>
                  <w:vAlign w:val="center"/>
                </w:tcPr>
                <w:p w14:paraId="440B4AE2">
                  <w:pPr>
                    <w:spacing w:line="276" w:lineRule="auto"/>
                    <w:jc w:val="center"/>
                    <w:rPr>
                      <w:kern w:val="2"/>
                      <w:sz w:val="21"/>
                      <w:szCs w:val="21"/>
                      <w:shd w:val="clear" w:color="auto" w:fill="FFFFFF"/>
                    </w:rPr>
                  </w:pPr>
                  <w:r>
                    <w:rPr>
                      <w:rFonts w:hint="eastAsia"/>
                      <w:kern w:val="2"/>
                      <w:sz w:val="21"/>
                      <w:szCs w:val="21"/>
                      <w:shd w:val="clear" w:color="auto" w:fill="FFFFFF"/>
                    </w:rPr>
                    <w:t>本项目无需建设燃煤锅炉，且不使用天然气，仅使用清洁能源电能</w:t>
                  </w:r>
                </w:p>
              </w:tc>
              <w:tc>
                <w:tcPr>
                  <w:tcW w:w="654" w:type="pct"/>
                  <w:shd w:val="clear" w:color="auto" w:fill="auto"/>
                  <w:vAlign w:val="center"/>
                </w:tcPr>
                <w:p w14:paraId="10B951C0">
                  <w:pPr>
                    <w:spacing w:line="276" w:lineRule="auto"/>
                    <w:jc w:val="center"/>
                    <w:rPr>
                      <w:rFonts w:hAnsi="宋体"/>
                      <w:kern w:val="2"/>
                      <w:sz w:val="21"/>
                      <w:szCs w:val="21"/>
                    </w:rPr>
                  </w:pPr>
                  <w:r>
                    <w:rPr>
                      <w:rFonts w:hAnsi="宋体"/>
                      <w:kern w:val="2"/>
                      <w:sz w:val="21"/>
                      <w:szCs w:val="21"/>
                    </w:rPr>
                    <w:t>符合</w:t>
                  </w:r>
                </w:p>
              </w:tc>
            </w:tr>
          </w:tbl>
          <w:p w14:paraId="6CD5AA95">
            <w:pPr>
              <w:spacing w:line="360" w:lineRule="auto"/>
              <w:ind w:firstLine="482" w:firstLineChars="200"/>
              <w:rPr>
                <w:rFonts w:hAnsi="宋体"/>
                <w:kern w:val="2"/>
              </w:rPr>
            </w:pPr>
            <w:r>
              <w:rPr>
                <w:rFonts w:hint="eastAsia" w:hAnsi="宋体"/>
                <w:b/>
                <w:kern w:val="2"/>
              </w:rPr>
              <w:t>7</w:t>
            </w:r>
            <w:r>
              <w:rPr>
                <w:rFonts w:hAnsi="宋体"/>
                <w:b/>
                <w:kern w:val="2"/>
              </w:rPr>
              <w:t>、与《挥发性有机物治理实用手册》相符性分析</w:t>
            </w:r>
          </w:p>
          <w:p w14:paraId="685132EA">
            <w:pPr>
              <w:spacing w:line="360" w:lineRule="auto"/>
              <w:jc w:val="center"/>
              <w:rPr>
                <w:rFonts w:hAnsi="宋体"/>
                <w:kern w:val="2"/>
              </w:rPr>
            </w:pPr>
            <w:r>
              <w:rPr>
                <w:rFonts w:eastAsia="黑体"/>
                <w:kern w:val="2"/>
                <w:szCs w:val="22"/>
              </w:rPr>
              <w:t>表1-</w:t>
            </w:r>
            <w:r>
              <w:rPr>
                <w:rFonts w:hint="eastAsia" w:eastAsia="黑体"/>
                <w:kern w:val="2"/>
                <w:szCs w:val="22"/>
              </w:rPr>
              <w:t>8</w:t>
            </w:r>
            <w:r>
              <w:rPr>
                <w:rFonts w:eastAsia="黑体"/>
                <w:kern w:val="2"/>
                <w:szCs w:val="22"/>
              </w:rPr>
              <w:t>与《挥发性有机物治理实用手册》相符性分析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8"/>
              <w:gridCol w:w="3515"/>
              <w:gridCol w:w="2104"/>
              <w:gridCol w:w="861"/>
            </w:tblGrid>
            <w:tr w14:paraId="3B0E88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shd w:val="clear" w:color="auto" w:fill="auto"/>
                  <w:vAlign w:val="center"/>
                </w:tcPr>
                <w:p w14:paraId="045359FD">
                  <w:pPr>
                    <w:spacing w:line="276" w:lineRule="auto"/>
                    <w:jc w:val="center"/>
                    <w:rPr>
                      <w:rFonts w:hAnsi="宋体"/>
                      <w:b/>
                      <w:kern w:val="2"/>
                      <w:sz w:val="21"/>
                      <w:szCs w:val="21"/>
                    </w:rPr>
                  </w:pPr>
                  <w:r>
                    <w:rPr>
                      <w:rFonts w:hAnsi="宋体"/>
                      <w:b/>
                      <w:kern w:val="2"/>
                      <w:sz w:val="21"/>
                      <w:szCs w:val="21"/>
                    </w:rPr>
                    <w:t>序号</w:t>
                  </w:r>
                </w:p>
              </w:tc>
              <w:tc>
                <w:tcPr>
                  <w:tcW w:w="3535" w:type="dxa"/>
                  <w:shd w:val="clear" w:color="auto" w:fill="auto"/>
                  <w:vAlign w:val="center"/>
                </w:tcPr>
                <w:p w14:paraId="43778FC5">
                  <w:pPr>
                    <w:spacing w:line="276" w:lineRule="auto"/>
                    <w:jc w:val="center"/>
                    <w:rPr>
                      <w:rFonts w:hAnsi="宋体"/>
                      <w:b/>
                      <w:kern w:val="2"/>
                      <w:sz w:val="21"/>
                      <w:szCs w:val="21"/>
                    </w:rPr>
                  </w:pPr>
                  <w:r>
                    <w:rPr>
                      <w:rFonts w:hAnsi="宋体"/>
                      <w:b/>
                      <w:kern w:val="2"/>
                      <w:sz w:val="21"/>
                      <w:szCs w:val="21"/>
                    </w:rPr>
                    <w:t>措施内容</w:t>
                  </w:r>
                </w:p>
              </w:tc>
              <w:tc>
                <w:tcPr>
                  <w:tcW w:w="2115" w:type="dxa"/>
                  <w:shd w:val="clear" w:color="auto" w:fill="auto"/>
                  <w:vAlign w:val="center"/>
                </w:tcPr>
                <w:p w14:paraId="1E04637C">
                  <w:pPr>
                    <w:spacing w:line="276" w:lineRule="auto"/>
                    <w:jc w:val="center"/>
                    <w:rPr>
                      <w:rFonts w:hAnsi="宋体"/>
                      <w:b/>
                      <w:kern w:val="2"/>
                      <w:sz w:val="21"/>
                      <w:szCs w:val="21"/>
                    </w:rPr>
                  </w:pPr>
                  <w:r>
                    <w:rPr>
                      <w:rFonts w:hAnsi="宋体"/>
                      <w:b/>
                      <w:kern w:val="2"/>
                      <w:sz w:val="21"/>
                      <w:szCs w:val="21"/>
                    </w:rPr>
                    <w:t>本项目措施</w:t>
                  </w:r>
                </w:p>
              </w:tc>
              <w:tc>
                <w:tcPr>
                  <w:tcW w:w="865" w:type="dxa"/>
                  <w:shd w:val="clear" w:color="auto" w:fill="auto"/>
                  <w:vAlign w:val="center"/>
                </w:tcPr>
                <w:p w14:paraId="2A78D878">
                  <w:pPr>
                    <w:spacing w:line="276" w:lineRule="auto"/>
                    <w:jc w:val="center"/>
                    <w:rPr>
                      <w:rFonts w:hAnsi="宋体"/>
                      <w:b/>
                      <w:kern w:val="2"/>
                      <w:sz w:val="21"/>
                      <w:szCs w:val="21"/>
                    </w:rPr>
                  </w:pPr>
                  <w:r>
                    <w:rPr>
                      <w:rFonts w:hAnsi="宋体"/>
                      <w:b/>
                      <w:kern w:val="2"/>
                      <w:sz w:val="21"/>
                      <w:szCs w:val="21"/>
                    </w:rPr>
                    <w:t>相符性</w:t>
                  </w:r>
                </w:p>
              </w:tc>
            </w:tr>
            <w:tr w14:paraId="2EB474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shd w:val="clear" w:color="auto" w:fill="auto"/>
                  <w:vAlign w:val="center"/>
                </w:tcPr>
                <w:p w14:paraId="5ABF5403">
                  <w:pPr>
                    <w:spacing w:line="276" w:lineRule="auto"/>
                    <w:jc w:val="center"/>
                    <w:rPr>
                      <w:rFonts w:hAnsi="宋体"/>
                      <w:bCs/>
                      <w:kern w:val="2"/>
                      <w:sz w:val="21"/>
                      <w:szCs w:val="21"/>
                    </w:rPr>
                  </w:pPr>
                  <w:r>
                    <w:rPr>
                      <w:rFonts w:hAnsi="宋体"/>
                      <w:bCs/>
                      <w:kern w:val="2"/>
                      <w:sz w:val="21"/>
                      <w:szCs w:val="21"/>
                    </w:rPr>
                    <w:t>1</w:t>
                  </w:r>
                </w:p>
              </w:tc>
              <w:tc>
                <w:tcPr>
                  <w:tcW w:w="3535" w:type="dxa"/>
                  <w:shd w:val="clear" w:color="auto" w:fill="auto"/>
                  <w:vAlign w:val="center"/>
                </w:tcPr>
                <w:p w14:paraId="463301F4">
                  <w:pPr>
                    <w:spacing w:line="276" w:lineRule="auto"/>
                    <w:jc w:val="center"/>
                    <w:rPr>
                      <w:rFonts w:hAnsi="宋体"/>
                      <w:bCs/>
                      <w:kern w:val="2"/>
                      <w:sz w:val="21"/>
                      <w:szCs w:val="21"/>
                    </w:rPr>
                  </w:pPr>
                  <w:r>
                    <w:rPr>
                      <w:rFonts w:hAnsi="宋体"/>
                      <w:bCs/>
                      <w:kern w:val="2"/>
                      <w:sz w:val="21"/>
                      <w:szCs w:val="21"/>
                    </w:rPr>
                    <w:t>源头削减</w:t>
                  </w:r>
                </w:p>
                <w:p w14:paraId="43DD7127">
                  <w:pPr>
                    <w:spacing w:line="276" w:lineRule="auto"/>
                    <w:jc w:val="center"/>
                    <w:rPr>
                      <w:rFonts w:hAnsi="宋体"/>
                      <w:bCs/>
                      <w:kern w:val="2"/>
                      <w:sz w:val="21"/>
                      <w:szCs w:val="21"/>
                    </w:rPr>
                  </w:pPr>
                  <w:r>
                    <w:rPr>
                      <w:rFonts w:hAnsi="宋体"/>
                      <w:bCs/>
                      <w:kern w:val="2"/>
                      <w:sz w:val="21"/>
                      <w:szCs w:val="21"/>
                    </w:rPr>
                    <w:t>（1）含VOCs原辅材料：使用的涂料、清洗剂、胶粘剂中VOCs含量的限值应符合2020年12月1日起实施的《工业防护涂料中有害物质限量》（GB30981-2020）、《胶粘剂挥发性有机化合物限量》（GB33372-2020）、《清洗剂挥发性有机化合物含量限值》（GB38508-2020）等标准的要求。在同一个工序内，同时使用符合《低挥发性有机化合物含量涂料产品技术要求》</w:t>
                  </w:r>
                  <w:r>
                    <w:rPr>
                      <w:rFonts w:hint="eastAsia" w:hAnsi="宋体"/>
                      <w:bCs/>
                      <w:kern w:val="2"/>
                      <w:sz w:val="21"/>
                      <w:szCs w:val="21"/>
                    </w:rPr>
                    <w:t>（</w:t>
                  </w:r>
                  <w:r>
                    <w:rPr>
                      <w:rFonts w:hAnsi="宋体"/>
                      <w:bCs/>
                      <w:kern w:val="2"/>
                      <w:sz w:val="21"/>
                      <w:szCs w:val="21"/>
                    </w:rPr>
                    <w:t>GB/T38597--2020</w:t>
                  </w:r>
                  <w:r>
                    <w:rPr>
                      <w:rFonts w:hint="eastAsia" w:hAnsi="宋体"/>
                      <w:bCs/>
                      <w:kern w:val="2"/>
                      <w:sz w:val="21"/>
                      <w:szCs w:val="21"/>
                    </w:rPr>
                    <w:t>）</w:t>
                  </w:r>
                  <w:r>
                    <w:rPr>
                      <w:rFonts w:hAnsi="宋体"/>
                      <w:bCs/>
                      <w:kern w:val="2"/>
                      <w:sz w:val="21"/>
                      <w:szCs w:val="21"/>
                    </w:rPr>
                    <w:t>规定的粉末、无溶剂、辐射固化涂料产品，符合《清洗剂挥发性有机化合物含量限值》</w:t>
                  </w:r>
                  <w:r>
                    <w:rPr>
                      <w:rFonts w:hint="eastAsia" w:hAnsi="宋体"/>
                      <w:bCs/>
                      <w:kern w:val="2"/>
                      <w:sz w:val="21"/>
                      <w:szCs w:val="21"/>
                    </w:rPr>
                    <w:t>（</w:t>
                  </w:r>
                  <w:r>
                    <w:rPr>
                      <w:rFonts w:hAnsi="宋体"/>
                      <w:bCs/>
                      <w:kern w:val="2"/>
                      <w:sz w:val="21"/>
                      <w:szCs w:val="21"/>
                    </w:rPr>
                    <w:t>GB38508--2020</w:t>
                  </w:r>
                  <w:r>
                    <w:rPr>
                      <w:rFonts w:hint="eastAsia" w:hAnsi="宋体"/>
                      <w:bCs/>
                      <w:kern w:val="2"/>
                      <w:sz w:val="21"/>
                      <w:szCs w:val="21"/>
                    </w:rPr>
                    <w:t>）</w:t>
                  </w:r>
                  <w:r>
                    <w:rPr>
                      <w:rFonts w:hAnsi="宋体"/>
                      <w:bCs/>
                      <w:kern w:val="2"/>
                      <w:sz w:val="21"/>
                      <w:szCs w:val="21"/>
                    </w:rPr>
                    <w:t>规定的水基、半水基清洗剂产品，符合《胶粘剂挥发性有机化合物限量》</w:t>
                  </w:r>
                  <w:r>
                    <w:rPr>
                      <w:rFonts w:hint="eastAsia" w:hAnsi="宋体"/>
                      <w:bCs/>
                      <w:kern w:val="2"/>
                      <w:sz w:val="21"/>
                      <w:szCs w:val="21"/>
                    </w:rPr>
                    <w:t>（</w:t>
                  </w:r>
                  <w:r>
                    <w:rPr>
                      <w:rFonts w:hAnsi="宋体"/>
                      <w:bCs/>
                      <w:kern w:val="2"/>
                      <w:sz w:val="21"/>
                      <w:szCs w:val="21"/>
                    </w:rPr>
                    <w:t>GB33372-2020</w:t>
                  </w:r>
                  <w:r>
                    <w:rPr>
                      <w:rFonts w:hint="eastAsia" w:hAnsi="宋体"/>
                      <w:bCs/>
                      <w:kern w:val="2"/>
                      <w:sz w:val="21"/>
                      <w:szCs w:val="21"/>
                    </w:rPr>
                    <w:t>）</w:t>
                  </w:r>
                  <w:r>
                    <w:rPr>
                      <w:rFonts w:hAnsi="宋体"/>
                      <w:bCs/>
                      <w:kern w:val="2"/>
                      <w:sz w:val="21"/>
                      <w:szCs w:val="21"/>
                    </w:rPr>
                    <w:t>规定的水基型、本体型胶粘剂产品时，排放浓度稳定达标的，相应生产工序可不执行末端治理设施处理效率不应低于80%的要求。</w:t>
                  </w:r>
                </w:p>
                <w:p w14:paraId="65D01131">
                  <w:pPr>
                    <w:spacing w:line="276" w:lineRule="auto"/>
                    <w:jc w:val="center"/>
                    <w:rPr>
                      <w:rFonts w:hAnsi="宋体"/>
                      <w:bCs/>
                      <w:kern w:val="2"/>
                      <w:sz w:val="21"/>
                      <w:szCs w:val="21"/>
                    </w:rPr>
                  </w:pPr>
                  <w:r>
                    <w:rPr>
                      <w:rFonts w:hAnsi="宋体"/>
                      <w:bCs/>
                      <w:kern w:val="2"/>
                      <w:sz w:val="21"/>
                      <w:szCs w:val="21"/>
                    </w:rPr>
                    <w:t>（2）喷涂工艺：除大型工件特殊作业（例如，船舶制造行业的分段总组、船台、船坞、造船码头等涂装工序）外，禁止敞开式喷涂、晾（风）干作业。</w:t>
                  </w:r>
                </w:p>
                <w:p w14:paraId="17AF116D">
                  <w:pPr>
                    <w:spacing w:line="276" w:lineRule="auto"/>
                    <w:jc w:val="center"/>
                    <w:rPr>
                      <w:rFonts w:hAnsi="宋体"/>
                      <w:bCs/>
                      <w:kern w:val="2"/>
                      <w:sz w:val="21"/>
                      <w:szCs w:val="21"/>
                    </w:rPr>
                  </w:pPr>
                  <w:r>
                    <w:rPr>
                      <w:rFonts w:hAnsi="宋体"/>
                      <w:bCs/>
                      <w:kern w:val="2"/>
                      <w:sz w:val="21"/>
                      <w:szCs w:val="21"/>
                    </w:rPr>
                    <w:t>宜采用静电喷涂、自动喷涂、高压无气喷涂或高流量低压力（HVLP）喷枪等高效涂装技术，减少使用手动空气喷涂技术。</w:t>
                  </w:r>
                </w:p>
              </w:tc>
              <w:tc>
                <w:tcPr>
                  <w:tcW w:w="2115" w:type="dxa"/>
                  <w:shd w:val="clear" w:color="auto" w:fill="auto"/>
                  <w:vAlign w:val="center"/>
                </w:tcPr>
                <w:p w14:paraId="120D12A2">
                  <w:pPr>
                    <w:numPr>
                      <w:ilvl w:val="0"/>
                      <w:numId w:val="1"/>
                    </w:numPr>
                    <w:spacing w:line="276" w:lineRule="auto"/>
                    <w:rPr>
                      <w:rFonts w:hAnsi="宋体"/>
                      <w:bCs/>
                      <w:kern w:val="2"/>
                      <w:sz w:val="21"/>
                      <w:szCs w:val="21"/>
                    </w:rPr>
                  </w:pPr>
                  <w:r>
                    <w:rPr>
                      <w:rFonts w:hAnsi="宋体"/>
                      <w:bCs/>
                      <w:kern w:val="2"/>
                      <w:sz w:val="21"/>
                      <w:szCs w:val="21"/>
                    </w:rPr>
                    <w:t>本项目</w:t>
                  </w:r>
                  <w:r>
                    <w:rPr>
                      <w:rFonts w:hint="eastAsia" w:hAnsi="宋体"/>
                      <w:bCs/>
                      <w:kern w:val="2"/>
                      <w:sz w:val="21"/>
                      <w:szCs w:val="21"/>
                    </w:rPr>
                    <w:t>清洗剂成分为异构烷烃，含量为100%，根据厂家提供MSDS报告，其相对密度（@20℃）：0.79，根据计算可知清洗剂VOC含量约790g/L，满足《清洗剂挥发性有机化合物含量限值》（GB38508-2020）表1中“有机溶剂清洗剂”VOC含量限值不高于900g/L的要求。本项目生产过程中会使用到溶剂型胶粘剂（灰胶Chemlok 205和黑胶Chemlok 6125），根据厂家提供的样品SGS检测报告可知，灰胶（Chemlok 205）中VOC含量约692g/L，满足《胶粘剂挥发性有机化合物限量》（GB33372-2020）表1溶剂型胶粘剂中“汽车桥梁减震用热硫化胶粘剂”VOC含量限量不高于700g/L的要求；根据厂家提供的华测检测公司检测报告可知，黑胶（Chemlok 6125）中VOC含量约622g/L，满足《胶粘剂挥发性有机化合物限量》（GB33372-2020）表1溶剂型胶粘剂中“汽车桥梁减震用热硫化胶粘剂”VOC含量限量不高于700g/L的要求。</w:t>
                  </w:r>
                </w:p>
                <w:p w14:paraId="3ED87FF7">
                  <w:pPr>
                    <w:spacing w:line="276" w:lineRule="auto"/>
                    <w:jc w:val="center"/>
                    <w:rPr>
                      <w:rFonts w:hAnsi="宋体"/>
                      <w:bCs/>
                      <w:kern w:val="2"/>
                      <w:sz w:val="21"/>
                      <w:szCs w:val="21"/>
                    </w:rPr>
                  </w:pPr>
                  <w:r>
                    <w:rPr>
                      <w:rFonts w:hAnsi="宋体"/>
                      <w:bCs/>
                      <w:kern w:val="2"/>
                      <w:sz w:val="21"/>
                      <w:szCs w:val="21"/>
                    </w:rPr>
                    <w:t>（2）本项目</w:t>
                  </w:r>
                  <w:r>
                    <w:rPr>
                      <w:rFonts w:hint="eastAsia" w:hAnsi="宋体"/>
                      <w:bCs/>
                      <w:kern w:val="2"/>
                      <w:sz w:val="21"/>
                      <w:szCs w:val="21"/>
                    </w:rPr>
                    <w:t>无喷涂工艺</w:t>
                  </w:r>
                </w:p>
              </w:tc>
              <w:tc>
                <w:tcPr>
                  <w:tcW w:w="865" w:type="dxa"/>
                  <w:shd w:val="clear" w:color="auto" w:fill="auto"/>
                  <w:vAlign w:val="center"/>
                </w:tcPr>
                <w:p w14:paraId="7CB26915">
                  <w:pPr>
                    <w:spacing w:line="276" w:lineRule="auto"/>
                    <w:jc w:val="center"/>
                    <w:rPr>
                      <w:rFonts w:hAnsi="宋体"/>
                      <w:bCs/>
                      <w:kern w:val="2"/>
                      <w:sz w:val="21"/>
                      <w:szCs w:val="21"/>
                    </w:rPr>
                  </w:pPr>
                  <w:r>
                    <w:rPr>
                      <w:rFonts w:hAnsi="宋体"/>
                      <w:bCs/>
                      <w:kern w:val="2"/>
                      <w:sz w:val="21"/>
                      <w:szCs w:val="21"/>
                    </w:rPr>
                    <w:t>符合</w:t>
                  </w:r>
                </w:p>
              </w:tc>
            </w:tr>
            <w:tr w14:paraId="6A7FBF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shd w:val="clear" w:color="auto" w:fill="auto"/>
                  <w:vAlign w:val="center"/>
                </w:tcPr>
                <w:p w14:paraId="06A5011B">
                  <w:pPr>
                    <w:spacing w:line="276" w:lineRule="auto"/>
                    <w:jc w:val="center"/>
                    <w:rPr>
                      <w:rFonts w:hAnsi="宋体"/>
                      <w:bCs/>
                      <w:kern w:val="2"/>
                      <w:sz w:val="21"/>
                      <w:szCs w:val="21"/>
                    </w:rPr>
                  </w:pPr>
                  <w:r>
                    <w:rPr>
                      <w:rFonts w:hAnsi="宋体"/>
                      <w:bCs/>
                      <w:kern w:val="2"/>
                      <w:sz w:val="21"/>
                      <w:szCs w:val="21"/>
                    </w:rPr>
                    <w:t>2</w:t>
                  </w:r>
                </w:p>
              </w:tc>
              <w:tc>
                <w:tcPr>
                  <w:tcW w:w="3535" w:type="dxa"/>
                  <w:shd w:val="clear" w:color="auto" w:fill="auto"/>
                  <w:vAlign w:val="center"/>
                </w:tcPr>
                <w:p w14:paraId="0DDC6A50">
                  <w:pPr>
                    <w:spacing w:line="276" w:lineRule="auto"/>
                    <w:jc w:val="center"/>
                    <w:rPr>
                      <w:rFonts w:hAnsi="宋体"/>
                      <w:bCs/>
                      <w:kern w:val="2"/>
                      <w:sz w:val="21"/>
                      <w:szCs w:val="21"/>
                    </w:rPr>
                  </w:pPr>
                  <w:r>
                    <w:rPr>
                      <w:rFonts w:hAnsi="宋体"/>
                      <w:bCs/>
                      <w:kern w:val="2"/>
                      <w:sz w:val="21"/>
                      <w:szCs w:val="21"/>
                    </w:rPr>
                    <w:t>过程控制</w:t>
                  </w:r>
                </w:p>
                <w:p w14:paraId="2A784AC4">
                  <w:pPr>
                    <w:spacing w:line="276" w:lineRule="auto"/>
                    <w:jc w:val="center"/>
                    <w:rPr>
                      <w:rFonts w:hAnsi="宋体"/>
                      <w:bCs/>
                      <w:kern w:val="2"/>
                      <w:sz w:val="21"/>
                      <w:szCs w:val="21"/>
                    </w:rPr>
                  </w:pPr>
                  <w:r>
                    <w:rPr>
                      <w:rFonts w:hAnsi="宋体"/>
                      <w:bCs/>
                      <w:kern w:val="2"/>
                      <w:sz w:val="21"/>
                      <w:szCs w:val="21"/>
                    </w:rPr>
                    <w:t>（1）储存：涂料、稀释剂、清洗剂、固化剂、胶粘剂、密封胶等VOCs物料密闭储存。</w:t>
                  </w:r>
                </w:p>
                <w:p w14:paraId="52C26167">
                  <w:pPr>
                    <w:spacing w:line="276" w:lineRule="auto"/>
                    <w:jc w:val="center"/>
                    <w:rPr>
                      <w:rFonts w:hAnsi="宋体"/>
                      <w:bCs/>
                      <w:kern w:val="2"/>
                      <w:sz w:val="21"/>
                      <w:szCs w:val="21"/>
                    </w:rPr>
                  </w:pPr>
                  <w:r>
                    <w:rPr>
                      <w:rFonts w:hAnsi="宋体"/>
                      <w:bCs/>
                      <w:kern w:val="2"/>
                      <w:sz w:val="21"/>
                      <w:szCs w:val="21"/>
                    </w:rPr>
                    <w:t>盛装VOCs物料的容器或包装袋应存放于室内，或存放于设置有雨棚、遮阳和防渗设施的专用场地。</w:t>
                  </w:r>
                </w:p>
                <w:p w14:paraId="67A4F7CE">
                  <w:pPr>
                    <w:spacing w:line="276" w:lineRule="auto"/>
                    <w:jc w:val="center"/>
                    <w:rPr>
                      <w:rFonts w:hAnsi="宋体"/>
                      <w:bCs/>
                      <w:kern w:val="2"/>
                      <w:sz w:val="21"/>
                      <w:szCs w:val="21"/>
                    </w:rPr>
                  </w:pPr>
                  <w:r>
                    <w:rPr>
                      <w:rFonts w:hAnsi="宋体"/>
                      <w:bCs/>
                      <w:kern w:val="2"/>
                      <w:sz w:val="21"/>
                      <w:szCs w:val="21"/>
                    </w:rPr>
                    <w:t>盛装VOCs物料的容器或包装袋在非取用状态时应加盖、封口，保持密闭。</w:t>
                  </w:r>
                </w:p>
                <w:p w14:paraId="6097A86F">
                  <w:pPr>
                    <w:spacing w:line="276" w:lineRule="auto"/>
                    <w:jc w:val="center"/>
                    <w:rPr>
                      <w:rFonts w:hAnsi="宋体"/>
                      <w:bCs/>
                      <w:kern w:val="2"/>
                      <w:sz w:val="21"/>
                      <w:szCs w:val="21"/>
                    </w:rPr>
                  </w:pPr>
                  <w:r>
                    <w:rPr>
                      <w:rFonts w:hAnsi="宋体"/>
                      <w:bCs/>
                      <w:kern w:val="2"/>
                      <w:sz w:val="21"/>
                      <w:szCs w:val="21"/>
                    </w:rPr>
                    <w:t>废涂料、废稀释剂、废清洗剂、废活性炭等含VOCs废料（渣、液）以及VOCs物料废包装物等危险废物密封储存于危废储存间。</w:t>
                  </w:r>
                </w:p>
                <w:p w14:paraId="5B2786C7">
                  <w:pPr>
                    <w:spacing w:line="276" w:lineRule="auto"/>
                    <w:jc w:val="center"/>
                    <w:rPr>
                      <w:rFonts w:hAnsi="宋体"/>
                      <w:bCs/>
                      <w:kern w:val="2"/>
                      <w:sz w:val="21"/>
                      <w:szCs w:val="21"/>
                    </w:rPr>
                  </w:pPr>
                  <w:r>
                    <w:rPr>
                      <w:rFonts w:hAnsi="宋体"/>
                      <w:bCs/>
                      <w:kern w:val="2"/>
                      <w:sz w:val="21"/>
                      <w:szCs w:val="21"/>
                    </w:rPr>
                    <w:t>（2）转移和输送：VOCs物料转移和输送应采用密闭管道或密闭容器等。</w:t>
                  </w:r>
                </w:p>
                <w:p w14:paraId="115B1660">
                  <w:pPr>
                    <w:spacing w:line="276" w:lineRule="auto"/>
                    <w:jc w:val="center"/>
                    <w:rPr>
                      <w:rFonts w:hAnsi="宋体"/>
                      <w:bCs/>
                      <w:kern w:val="2"/>
                      <w:sz w:val="21"/>
                      <w:szCs w:val="21"/>
                    </w:rPr>
                  </w:pPr>
                  <w:r>
                    <w:rPr>
                      <w:rFonts w:hAnsi="宋体"/>
                      <w:bCs/>
                      <w:kern w:val="2"/>
                      <w:sz w:val="21"/>
                      <w:szCs w:val="21"/>
                    </w:rPr>
                    <w:t>宜采用集中供漆系统。</w:t>
                  </w:r>
                </w:p>
                <w:p w14:paraId="2B792895">
                  <w:pPr>
                    <w:spacing w:line="276" w:lineRule="auto"/>
                    <w:jc w:val="center"/>
                    <w:rPr>
                      <w:rFonts w:hAnsi="宋体"/>
                      <w:bCs/>
                      <w:kern w:val="2"/>
                      <w:sz w:val="21"/>
                      <w:szCs w:val="21"/>
                    </w:rPr>
                  </w:pPr>
                  <w:r>
                    <w:rPr>
                      <w:rFonts w:hAnsi="宋体"/>
                      <w:bCs/>
                      <w:kern w:val="2"/>
                      <w:sz w:val="21"/>
                      <w:szCs w:val="21"/>
                    </w:rPr>
                    <w:t>（3）调配：涂料、稀释剂等VOCs物料的调配过程应采用密闭设备或在密闭空间内操作，废气应排至VOCs废气收集处理系统；无法密闭的，应采取局部气体收集措施，废气应排至VOCs废气收集处理系统。</w:t>
                  </w:r>
                </w:p>
                <w:p w14:paraId="52BD4B68">
                  <w:pPr>
                    <w:spacing w:line="276" w:lineRule="auto"/>
                    <w:jc w:val="center"/>
                    <w:rPr>
                      <w:rFonts w:hAnsi="宋体"/>
                      <w:bCs/>
                      <w:kern w:val="2"/>
                      <w:sz w:val="21"/>
                      <w:szCs w:val="21"/>
                    </w:rPr>
                  </w:pPr>
                  <w:r>
                    <w:rPr>
                      <w:rFonts w:hAnsi="宋体"/>
                      <w:bCs/>
                      <w:kern w:val="2"/>
                      <w:sz w:val="21"/>
                      <w:szCs w:val="21"/>
                    </w:rPr>
                    <w:t>宜设置专门的密闭调配间。</w:t>
                  </w:r>
                </w:p>
                <w:p w14:paraId="5BEC23DB">
                  <w:pPr>
                    <w:spacing w:line="276" w:lineRule="auto"/>
                    <w:jc w:val="center"/>
                    <w:rPr>
                      <w:rFonts w:hAnsi="宋体"/>
                      <w:bCs/>
                      <w:kern w:val="2"/>
                      <w:sz w:val="21"/>
                      <w:szCs w:val="21"/>
                    </w:rPr>
                  </w:pPr>
                  <w:r>
                    <w:rPr>
                      <w:rFonts w:hAnsi="宋体"/>
                      <w:bCs/>
                      <w:kern w:val="2"/>
                      <w:sz w:val="21"/>
                      <w:szCs w:val="21"/>
                    </w:rPr>
                    <w:t>（4）喷涂：喷涂过程应采用密闭设备或在密闭空间内操作，废气应排至VOCs废气收集处理系统；无法密闭的，应采取局部气体收集措施，废气应排至VOCs废气收集处理系统。</w:t>
                  </w:r>
                </w:p>
                <w:p w14:paraId="68FDCC2F">
                  <w:pPr>
                    <w:spacing w:line="276" w:lineRule="auto"/>
                    <w:jc w:val="center"/>
                    <w:rPr>
                      <w:rFonts w:hAnsi="宋体"/>
                      <w:bCs/>
                      <w:kern w:val="2"/>
                      <w:sz w:val="21"/>
                      <w:szCs w:val="21"/>
                    </w:rPr>
                  </w:pPr>
                  <w:r>
                    <w:rPr>
                      <w:rFonts w:hAnsi="宋体"/>
                      <w:bCs/>
                      <w:kern w:val="2"/>
                      <w:sz w:val="21"/>
                      <w:szCs w:val="21"/>
                    </w:rPr>
                    <w:t>新建线宜建设干式喷漆晾干房，鼓励使用全自动喷漆和循环风工艺；使用湿式喷漆晾干房时，循环水泵间和刮渣间应密闭，废气应排至VOCs废气收集处理系统。</w:t>
                  </w:r>
                </w:p>
                <w:p w14:paraId="561B8046">
                  <w:pPr>
                    <w:spacing w:line="276" w:lineRule="auto"/>
                    <w:jc w:val="center"/>
                    <w:rPr>
                      <w:rFonts w:hAnsi="宋体"/>
                      <w:bCs/>
                      <w:kern w:val="2"/>
                      <w:sz w:val="21"/>
                      <w:szCs w:val="21"/>
                    </w:rPr>
                  </w:pPr>
                  <w:r>
                    <w:rPr>
                      <w:rFonts w:hAnsi="宋体"/>
                      <w:bCs/>
                      <w:kern w:val="2"/>
                      <w:sz w:val="21"/>
                      <w:szCs w:val="21"/>
                    </w:rPr>
                    <w:t>涂装车间应根据相应的技术规范设计送排风速率，禁止通过加大送排风量或其他通风措施故意稀释排放。</w:t>
                  </w:r>
                </w:p>
                <w:p w14:paraId="25D51940">
                  <w:pPr>
                    <w:spacing w:line="276" w:lineRule="auto"/>
                    <w:jc w:val="center"/>
                    <w:rPr>
                      <w:rFonts w:hAnsi="宋体"/>
                      <w:bCs/>
                      <w:kern w:val="2"/>
                      <w:sz w:val="21"/>
                      <w:szCs w:val="21"/>
                    </w:rPr>
                  </w:pPr>
                  <w:r>
                    <w:rPr>
                      <w:rFonts w:hAnsi="宋体"/>
                      <w:bCs/>
                      <w:kern w:val="2"/>
                      <w:sz w:val="21"/>
                      <w:szCs w:val="21"/>
                    </w:rPr>
                    <w:t>（5）干燥：干燥（烘干、风干、干燥等）过程应在密闭空间内操作，废气应排至VOCs废气收集处理系统；无法密闭的，应采取局部气体收集措施，废气应排放至VOCs废气收集处理系统。</w:t>
                  </w:r>
                </w:p>
                <w:p w14:paraId="08F18457">
                  <w:pPr>
                    <w:spacing w:line="276" w:lineRule="auto"/>
                    <w:jc w:val="center"/>
                    <w:rPr>
                      <w:rFonts w:hAnsi="宋体"/>
                      <w:bCs/>
                      <w:kern w:val="2"/>
                      <w:sz w:val="21"/>
                      <w:szCs w:val="21"/>
                    </w:rPr>
                  </w:pPr>
                  <w:r>
                    <w:rPr>
                      <w:rFonts w:hAnsi="宋体"/>
                      <w:bCs/>
                      <w:kern w:val="2"/>
                      <w:sz w:val="21"/>
                      <w:szCs w:val="21"/>
                    </w:rPr>
                    <w:t>（6）清洗：设备清洗应采取密闭设备或在密闭空间内操作，换色清洗应在密闭空间内操作，产生的废气应排至VOCs废气收集处理系统；无法密闭的，应采取局部气体收集措施，废气应排至VOCs废气收集处理系统。</w:t>
                  </w:r>
                </w:p>
                <w:p w14:paraId="6B9DFB2B">
                  <w:pPr>
                    <w:spacing w:line="276" w:lineRule="auto"/>
                    <w:jc w:val="center"/>
                    <w:rPr>
                      <w:rFonts w:hAnsi="宋体"/>
                      <w:bCs/>
                      <w:kern w:val="2"/>
                      <w:sz w:val="21"/>
                      <w:szCs w:val="21"/>
                    </w:rPr>
                  </w:pPr>
                  <w:r>
                    <w:rPr>
                      <w:rFonts w:hAnsi="宋体"/>
                      <w:bCs/>
                      <w:kern w:val="2"/>
                      <w:sz w:val="21"/>
                      <w:szCs w:val="21"/>
                    </w:rPr>
                    <w:t>使用多种颜色漆料的，宜设置分色区，相同颜色集中喷涂，减少换色清洗频次和清洗溶剂消耗量。</w:t>
                  </w:r>
                </w:p>
                <w:p w14:paraId="6C3DEC73">
                  <w:pPr>
                    <w:spacing w:line="276" w:lineRule="auto"/>
                    <w:jc w:val="center"/>
                    <w:rPr>
                      <w:rFonts w:hAnsi="宋体"/>
                      <w:bCs/>
                      <w:kern w:val="2"/>
                      <w:sz w:val="21"/>
                      <w:szCs w:val="21"/>
                    </w:rPr>
                  </w:pPr>
                  <w:r>
                    <w:rPr>
                      <w:rFonts w:hAnsi="宋体"/>
                      <w:bCs/>
                      <w:kern w:val="2"/>
                      <w:sz w:val="21"/>
                      <w:szCs w:val="21"/>
                    </w:rPr>
                    <w:t>（7）回收：涂装作业结束时，除集中供漆外，应将所有剩余的VOCs物料密闭储存，送回至调配间或储存间。</w:t>
                  </w:r>
                </w:p>
                <w:p w14:paraId="60037029">
                  <w:pPr>
                    <w:spacing w:line="276" w:lineRule="auto"/>
                    <w:jc w:val="center"/>
                    <w:rPr>
                      <w:rFonts w:hAnsi="宋体"/>
                      <w:bCs/>
                      <w:kern w:val="2"/>
                      <w:sz w:val="21"/>
                      <w:szCs w:val="21"/>
                    </w:rPr>
                  </w:pPr>
                  <w:r>
                    <w:rPr>
                      <w:rFonts w:hAnsi="宋体"/>
                      <w:bCs/>
                      <w:kern w:val="2"/>
                      <w:sz w:val="21"/>
                      <w:szCs w:val="21"/>
                    </w:rPr>
                    <w:t>设备清洗和换色过程产生的废清洗溶剂宜采用密闭回收废溶剂系统进行回收。</w:t>
                  </w:r>
                </w:p>
              </w:tc>
              <w:tc>
                <w:tcPr>
                  <w:tcW w:w="2115" w:type="dxa"/>
                  <w:shd w:val="clear" w:color="auto" w:fill="auto"/>
                  <w:vAlign w:val="center"/>
                </w:tcPr>
                <w:p w14:paraId="1E8E20CB">
                  <w:pPr>
                    <w:spacing w:line="276" w:lineRule="auto"/>
                    <w:jc w:val="center"/>
                    <w:rPr>
                      <w:rFonts w:hAnsi="宋体"/>
                      <w:bCs/>
                      <w:kern w:val="2"/>
                      <w:sz w:val="21"/>
                      <w:szCs w:val="21"/>
                    </w:rPr>
                  </w:pPr>
                  <w:r>
                    <w:rPr>
                      <w:rFonts w:hAnsi="宋体"/>
                      <w:bCs/>
                      <w:kern w:val="2"/>
                      <w:sz w:val="21"/>
                      <w:szCs w:val="21"/>
                    </w:rPr>
                    <w:t>（1）本项目</w:t>
                  </w:r>
                  <w:r>
                    <w:rPr>
                      <w:rFonts w:hint="eastAsia" w:hAnsi="宋体"/>
                      <w:bCs/>
                      <w:kern w:val="2"/>
                      <w:sz w:val="21"/>
                      <w:szCs w:val="21"/>
                    </w:rPr>
                    <w:t>混炼橡胶、清洗剂、胶粘剂、光亮剂、脱模剂均采用密闭桶储存于厂房内</w:t>
                  </w:r>
                  <w:r>
                    <w:rPr>
                      <w:rFonts w:hAnsi="宋体"/>
                      <w:bCs/>
                      <w:kern w:val="2"/>
                      <w:sz w:val="21"/>
                      <w:szCs w:val="21"/>
                    </w:rPr>
                    <w:t>；</w:t>
                  </w:r>
                  <w:r>
                    <w:rPr>
                      <w:rFonts w:hint="eastAsia" w:hAnsi="宋体"/>
                      <w:bCs/>
                      <w:kern w:val="2"/>
                      <w:sz w:val="21"/>
                      <w:szCs w:val="21"/>
                    </w:rPr>
                    <w:t>项目盛装混炼橡胶、清洗剂、胶粘剂、光亮剂、脱模剂的</w:t>
                  </w:r>
                  <w:r>
                    <w:rPr>
                      <w:rFonts w:hAnsi="宋体"/>
                      <w:bCs/>
                      <w:kern w:val="2"/>
                      <w:sz w:val="21"/>
                      <w:szCs w:val="21"/>
                    </w:rPr>
                    <w:t>包装</w:t>
                  </w:r>
                  <w:r>
                    <w:rPr>
                      <w:rFonts w:hint="eastAsia" w:hAnsi="宋体"/>
                      <w:bCs/>
                      <w:kern w:val="2"/>
                      <w:sz w:val="21"/>
                      <w:szCs w:val="21"/>
                    </w:rPr>
                    <w:t>桶在非取用状态时加盖、封口，保持密闭；振光废水、清洗废液和废水、含油抹布、槽渣、废脱模剂、废胶粘剂、废机油、废机油桶、废活性炭、废包装桶</w:t>
                  </w:r>
                  <w:r>
                    <w:rPr>
                      <w:rFonts w:hAnsi="宋体"/>
                      <w:bCs/>
                      <w:kern w:val="2"/>
                      <w:sz w:val="21"/>
                      <w:szCs w:val="21"/>
                    </w:rPr>
                    <w:t>密封储存于危废储存间</w:t>
                  </w:r>
                  <w:r>
                    <w:rPr>
                      <w:rFonts w:hint="eastAsia" w:hAnsi="宋体"/>
                      <w:bCs/>
                      <w:kern w:val="2"/>
                      <w:sz w:val="21"/>
                      <w:szCs w:val="21"/>
                    </w:rPr>
                    <w:t>；</w:t>
                  </w:r>
                </w:p>
                <w:p w14:paraId="50BBC1B7">
                  <w:pPr>
                    <w:spacing w:line="276" w:lineRule="auto"/>
                    <w:jc w:val="center"/>
                    <w:rPr>
                      <w:rFonts w:hAnsi="宋体"/>
                      <w:bCs/>
                      <w:kern w:val="2"/>
                      <w:sz w:val="21"/>
                      <w:szCs w:val="21"/>
                    </w:rPr>
                  </w:pPr>
                  <w:r>
                    <w:rPr>
                      <w:rFonts w:hAnsi="宋体"/>
                      <w:bCs/>
                      <w:kern w:val="2"/>
                      <w:sz w:val="21"/>
                      <w:szCs w:val="21"/>
                    </w:rPr>
                    <w:t>（2）项目</w:t>
                  </w:r>
                  <w:r>
                    <w:rPr>
                      <w:rFonts w:hint="eastAsia" w:hAnsi="宋体"/>
                      <w:bCs/>
                      <w:kern w:val="2"/>
                      <w:sz w:val="21"/>
                      <w:szCs w:val="21"/>
                    </w:rPr>
                    <w:t>混炼橡胶、清洗剂、胶粘剂、光亮剂、脱模剂均</w:t>
                  </w:r>
                  <w:r>
                    <w:rPr>
                      <w:rFonts w:hAnsi="宋体"/>
                      <w:bCs/>
                      <w:kern w:val="2"/>
                      <w:sz w:val="21"/>
                      <w:szCs w:val="21"/>
                    </w:rPr>
                    <w:t>采用密闭包装桶进行运输；</w:t>
                  </w:r>
                </w:p>
                <w:p w14:paraId="7BA408BD">
                  <w:pPr>
                    <w:spacing w:line="276" w:lineRule="auto"/>
                    <w:jc w:val="center"/>
                    <w:rPr>
                      <w:rFonts w:hAnsi="宋体"/>
                      <w:bCs/>
                      <w:kern w:val="2"/>
                      <w:sz w:val="21"/>
                      <w:szCs w:val="21"/>
                    </w:rPr>
                  </w:pPr>
                  <w:r>
                    <w:rPr>
                      <w:rFonts w:hAnsi="宋体"/>
                      <w:bCs/>
                      <w:kern w:val="2"/>
                      <w:sz w:val="21"/>
                      <w:szCs w:val="21"/>
                    </w:rPr>
                    <w:t>（3）本项目</w:t>
                  </w:r>
                  <w:r>
                    <w:rPr>
                      <w:rFonts w:hint="eastAsia" w:hAnsi="宋体"/>
                      <w:bCs/>
                      <w:kern w:val="2"/>
                      <w:sz w:val="21"/>
                      <w:szCs w:val="21"/>
                    </w:rPr>
                    <w:t>不涉及调配工序；</w:t>
                  </w:r>
                </w:p>
                <w:p w14:paraId="0B7316A5">
                  <w:pPr>
                    <w:spacing w:line="276" w:lineRule="auto"/>
                    <w:jc w:val="center"/>
                    <w:rPr>
                      <w:rFonts w:hAnsi="宋体"/>
                      <w:bCs/>
                      <w:kern w:val="2"/>
                      <w:sz w:val="21"/>
                      <w:szCs w:val="21"/>
                    </w:rPr>
                  </w:pPr>
                  <w:r>
                    <w:rPr>
                      <w:rFonts w:hint="eastAsia" w:hAnsi="宋体"/>
                      <w:bCs/>
                      <w:kern w:val="2"/>
                      <w:sz w:val="21"/>
                      <w:szCs w:val="21"/>
                    </w:rPr>
                    <w:t>（4）本项目不涉及喷涂工序；</w:t>
                  </w:r>
                </w:p>
                <w:p w14:paraId="4787705B">
                  <w:pPr>
                    <w:spacing w:line="276" w:lineRule="auto"/>
                    <w:jc w:val="center"/>
                    <w:rPr>
                      <w:rFonts w:hAnsi="宋体"/>
                      <w:bCs/>
                      <w:kern w:val="2"/>
                      <w:sz w:val="21"/>
                      <w:szCs w:val="21"/>
                    </w:rPr>
                  </w:pPr>
                  <w:r>
                    <w:rPr>
                      <w:rFonts w:hint="eastAsia" w:hAnsi="宋体"/>
                      <w:bCs/>
                      <w:kern w:val="2"/>
                      <w:sz w:val="21"/>
                      <w:szCs w:val="21"/>
                    </w:rPr>
                    <w:t>（5）本项目不涉及干燥工序；</w:t>
                  </w:r>
                </w:p>
                <w:p w14:paraId="7D9BD3DC">
                  <w:pPr>
                    <w:spacing w:line="276" w:lineRule="auto"/>
                    <w:jc w:val="center"/>
                    <w:rPr>
                      <w:rFonts w:hAnsi="宋体"/>
                      <w:bCs/>
                      <w:kern w:val="2"/>
                      <w:sz w:val="21"/>
                      <w:szCs w:val="21"/>
                    </w:rPr>
                  </w:pPr>
                  <w:r>
                    <w:rPr>
                      <w:rFonts w:hint="eastAsia" w:hAnsi="宋体"/>
                      <w:bCs/>
                      <w:kern w:val="2"/>
                      <w:sz w:val="21"/>
                      <w:szCs w:val="21"/>
                    </w:rPr>
                    <w:t>（6）本项目清洗工序使用敞口式超声波清洗机在密闭厂房内进行，清洗过程中产生的有机废气采用集气罩收集后，再经过两级活性炭处理后，最终通过15m高排气筒（DA002）排放；</w:t>
                  </w:r>
                </w:p>
                <w:p w14:paraId="1E9E547D">
                  <w:pPr>
                    <w:spacing w:line="276" w:lineRule="auto"/>
                    <w:jc w:val="center"/>
                    <w:rPr>
                      <w:rFonts w:hAnsi="宋体"/>
                      <w:bCs/>
                      <w:kern w:val="2"/>
                      <w:sz w:val="21"/>
                      <w:szCs w:val="21"/>
                    </w:rPr>
                  </w:pPr>
                  <w:r>
                    <w:rPr>
                      <w:rFonts w:hint="eastAsia" w:hAnsi="宋体"/>
                      <w:bCs/>
                      <w:kern w:val="2"/>
                      <w:sz w:val="21"/>
                      <w:szCs w:val="21"/>
                    </w:rPr>
                    <w:t>（7）本项目不涉及回收工序；</w:t>
                  </w:r>
                </w:p>
                <w:p w14:paraId="626B0DC3">
                  <w:pPr>
                    <w:spacing w:line="276" w:lineRule="auto"/>
                    <w:jc w:val="center"/>
                  </w:pPr>
                  <w:r>
                    <w:rPr>
                      <w:rFonts w:hint="eastAsia" w:hAnsi="宋体"/>
                      <w:bCs/>
                      <w:kern w:val="2"/>
                      <w:sz w:val="21"/>
                      <w:szCs w:val="21"/>
                    </w:rPr>
                    <w:t>本项目设备清洗废清洗溶剂及清洗废水采用专用的容器收集后，存放于危废暂存间，定期委托有资质的单位处理。</w:t>
                  </w:r>
                </w:p>
              </w:tc>
              <w:tc>
                <w:tcPr>
                  <w:tcW w:w="865" w:type="dxa"/>
                  <w:shd w:val="clear" w:color="auto" w:fill="auto"/>
                  <w:vAlign w:val="center"/>
                </w:tcPr>
                <w:p w14:paraId="099F428F">
                  <w:pPr>
                    <w:spacing w:line="276" w:lineRule="auto"/>
                    <w:jc w:val="center"/>
                    <w:rPr>
                      <w:rFonts w:hAnsi="宋体"/>
                      <w:bCs/>
                      <w:kern w:val="2"/>
                      <w:sz w:val="21"/>
                      <w:szCs w:val="21"/>
                    </w:rPr>
                  </w:pPr>
                  <w:r>
                    <w:rPr>
                      <w:rFonts w:hAnsi="宋体"/>
                      <w:bCs/>
                      <w:kern w:val="2"/>
                      <w:sz w:val="21"/>
                      <w:szCs w:val="21"/>
                    </w:rPr>
                    <w:t>符合</w:t>
                  </w:r>
                </w:p>
              </w:tc>
            </w:tr>
            <w:tr w14:paraId="1DE200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shd w:val="clear" w:color="auto" w:fill="auto"/>
                  <w:vAlign w:val="center"/>
                </w:tcPr>
                <w:p w14:paraId="001B63C0">
                  <w:pPr>
                    <w:spacing w:line="276" w:lineRule="auto"/>
                    <w:jc w:val="center"/>
                    <w:rPr>
                      <w:rFonts w:hAnsi="宋体"/>
                      <w:bCs/>
                      <w:kern w:val="2"/>
                      <w:sz w:val="21"/>
                      <w:szCs w:val="21"/>
                    </w:rPr>
                  </w:pPr>
                  <w:r>
                    <w:rPr>
                      <w:rFonts w:hAnsi="宋体"/>
                      <w:bCs/>
                      <w:kern w:val="2"/>
                      <w:sz w:val="21"/>
                      <w:szCs w:val="21"/>
                    </w:rPr>
                    <w:t>3</w:t>
                  </w:r>
                </w:p>
              </w:tc>
              <w:tc>
                <w:tcPr>
                  <w:tcW w:w="3535" w:type="dxa"/>
                  <w:shd w:val="clear" w:color="auto" w:fill="auto"/>
                  <w:vAlign w:val="center"/>
                </w:tcPr>
                <w:p w14:paraId="5ED4947D">
                  <w:pPr>
                    <w:spacing w:line="276" w:lineRule="auto"/>
                    <w:jc w:val="center"/>
                    <w:rPr>
                      <w:rFonts w:hAnsi="宋体"/>
                      <w:bCs/>
                      <w:kern w:val="2"/>
                      <w:sz w:val="21"/>
                      <w:szCs w:val="21"/>
                    </w:rPr>
                  </w:pPr>
                  <w:r>
                    <w:rPr>
                      <w:rFonts w:hAnsi="宋体"/>
                      <w:bCs/>
                      <w:kern w:val="2"/>
                      <w:sz w:val="21"/>
                      <w:szCs w:val="21"/>
                    </w:rPr>
                    <w:t>末端治理</w:t>
                  </w:r>
                </w:p>
                <w:p w14:paraId="05187A36">
                  <w:pPr>
                    <w:spacing w:line="276" w:lineRule="auto"/>
                    <w:jc w:val="center"/>
                    <w:rPr>
                      <w:rFonts w:hAnsi="宋体"/>
                      <w:bCs/>
                      <w:kern w:val="2"/>
                      <w:sz w:val="21"/>
                      <w:szCs w:val="21"/>
                    </w:rPr>
                  </w:pPr>
                  <w:r>
                    <w:rPr>
                      <w:rFonts w:hAnsi="宋体"/>
                      <w:bCs/>
                      <w:kern w:val="2"/>
                      <w:sz w:val="21"/>
                      <w:szCs w:val="21"/>
                    </w:rPr>
                    <w:t>（1）喷涂、晾（风）干</w:t>
                  </w:r>
                </w:p>
                <w:p w14:paraId="60005DD1">
                  <w:pPr>
                    <w:spacing w:line="276" w:lineRule="auto"/>
                    <w:jc w:val="center"/>
                    <w:rPr>
                      <w:rFonts w:hAnsi="宋体"/>
                      <w:bCs/>
                      <w:kern w:val="2"/>
                      <w:sz w:val="21"/>
                      <w:szCs w:val="21"/>
                    </w:rPr>
                  </w:pPr>
                  <w:r>
                    <w:rPr>
                      <w:rFonts w:hAnsi="宋体"/>
                      <w:bCs/>
                      <w:kern w:val="2"/>
                      <w:sz w:val="21"/>
                      <w:szCs w:val="21"/>
                    </w:rPr>
                    <w:t>应设置高效漆雾处理装置，宜采用文丘里/水旋/水幕湿法漆雾捕集+多级干式过滤除湿联合装置，新建线宜用干式漆雾捕集过滤系统。</w:t>
                  </w:r>
                </w:p>
                <w:p w14:paraId="68922F16">
                  <w:pPr>
                    <w:spacing w:line="276" w:lineRule="auto"/>
                    <w:jc w:val="center"/>
                    <w:rPr>
                      <w:rFonts w:hAnsi="宋体"/>
                      <w:bCs/>
                      <w:kern w:val="2"/>
                      <w:sz w:val="21"/>
                      <w:szCs w:val="21"/>
                    </w:rPr>
                  </w:pPr>
                  <w:r>
                    <w:rPr>
                      <w:rFonts w:hAnsi="宋体"/>
                      <w:bCs/>
                      <w:kern w:val="2"/>
                      <w:sz w:val="21"/>
                      <w:szCs w:val="21"/>
                    </w:rPr>
                    <w:t>喷涂、晾（风）干废气宜采用吸附浓缩+燃烧或其他等效方式处置，小风量低浓度或不适宜浓缩脱附的废气可采用一次性活性炭吸附等工艺。</w:t>
                  </w:r>
                </w:p>
                <w:p w14:paraId="2DEC1D44">
                  <w:pPr>
                    <w:spacing w:line="276" w:lineRule="auto"/>
                    <w:jc w:val="center"/>
                    <w:rPr>
                      <w:rFonts w:hAnsi="宋体"/>
                      <w:bCs/>
                      <w:kern w:val="2"/>
                      <w:sz w:val="21"/>
                      <w:szCs w:val="21"/>
                    </w:rPr>
                  </w:pPr>
                  <w:r>
                    <w:rPr>
                      <w:rFonts w:hAnsi="宋体"/>
                      <w:bCs/>
                      <w:kern w:val="2"/>
                      <w:sz w:val="21"/>
                      <w:szCs w:val="21"/>
                    </w:rPr>
                    <w:t>（2）烘干</w:t>
                  </w:r>
                </w:p>
                <w:p w14:paraId="79D0F4DC">
                  <w:pPr>
                    <w:spacing w:line="276" w:lineRule="auto"/>
                    <w:jc w:val="center"/>
                    <w:rPr>
                      <w:rFonts w:hAnsi="宋体"/>
                      <w:bCs/>
                      <w:kern w:val="2"/>
                      <w:sz w:val="21"/>
                      <w:szCs w:val="21"/>
                    </w:rPr>
                  </w:pPr>
                  <w:r>
                    <w:rPr>
                      <w:rFonts w:hAnsi="宋体"/>
                      <w:bCs/>
                      <w:kern w:val="2"/>
                      <w:sz w:val="21"/>
                      <w:szCs w:val="21"/>
                    </w:rPr>
                    <w:t>烘干废气宜采用热力焚烧/催化燃烧或其他等效方式处置。</w:t>
                  </w:r>
                </w:p>
                <w:p w14:paraId="4426ED23">
                  <w:pPr>
                    <w:spacing w:line="276" w:lineRule="auto"/>
                    <w:jc w:val="center"/>
                    <w:rPr>
                      <w:rFonts w:hAnsi="宋体"/>
                      <w:bCs/>
                      <w:kern w:val="2"/>
                      <w:sz w:val="21"/>
                      <w:szCs w:val="21"/>
                    </w:rPr>
                  </w:pPr>
                  <w:r>
                    <w:rPr>
                      <w:rFonts w:hAnsi="宋体"/>
                      <w:bCs/>
                      <w:kern w:val="2"/>
                      <w:sz w:val="21"/>
                      <w:szCs w:val="21"/>
                    </w:rPr>
                    <w:t>使用溶剂型涂料的生产线，烘干废气宜单独处理，具备条件的可采用回收式热力燃烧装置。</w:t>
                  </w:r>
                </w:p>
              </w:tc>
              <w:tc>
                <w:tcPr>
                  <w:tcW w:w="2115" w:type="dxa"/>
                  <w:shd w:val="clear" w:color="auto" w:fill="auto"/>
                  <w:vAlign w:val="center"/>
                </w:tcPr>
                <w:p w14:paraId="57CD0A99">
                  <w:pPr>
                    <w:spacing w:line="276" w:lineRule="auto"/>
                    <w:jc w:val="center"/>
                    <w:rPr>
                      <w:rFonts w:hAnsi="宋体"/>
                      <w:bCs/>
                      <w:kern w:val="2"/>
                      <w:sz w:val="21"/>
                      <w:szCs w:val="21"/>
                    </w:rPr>
                  </w:pPr>
                  <w:r>
                    <w:rPr>
                      <w:rFonts w:hint="eastAsia" w:hAnsi="宋体"/>
                      <w:bCs/>
                      <w:kern w:val="2"/>
                      <w:sz w:val="21"/>
                      <w:szCs w:val="21"/>
                    </w:rPr>
                    <w:t>本项目不涉及喷涂、晾（风）干和烘干工序</w:t>
                  </w:r>
                </w:p>
              </w:tc>
              <w:tc>
                <w:tcPr>
                  <w:tcW w:w="865" w:type="dxa"/>
                  <w:shd w:val="clear" w:color="auto" w:fill="auto"/>
                  <w:vAlign w:val="center"/>
                </w:tcPr>
                <w:p w14:paraId="72C843BA">
                  <w:pPr>
                    <w:spacing w:line="276" w:lineRule="auto"/>
                    <w:jc w:val="center"/>
                    <w:rPr>
                      <w:rFonts w:hAnsi="宋体"/>
                      <w:bCs/>
                      <w:kern w:val="2"/>
                      <w:sz w:val="21"/>
                      <w:szCs w:val="21"/>
                    </w:rPr>
                  </w:pPr>
                  <w:r>
                    <w:rPr>
                      <w:rFonts w:hAnsi="宋体"/>
                      <w:bCs/>
                      <w:kern w:val="2"/>
                      <w:sz w:val="21"/>
                      <w:szCs w:val="21"/>
                    </w:rPr>
                    <w:t>符合</w:t>
                  </w:r>
                </w:p>
              </w:tc>
            </w:tr>
          </w:tbl>
          <w:p w14:paraId="689B95C9">
            <w:pPr>
              <w:spacing w:line="360" w:lineRule="auto"/>
              <w:ind w:firstLine="480" w:firstLineChars="200"/>
              <w:rPr>
                <w:rFonts w:hAnsi="宋体"/>
                <w:kern w:val="2"/>
              </w:rPr>
            </w:pPr>
            <w:r>
              <w:rPr>
                <w:rFonts w:hint="eastAsia" w:hAnsi="宋体"/>
                <w:kern w:val="2"/>
              </w:rPr>
              <w:t>根据上表可知，本项目与</w:t>
            </w:r>
            <w:r>
              <w:rPr>
                <w:rFonts w:hAnsi="宋体"/>
                <w:kern w:val="2"/>
              </w:rPr>
              <w:t>《挥发性有机物治理实用手册》</w:t>
            </w:r>
            <w:r>
              <w:rPr>
                <w:rFonts w:hint="eastAsia" w:hAnsi="宋体"/>
                <w:kern w:val="2"/>
              </w:rPr>
              <w:t>中的规定相符。</w:t>
            </w:r>
          </w:p>
          <w:p w14:paraId="03AC2B8E">
            <w:pPr>
              <w:spacing w:line="360" w:lineRule="auto"/>
              <w:ind w:firstLine="482" w:firstLineChars="200"/>
              <w:rPr>
                <w:rFonts w:hAnsi="宋体"/>
                <w:kern w:val="2"/>
              </w:rPr>
            </w:pPr>
            <w:r>
              <w:rPr>
                <w:rFonts w:hint="eastAsia" w:hAnsi="宋体"/>
                <w:b/>
                <w:bCs/>
                <w:kern w:val="2"/>
              </w:rPr>
              <w:t>8</w:t>
            </w:r>
            <w:r>
              <w:rPr>
                <w:rFonts w:hAnsi="宋体"/>
                <w:b/>
                <w:bCs/>
                <w:kern w:val="2"/>
              </w:rPr>
              <w:t>、与《挥发性有机物无组织排放控制标准》相符性分析</w:t>
            </w:r>
          </w:p>
          <w:p w14:paraId="5F3C0917">
            <w:pPr>
              <w:spacing w:line="360" w:lineRule="auto"/>
              <w:jc w:val="center"/>
              <w:rPr>
                <w:rFonts w:hAnsi="宋体"/>
                <w:kern w:val="2"/>
              </w:rPr>
            </w:pPr>
            <w:r>
              <w:rPr>
                <w:rFonts w:eastAsia="黑体"/>
                <w:kern w:val="2"/>
                <w:szCs w:val="22"/>
              </w:rPr>
              <w:t>表1-</w:t>
            </w:r>
            <w:r>
              <w:rPr>
                <w:rFonts w:hint="eastAsia" w:eastAsia="黑体"/>
                <w:kern w:val="2"/>
                <w:szCs w:val="22"/>
              </w:rPr>
              <w:t>9</w:t>
            </w:r>
            <w:r>
              <w:rPr>
                <w:rFonts w:eastAsia="黑体"/>
                <w:kern w:val="2"/>
                <w:szCs w:val="22"/>
              </w:rPr>
              <w:t>与《挥发性有机物无组织排放控制标准》相符性分析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0"/>
              <w:gridCol w:w="2928"/>
              <w:gridCol w:w="2624"/>
              <w:gridCol w:w="906"/>
            </w:tblGrid>
            <w:tr w14:paraId="1E1ED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93" w:type="dxa"/>
                  <w:shd w:val="clear" w:color="auto" w:fill="auto"/>
                  <w:vAlign w:val="center"/>
                </w:tcPr>
                <w:p w14:paraId="7B5D5948">
                  <w:pPr>
                    <w:spacing w:line="276" w:lineRule="auto"/>
                    <w:jc w:val="center"/>
                    <w:rPr>
                      <w:rFonts w:hAnsi="宋体"/>
                      <w:b/>
                      <w:kern w:val="2"/>
                      <w:sz w:val="21"/>
                      <w:szCs w:val="21"/>
                    </w:rPr>
                  </w:pPr>
                  <w:r>
                    <w:rPr>
                      <w:rFonts w:hAnsi="宋体"/>
                      <w:b/>
                      <w:kern w:val="2"/>
                      <w:sz w:val="21"/>
                      <w:szCs w:val="21"/>
                    </w:rPr>
                    <w:t>序号</w:t>
                  </w:r>
                </w:p>
              </w:tc>
              <w:tc>
                <w:tcPr>
                  <w:tcW w:w="2944" w:type="dxa"/>
                  <w:shd w:val="clear" w:color="auto" w:fill="auto"/>
                  <w:vAlign w:val="center"/>
                </w:tcPr>
                <w:p w14:paraId="01A22F50">
                  <w:pPr>
                    <w:spacing w:line="276" w:lineRule="auto"/>
                    <w:jc w:val="center"/>
                    <w:rPr>
                      <w:rFonts w:hAnsi="宋体"/>
                      <w:b/>
                      <w:kern w:val="2"/>
                      <w:sz w:val="21"/>
                      <w:szCs w:val="21"/>
                    </w:rPr>
                  </w:pPr>
                  <w:r>
                    <w:rPr>
                      <w:rFonts w:hAnsi="宋体"/>
                      <w:b/>
                      <w:kern w:val="2"/>
                      <w:sz w:val="21"/>
                      <w:szCs w:val="21"/>
                    </w:rPr>
                    <w:t>措施内容</w:t>
                  </w:r>
                </w:p>
              </w:tc>
              <w:tc>
                <w:tcPr>
                  <w:tcW w:w="2639" w:type="dxa"/>
                  <w:shd w:val="clear" w:color="auto" w:fill="auto"/>
                  <w:vAlign w:val="center"/>
                </w:tcPr>
                <w:p w14:paraId="77B87B71">
                  <w:pPr>
                    <w:spacing w:line="276" w:lineRule="auto"/>
                    <w:jc w:val="center"/>
                    <w:rPr>
                      <w:rFonts w:hAnsi="宋体"/>
                      <w:b/>
                      <w:kern w:val="2"/>
                      <w:sz w:val="21"/>
                      <w:szCs w:val="21"/>
                    </w:rPr>
                  </w:pPr>
                  <w:r>
                    <w:rPr>
                      <w:rFonts w:hAnsi="宋体"/>
                      <w:b/>
                      <w:kern w:val="2"/>
                      <w:sz w:val="21"/>
                      <w:szCs w:val="21"/>
                    </w:rPr>
                    <w:t>本项目措施</w:t>
                  </w:r>
                </w:p>
              </w:tc>
              <w:tc>
                <w:tcPr>
                  <w:tcW w:w="910" w:type="dxa"/>
                  <w:shd w:val="clear" w:color="auto" w:fill="auto"/>
                  <w:vAlign w:val="center"/>
                </w:tcPr>
                <w:p w14:paraId="5D60177A">
                  <w:pPr>
                    <w:spacing w:line="276" w:lineRule="auto"/>
                    <w:jc w:val="center"/>
                    <w:rPr>
                      <w:rFonts w:hAnsi="宋体"/>
                      <w:b/>
                      <w:kern w:val="2"/>
                      <w:sz w:val="21"/>
                      <w:szCs w:val="21"/>
                    </w:rPr>
                  </w:pPr>
                  <w:r>
                    <w:rPr>
                      <w:rFonts w:hAnsi="宋体"/>
                      <w:b/>
                      <w:kern w:val="2"/>
                      <w:sz w:val="21"/>
                      <w:szCs w:val="21"/>
                    </w:rPr>
                    <w:t>相符性</w:t>
                  </w:r>
                </w:p>
              </w:tc>
            </w:tr>
            <w:tr w14:paraId="3FB48B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93" w:type="dxa"/>
                  <w:shd w:val="clear" w:color="auto" w:fill="auto"/>
                  <w:vAlign w:val="center"/>
                </w:tcPr>
                <w:p w14:paraId="1712065B">
                  <w:pPr>
                    <w:spacing w:line="276" w:lineRule="auto"/>
                    <w:jc w:val="center"/>
                    <w:rPr>
                      <w:rFonts w:hAnsi="宋体"/>
                      <w:bCs/>
                      <w:kern w:val="2"/>
                      <w:sz w:val="21"/>
                      <w:szCs w:val="21"/>
                    </w:rPr>
                  </w:pPr>
                  <w:r>
                    <w:rPr>
                      <w:rFonts w:hAnsi="宋体"/>
                      <w:bCs/>
                      <w:kern w:val="2"/>
                      <w:sz w:val="21"/>
                      <w:szCs w:val="21"/>
                    </w:rPr>
                    <w:t>1</w:t>
                  </w:r>
                </w:p>
              </w:tc>
              <w:tc>
                <w:tcPr>
                  <w:tcW w:w="2944" w:type="dxa"/>
                  <w:shd w:val="clear" w:color="auto" w:fill="auto"/>
                  <w:vAlign w:val="center"/>
                </w:tcPr>
                <w:p w14:paraId="2CDBE8E5">
                  <w:pPr>
                    <w:spacing w:line="276" w:lineRule="auto"/>
                    <w:jc w:val="center"/>
                    <w:rPr>
                      <w:rFonts w:hAnsi="宋体"/>
                      <w:bCs/>
                      <w:kern w:val="2"/>
                      <w:sz w:val="21"/>
                      <w:szCs w:val="21"/>
                    </w:rPr>
                  </w:pPr>
                  <w:r>
                    <w:rPr>
                      <w:rFonts w:hAnsi="宋体"/>
                      <w:bCs/>
                      <w:kern w:val="2"/>
                      <w:sz w:val="21"/>
                      <w:szCs w:val="21"/>
                    </w:rPr>
                    <w:t>暂存：VOCs物料应储存于密闭的储罐、储库中。VOCs物料储罐应密封良好，采用固定顶罐，排放的废气应收集处理，处理效率不低于90%。VOCs物料应利用完整的围护结构将污染物质与周围空间阻隔，该封闭区域除人员、车辆、设备、物料进出时随时保持关闭状态。</w:t>
                  </w:r>
                </w:p>
                <w:p w14:paraId="2B2D5F28">
                  <w:pPr>
                    <w:spacing w:line="276" w:lineRule="auto"/>
                    <w:jc w:val="center"/>
                    <w:rPr>
                      <w:rFonts w:hAnsi="宋体"/>
                      <w:bCs/>
                      <w:kern w:val="2"/>
                      <w:sz w:val="21"/>
                      <w:szCs w:val="21"/>
                    </w:rPr>
                  </w:pPr>
                  <w:r>
                    <w:rPr>
                      <w:rFonts w:hAnsi="宋体"/>
                      <w:bCs/>
                      <w:kern w:val="2"/>
                      <w:sz w:val="21"/>
                      <w:szCs w:val="21"/>
                    </w:rPr>
                    <w:t>盛装VOCs物料的容器或包装袋应存放于室内，或存放于设置有雨棚、遮阳和防渗设施的专用场地。盛装VOCs物料的容器或包装袋在非取用状态时应加盖、封口，保持密闭</w:t>
                  </w:r>
                </w:p>
              </w:tc>
              <w:tc>
                <w:tcPr>
                  <w:tcW w:w="2639" w:type="dxa"/>
                  <w:shd w:val="clear" w:color="auto" w:fill="auto"/>
                  <w:vAlign w:val="center"/>
                </w:tcPr>
                <w:p w14:paraId="68BB16A3">
                  <w:pPr>
                    <w:spacing w:line="276" w:lineRule="auto"/>
                    <w:jc w:val="center"/>
                    <w:rPr>
                      <w:rFonts w:hAnsi="宋体"/>
                      <w:bCs/>
                      <w:kern w:val="2"/>
                      <w:sz w:val="21"/>
                      <w:szCs w:val="21"/>
                    </w:rPr>
                  </w:pPr>
                  <w:r>
                    <w:rPr>
                      <w:rFonts w:hAnsi="宋体"/>
                      <w:bCs/>
                      <w:kern w:val="2"/>
                      <w:sz w:val="21"/>
                      <w:szCs w:val="21"/>
                    </w:rPr>
                    <w:t>本项目混炼橡胶、清洗剂、胶粘剂</w:t>
                  </w:r>
                  <w:r>
                    <w:rPr>
                      <w:rFonts w:hint="eastAsia" w:hAnsi="宋体"/>
                      <w:bCs/>
                      <w:kern w:val="2"/>
                      <w:sz w:val="21"/>
                      <w:szCs w:val="21"/>
                    </w:rPr>
                    <w:t>、</w:t>
                  </w:r>
                  <w:r>
                    <w:rPr>
                      <w:rFonts w:hAnsi="宋体"/>
                      <w:bCs/>
                      <w:kern w:val="2"/>
                      <w:sz w:val="21"/>
                      <w:szCs w:val="21"/>
                    </w:rPr>
                    <w:t>光亮剂、脱模剂均采用密闭桶储存于厂房内</w:t>
                  </w:r>
                  <w:r>
                    <w:rPr>
                      <w:rFonts w:hint="eastAsia" w:hAnsi="宋体"/>
                      <w:bCs/>
                      <w:kern w:val="2"/>
                      <w:sz w:val="21"/>
                      <w:szCs w:val="21"/>
                    </w:rPr>
                    <w:t>。本项目有机废气采用集气罩收集后，再经过两级活性炭处理后，最终通过15m高排气筒（DA002）排放。项目盛装混炼橡胶、清洗剂、胶粘剂、光亮剂、脱模剂的包装桶在非取用状态时加盖、封口，保持密闭</w:t>
                  </w:r>
                </w:p>
              </w:tc>
              <w:tc>
                <w:tcPr>
                  <w:tcW w:w="910" w:type="dxa"/>
                  <w:shd w:val="clear" w:color="auto" w:fill="auto"/>
                  <w:vAlign w:val="center"/>
                </w:tcPr>
                <w:p w14:paraId="78B19010">
                  <w:pPr>
                    <w:spacing w:line="276" w:lineRule="auto"/>
                    <w:jc w:val="center"/>
                    <w:rPr>
                      <w:rFonts w:hAnsi="宋体"/>
                      <w:bCs/>
                      <w:kern w:val="2"/>
                      <w:sz w:val="21"/>
                      <w:szCs w:val="21"/>
                    </w:rPr>
                  </w:pPr>
                  <w:r>
                    <w:rPr>
                      <w:rFonts w:hAnsi="宋体"/>
                      <w:bCs/>
                      <w:kern w:val="2"/>
                      <w:sz w:val="21"/>
                      <w:szCs w:val="21"/>
                    </w:rPr>
                    <w:t>符合</w:t>
                  </w:r>
                </w:p>
              </w:tc>
            </w:tr>
            <w:tr w14:paraId="485673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93" w:type="dxa"/>
                  <w:shd w:val="clear" w:color="auto" w:fill="auto"/>
                  <w:vAlign w:val="center"/>
                </w:tcPr>
                <w:p w14:paraId="417007F1">
                  <w:pPr>
                    <w:spacing w:line="276" w:lineRule="auto"/>
                    <w:jc w:val="center"/>
                    <w:rPr>
                      <w:rFonts w:hAnsi="宋体"/>
                      <w:bCs/>
                      <w:kern w:val="2"/>
                      <w:sz w:val="21"/>
                      <w:szCs w:val="21"/>
                    </w:rPr>
                  </w:pPr>
                  <w:r>
                    <w:rPr>
                      <w:rFonts w:hAnsi="宋体"/>
                      <w:bCs/>
                      <w:kern w:val="2"/>
                      <w:sz w:val="21"/>
                      <w:szCs w:val="21"/>
                    </w:rPr>
                    <w:t>2</w:t>
                  </w:r>
                </w:p>
              </w:tc>
              <w:tc>
                <w:tcPr>
                  <w:tcW w:w="2944" w:type="dxa"/>
                  <w:shd w:val="clear" w:color="auto" w:fill="auto"/>
                  <w:vAlign w:val="center"/>
                </w:tcPr>
                <w:p w14:paraId="4C5469DE">
                  <w:pPr>
                    <w:spacing w:line="276" w:lineRule="auto"/>
                    <w:jc w:val="center"/>
                    <w:rPr>
                      <w:rFonts w:hAnsi="宋体"/>
                      <w:bCs/>
                      <w:kern w:val="2"/>
                      <w:sz w:val="21"/>
                      <w:szCs w:val="21"/>
                    </w:rPr>
                  </w:pPr>
                  <w:r>
                    <w:rPr>
                      <w:rFonts w:hAnsi="宋体"/>
                      <w:bCs/>
                      <w:kern w:val="2"/>
                      <w:sz w:val="21"/>
                      <w:szCs w:val="21"/>
                    </w:rPr>
                    <w:t>生产：VOCs质量占比大于等于10%的含VOCs产品，其使用过程中应采用密闭设备或在密闭空间内操作，废气应排至VOCs废气收集处理系统；无法密闭的，应采取局部气体收集措施，废气应排至VOCs废气收集处理系统。含VOCs产品的使用过程包括但不限于以下作业：</w:t>
                  </w:r>
                </w:p>
                <w:p w14:paraId="2B6FAB4A">
                  <w:pPr>
                    <w:spacing w:line="276" w:lineRule="auto"/>
                    <w:jc w:val="center"/>
                    <w:rPr>
                      <w:rFonts w:hAnsi="宋体"/>
                      <w:bCs/>
                      <w:kern w:val="2"/>
                      <w:sz w:val="21"/>
                      <w:szCs w:val="21"/>
                    </w:rPr>
                  </w:pPr>
                  <w:r>
                    <w:rPr>
                      <w:rFonts w:hAnsi="宋体"/>
                      <w:bCs/>
                      <w:kern w:val="2"/>
                      <w:sz w:val="21"/>
                      <w:szCs w:val="21"/>
                    </w:rPr>
                    <w:t>a）调配（混合、搅拌等）；</w:t>
                  </w:r>
                </w:p>
                <w:p w14:paraId="5A2A7EB7">
                  <w:pPr>
                    <w:spacing w:line="276" w:lineRule="auto"/>
                    <w:jc w:val="center"/>
                    <w:rPr>
                      <w:rFonts w:hAnsi="宋体"/>
                      <w:bCs/>
                      <w:kern w:val="2"/>
                      <w:sz w:val="21"/>
                      <w:szCs w:val="21"/>
                    </w:rPr>
                  </w:pPr>
                  <w:r>
                    <w:rPr>
                      <w:rFonts w:hAnsi="宋体"/>
                      <w:bCs/>
                      <w:kern w:val="2"/>
                      <w:sz w:val="21"/>
                      <w:szCs w:val="21"/>
                    </w:rPr>
                    <w:t>b）涂装（喷涂、浸涂、淋涂、辊涂、刷涂、涂布等）</w:t>
                  </w:r>
                </w:p>
              </w:tc>
              <w:tc>
                <w:tcPr>
                  <w:tcW w:w="2639" w:type="dxa"/>
                  <w:shd w:val="clear" w:color="auto" w:fill="auto"/>
                  <w:vAlign w:val="center"/>
                </w:tcPr>
                <w:p w14:paraId="0242AC43">
                  <w:pPr>
                    <w:spacing w:line="276" w:lineRule="auto"/>
                    <w:jc w:val="center"/>
                    <w:rPr>
                      <w:rFonts w:hAnsi="宋体"/>
                      <w:bCs/>
                      <w:kern w:val="2"/>
                      <w:sz w:val="21"/>
                      <w:szCs w:val="21"/>
                    </w:rPr>
                  </w:pPr>
                  <w:r>
                    <w:rPr>
                      <w:rFonts w:hint="eastAsia" w:hAnsi="宋体"/>
                      <w:bCs/>
                      <w:kern w:val="2"/>
                      <w:sz w:val="21"/>
                      <w:szCs w:val="21"/>
                    </w:rPr>
                    <w:t>本项目使用的清洗剂和胶粘剂VOCs质量占比大于等于10%，其使用过程中在密闭车间内操作，其产生的有机废气采用集气罩收集后，再经过两级活性炭处理后，最终通过15m高排气筒（DA002）排放</w:t>
                  </w:r>
                </w:p>
              </w:tc>
              <w:tc>
                <w:tcPr>
                  <w:tcW w:w="910" w:type="dxa"/>
                  <w:shd w:val="clear" w:color="auto" w:fill="auto"/>
                  <w:vAlign w:val="center"/>
                </w:tcPr>
                <w:p w14:paraId="42C43449">
                  <w:pPr>
                    <w:spacing w:line="276" w:lineRule="auto"/>
                    <w:jc w:val="center"/>
                    <w:rPr>
                      <w:rFonts w:hAnsi="宋体"/>
                      <w:bCs/>
                      <w:kern w:val="2"/>
                      <w:sz w:val="21"/>
                      <w:szCs w:val="21"/>
                    </w:rPr>
                  </w:pPr>
                  <w:r>
                    <w:rPr>
                      <w:rFonts w:hAnsi="宋体"/>
                      <w:bCs/>
                      <w:kern w:val="2"/>
                      <w:sz w:val="21"/>
                      <w:szCs w:val="21"/>
                    </w:rPr>
                    <w:t>符合</w:t>
                  </w:r>
                </w:p>
              </w:tc>
            </w:tr>
            <w:tr w14:paraId="45232F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93" w:type="dxa"/>
                  <w:shd w:val="clear" w:color="auto" w:fill="auto"/>
                  <w:vAlign w:val="center"/>
                </w:tcPr>
                <w:p w14:paraId="618C39A0">
                  <w:pPr>
                    <w:spacing w:line="276" w:lineRule="auto"/>
                    <w:jc w:val="center"/>
                    <w:rPr>
                      <w:rFonts w:hAnsi="宋体"/>
                      <w:bCs/>
                      <w:kern w:val="2"/>
                      <w:sz w:val="21"/>
                      <w:szCs w:val="21"/>
                    </w:rPr>
                  </w:pPr>
                  <w:r>
                    <w:rPr>
                      <w:rFonts w:hAnsi="宋体"/>
                      <w:bCs/>
                      <w:kern w:val="2"/>
                      <w:sz w:val="21"/>
                      <w:szCs w:val="21"/>
                    </w:rPr>
                    <w:t>3</w:t>
                  </w:r>
                </w:p>
              </w:tc>
              <w:tc>
                <w:tcPr>
                  <w:tcW w:w="2944" w:type="dxa"/>
                  <w:shd w:val="clear" w:color="auto" w:fill="auto"/>
                  <w:vAlign w:val="center"/>
                </w:tcPr>
                <w:p w14:paraId="46F3E1D5">
                  <w:pPr>
                    <w:spacing w:line="276" w:lineRule="auto"/>
                    <w:jc w:val="center"/>
                    <w:rPr>
                      <w:rFonts w:hAnsi="宋体"/>
                      <w:bCs/>
                      <w:kern w:val="2"/>
                      <w:sz w:val="21"/>
                      <w:szCs w:val="21"/>
                    </w:rPr>
                  </w:pPr>
                  <w:r>
                    <w:rPr>
                      <w:rFonts w:hAnsi="宋体"/>
                      <w:bCs/>
                      <w:kern w:val="2"/>
                      <w:sz w:val="21"/>
                      <w:szCs w:val="21"/>
                    </w:rPr>
                    <w:t>企业应建立台账，记录含VOCs原辅材料和含VOCs产品的名称、使用量、回收量、废弃量、去向以及VOCs含量等信息。台账保存期限不少于</w:t>
                  </w:r>
                  <w:r>
                    <w:rPr>
                      <w:rFonts w:hint="eastAsia" w:hAnsi="宋体"/>
                      <w:bCs/>
                      <w:kern w:val="2"/>
                      <w:sz w:val="21"/>
                      <w:szCs w:val="21"/>
                    </w:rPr>
                    <w:t>5</w:t>
                  </w:r>
                  <w:r>
                    <w:rPr>
                      <w:rFonts w:hAnsi="宋体"/>
                      <w:bCs/>
                      <w:kern w:val="2"/>
                      <w:sz w:val="21"/>
                      <w:szCs w:val="21"/>
                    </w:rPr>
                    <w:t>年</w:t>
                  </w:r>
                </w:p>
              </w:tc>
              <w:tc>
                <w:tcPr>
                  <w:tcW w:w="2639" w:type="dxa"/>
                  <w:shd w:val="clear" w:color="auto" w:fill="auto"/>
                  <w:vAlign w:val="center"/>
                </w:tcPr>
                <w:p w14:paraId="73BBD16D">
                  <w:pPr>
                    <w:spacing w:line="276" w:lineRule="auto"/>
                    <w:jc w:val="center"/>
                    <w:rPr>
                      <w:rFonts w:hAnsi="宋体"/>
                      <w:bCs/>
                      <w:kern w:val="2"/>
                      <w:sz w:val="21"/>
                      <w:szCs w:val="21"/>
                    </w:rPr>
                  </w:pPr>
                  <w:r>
                    <w:rPr>
                      <w:rFonts w:hAnsi="宋体"/>
                      <w:bCs/>
                      <w:kern w:val="2"/>
                      <w:sz w:val="21"/>
                      <w:szCs w:val="21"/>
                    </w:rPr>
                    <w:t>环评要求企业</w:t>
                  </w:r>
                  <w:r>
                    <w:rPr>
                      <w:rFonts w:hint="eastAsia" w:hAnsi="宋体"/>
                      <w:bCs/>
                      <w:kern w:val="2"/>
                      <w:sz w:val="21"/>
                      <w:szCs w:val="21"/>
                    </w:rPr>
                    <w:t>混炼橡胶、清洗剂、胶粘剂、光亮剂、脱模剂</w:t>
                  </w:r>
                  <w:r>
                    <w:rPr>
                      <w:rFonts w:hAnsi="宋体"/>
                      <w:bCs/>
                      <w:kern w:val="2"/>
                      <w:sz w:val="21"/>
                      <w:szCs w:val="21"/>
                    </w:rPr>
                    <w:t>进出库均设置台账记录。振光废水、清洗</w:t>
                  </w:r>
                  <w:r>
                    <w:rPr>
                      <w:rFonts w:hint="eastAsia" w:hAnsi="宋体"/>
                      <w:bCs/>
                      <w:kern w:val="2"/>
                      <w:sz w:val="21"/>
                      <w:szCs w:val="21"/>
                    </w:rPr>
                    <w:t>废液和</w:t>
                  </w:r>
                  <w:r>
                    <w:rPr>
                      <w:rFonts w:hAnsi="宋体"/>
                      <w:bCs/>
                      <w:kern w:val="2"/>
                      <w:sz w:val="21"/>
                      <w:szCs w:val="21"/>
                    </w:rPr>
                    <w:t>废水、废脱模剂、</w:t>
                  </w:r>
                  <w:r>
                    <w:rPr>
                      <w:rFonts w:hint="eastAsia" w:hAnsi="宋体"/>
                      <w:bCs/>
                      <w:kern w:val="2"/>
                      <w:sz w:val="21"/>
                      <w:szCs w:val="21"/>
                    </w:rPr>
                    <w:t>废胶粘剂</w:t>
                  </w:r>
                  <w:r>
                    <w:rPr>
                      <w:rFonts w:hAnsi="宋体"/>
                      <w:bCs/>
                      <w:kern w:val="2"/>
                      <w:sz w:val="21"/>
                      <w:szCs w:val="21"/>
                    </w:rPr>
                    <w:t>、废包装桶、槽渣、废机油、废机油桶、含油抹布和废活性炭</w:t>
                  </w:r>
                  <w:r>
                    <w:rPr>
                      <w:rFonts w:hint="eastAsia" w:hAnsi="宋体"/>
                      <w:bCs/>
                      <w:kern w:val="2"/>
                      <w:sz w:val="21"/>
                      <w:szCs w:val="21"/>
                    </w:rPr>
                    <w:t>等</w:t>
                  </w:r>
                  <w:r>
                    <w:rPr>
                      <w:rFonts w:hAnsi="宋体"/>
                      <w:bCs/>
                      <w:kern w:val="2"/>
                      <w:sz w:val="21"/>
                      <w:szCs w:val="21"/>
                    </w:rPr>
                    <w:t>危险废物进出库也需设立台账记录。台账保存期限不少于</w:t>
                  </w:r>
                  <w:r>
                    <w:rPr>
                      <w:rFonts w:hint="eastAsia" w:hAnsi="宋体"/>
                      <w:bCs/>
                      <w:kern w:val="2"/>
                      <w:sz w:val="21"/>
                      <w:szCs w:val="21"/>
                    </w:rPr>
                    <w:t>5</w:t>
                  </w:r>
                  <w:r>
                    <w:rPr>
                      <w:rFonts w:hAnsi="宋体"/>
                      <w:bCs/>
                      <w:kern w:val="2"/>
                      <w:sz w:val="21"/>
                      <w:szCs w:val="21"/>
                    </w:rPr>
                    <w:t>年</w:t>
                  </w:r>
                </w:p>
              </w:tc>
              <w:tc>
                <w:tcPr>
                  <w:tcW w:w="910" w:type="dxa"/>
                  <w:shd w:val="clear" w:color="auto" w:fill="auto"/>
                  <w:vAlign w:val="center"/>
                </w:tcPr>
                <w:p w14:paraId="4E462D7E">
                  <w:pPr>
                    <w:spacing w:line="276" w:lineRule="auto"/>
                    <w:jc w:val="center"/>
                    <w:rPr>
                      <w:rFonts w:hAnsi="宋体"/>
                      <w:bCs/>
                      <w:kern w:val="2"/>
                      <w:sz w:val="21"/>
                      <w:szCs w:val="21"/>
                    </w:rPr>
                  </w:pPr>
                  <w:r>
                    <w:rPr>
                      <w:rFonts w:hAnsi="宋体"/>
                      <w:bCs/>
                      <w:kern w:val="2"/>
                      <w:sz w:val="21"/>
                      <w:szCs w:val="21"/>
                    </w:rPr>
                    <w:t>符合</w:t>
                  </w:r>
                </w:p>
              </w:tc>
            </w:tr>
          </w:tbl>
          <w:p w14:paraId="7A238BAC">
            <w:pPr>
              <w:spacing w:line="360" w:lineRule="auto"/>
              <w:ind w:firstLine="480" w:firstLineChars="200"/>
              <w:rPr>
                <w:rFonts w:hAnsi="宋体"/>
                <w:kern w:val="2"/>
              </w:rPr>
            </w:pPr>
            <w:r>
              <w:rPr>
                <w:rFonts w:hint="eastAsia" w:hAnsi="宋体"/>
                <w:kern w:val="2"/>
              </w:rPr>
              <w:t>根据上表可知，本项目与</w:t>
            </w:r>
            <w:r>
              <w:rPr>
                <w:rFonts w:hAnsi="宋体"/>
                <w:kern w:val="2"/>
              </w:rPr>
              <w:t>《挥发性有机物无组织排放控制标准》</w:t>
            </w:r>
            <w:r>
              <w:rPr>
                <w:rFonts w:hint="eastAsia" w:hAnsi="宋体"/>
                <w:kern w:val="2"/>
              </w:rPr>
              <w:t>中的规定相符。</w:t>
            </w:r>
          </w:p>
          <w:p w14:paraId="355C9573">
            <w:pPr>
              <w:spacing w:line="360" w:lineRule="auto"/>
              <w:ind w:firstLine="482" w:firstLineChars="200"/>
              <w:rPr>
                <w:rFonts w:hAnsi="宋体"/>
                <w:kern w:val="2"/>
              </w:rPr>
            </w:pPr>
            <w:r>
              <w:rPr>
                <w:rFonts w:hint="eastAsia" w:hAnsi="宋体"/>
                <w:b/>
                <w:bCs/>
                <w:kern w:val="2"/>
              </w:rPr>
              <w:t>9、与《安徽省低挥发性有机物含量原辅材料替代工作方案》的相符性分析</w:t>
            </w:r>
          </w:p>
          <w:p w14:paraId="76EBB603">
            <w:pPr>
              <w:spacing w:line="360" w:lineRule="auto"/>
              <w:jc w:val="center"/>
              <w:rPr>
                <w:rFonts w:eastAsia="黑体"/>
                <w:kern w:val="2"/>
                <w:szCs w:val="22"/>
              </w:rPr>
            </w:pPr>
          </w:p>
          <w:p w14:paraId="472B754D">
            <w:pPr>
              <w:spacing w:line="360" w:lineRule="auto"/>
              <w:jc w:val="center"/>
              <w:rPr>
                <w:rFonts w:eastAsia="黑体"/>
                <w:kern w:val="2"/>
                <w:szCs w:val="22"/>
              </w:rPr>
            </w:pPr>
          </w:p>
          <w:p w14:paraId="03798E87">
            <w:pPr>
              <w:spacing w:line="360" w:lineRule="auto"/>
              <w:jc w:val="center"/>
              <w:rPr>
                <w:rFonts w:eastAsia="黑体"/>
                <w:kern w:val="2"/>
                <w:szCs w:val="22"/>
              </w:rPr>
            </w:pPr>
          </w:p>
          <w:p w14:paraId="1A6C7276">
            <w:pPr>
              <w:spacing w:line="360" w:lineRule="auto"/>
              <w:jc w:val="center"/>
              <w:rPr>
                <w:rFonts w:eastAsia="黑体"/>
                <w:kern w:val="2"/>
                <w:szCs w:val="22"/>
              </w:rPr>
            </w:pPr>
          </w:p>
          <w:p w14:paraId="15CBCBE0">
            <w:pPr>
              <w:spacing w:line="360" w:lineRule="auto"/>
              <w:jc w:val="center"/>
              <w:rPr>
                <w:rFonts w:eastAsia="黑体"/>
                <w:kern w:val="2"/>
                <w:szCs w:val="22"/>
              </w:rPr>
            </w:pPr>
            <w:r>
              <w:rPr>
                <w:rFonts w:eastAsia="黑体"/>
                <w:kern w:val="2"/>
                <w:szCs w:val="22"/>
              </w:rPr>
              <w:t>表1-</w:t>
            </w:r>
            <w:r>
              <w:rPr>
                <w:rFonts w:hint="eastAsia" w:eastAsia="黑体"/>
                <w:kern w:val="2"/>
                <w:szCs w:val="22"/>
              </w:rPr>
              <w:t>10</w:t>
            </w:r>
            <w:r>
              <w:rPr>
                <w:rFonts w:eastAsia="黑体"/>
                <w:kern w:val="2"/>
                <w:szCs w:val="22"/>
              </w:rPr>
              <w:t>与</w:t>
            </w:r>
            <w:r>
              <w:rPr>
                <w:rFonts w:hint="eastAsia" w:eastAsia="黑体"/>
                <w:kern w:val="2"/>
                <w:szCs w:val="22"/>
              </w:rPr>
              <w:t>《安徽省低挥发性有机物含量原辅材料替代工作方案》</w:t>
            </w:r>
          </w:p>
          <w:p w14:paraId="7D95B7B3">
            <w:pPr>
              <w:spacing w:line="360" w:lineRule="auto"/>
              <w:jc w:val="center"/>
              <w:rPr>
                <w:rFonts w:hAnsi="宋体"/>
                <w:kern w:val="2"/>
              </w:rPr>
            </w:pPr>
            <w:r>
              <w:rPr>
                <w:rFonts w:eastAsia="黑体"/>
                <w:kern w:val="2"/>
                <w:szCs w:val="22"/>
              </w:rPr>
              <w:t>相符性分析</w:t>
            </w:r>
          </w:p>
          <w:tbl>
            <w:tblPr>
              <w:tblStyle w:val="17"/>
              <w:tblW w:w="5000" w:type="pct"/>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6"/>
              <w:gridCol w:w="3347"/>
              <w:gridCol w:w="915"/>
            </w:tblGrid>
            <w:tr w14:paraId="0A90E3E4">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18" w:type="pct"/>
                  <w:vAlign w:val="center"/>
                </w:tcPr>
                <w:p w14:paraId="3721241A">
                  <w:pPr>
                    <w:spacing w:line="276" w:lineRule="auto"/>
                    <w:jc w:val="center"/>
                    <w:rPr>
                      <w:rFonts w:hAnsi="宋体"/>
                      <w:b/>
                      <w:kern w:val="2"/>
                      <w:sz w:val="21"/>
                      <w:szCs w:val="21"/>
                    </w:rPr>
                  </w:pPr>
                  <w:r>
                    <w:rPr>
                      <w:rFonts w:hint="eastAsia" w:hAnsi="宋体"/>
                      <w:b/>
                      <w:kern w:val="2"/>
                      <w:sz w:val="21"/>
                      <w:szCs w:val="21"/>
                    </w:rPr>
                    <w:t>方案内容</w:t>
                  </w:r>
                </w:p>
              </w:tc>
              <w:tc>
                <w:tcPr>
                  <w:tcW w:w="2341" w:type="pct"/>
                  <w:vAlign w:val="center"/>
                </w:tcPr>
                <w:p w14:paraId="03E518BC">
                  <w:pPr>
                    <w:spacing w:line="276" w:lineRule="auto"/>
                    <w:jc w:val="center"/>
                    <w:rPr>
                      <w:rFonts w:hAnsi="宋体"/>
                      <w:b/>
                      <w:kern w:val="2"/>
                      <w:sz w:val="21"/>
                      <w:szCs w:val="21"/>
                    </w:rPr>
                  </w:pPr>
                  <w:r>
                    <w:rPr>
                      <w:rFonts w:hint="eastAsia" w:hAnsi="宋体"/>
                      <w:b/>
                      <w:kern w:val="2"/>
                      <w:sz w:val="21"/>
                      <w:szCs w:val="21"/>
                    </w:rPr>
                    <w:t>本项目</w:t>
                  </w:r>
                </w:p>
              </w:tc>
              <w:tc>
                <w:tcPr>
                  <w:tcW w:w="640" w:type="pct"/>
                  <w:vAlign w:val="center"/>
                </w:tcPr>
                <w:p w14:paraId="7CD9414B">
                  <w:pPr>
                    <w:spacing w:line="276" w:lineRule="auto"/>
                    <w:jc w:val="center"/>
                    <w:rPr>
                      <w:rFonts w:hAnsi="宋体"/>
                      <w:b/>
                      <w:kern w:val="2"/>
                      <w:sz w:val="21"/>
                      <w:szCs w:val="21"/>
                    </w:rPr>
                  </w:pPr>
                  <w:r>
                    <w:rPr>
                      <w:rFonts w:hint="eastAsia" w:hAnsi="宋体"/>
                      <w:b/>
                      <w:kern w:val="2"/>
                      <w:sz w:val="21"/>
                      <w:szCs w:val="21"/>
                    </w:rPr>
                    <w:t>相符性</w:t>
                  </w:r>
                </w:p>
              </w:tc>
            </w:tr>
            <w:tr w14:paraId="7B6D12A1">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6" w:hRule="atLeast"/>
              </w:trPr>
              <w:tc>
                <w:tcPr>
                  <w:tcW w:w="2018" w:type="pct"/>
                  <w:vAlign w:val="center"/>
                </w:tcPr>
                <w:p w14:paraId="6B936214">
                  <w:pPr>
                    <w:spacing w:line="276" w:lineRule="auto"/>
                    <w:jc w:val="center"/>
                    <w:rPr>
                      <w:rFonts w:hAnsi="宋体"/>
                      <w:bCs/>
                      <w:kern w:val="2"/>
                      <w:sz w:val="21"/>
                      <w:szCs w:val="21"/>
                    </w:rPr>
                  </w:pPr>
                  <w:r>
                    <w:rPr>
                      <w:rFonts w:hint="eastAsia" w:hAnsi="宋体"/>
                      <w:bCs/>
                      <w:kern w:val="2"/>
                      <w:sz w:val="21"/>
                      <w:szCs w:val="21"/>
                    </w:rPr>
                    <w:t>加强替代管理。工业涂装、包装印刷、竹木加工、家具制造、汽车修理与维护、鞋和皮革制品制造等重点行业企业，要按照《低挥发性有机物含量原辅材料源头替代技术指引（试行）》（附件3）要求，开展低VOCs原辅材料和生产方式替代，优化管控台账及档案管理，持续提升环境管理水平。各地要根据《关于深入开展挥发性有机物污染治理工作的通知》（皖大气办〔2021〕4号）要求，在认真梳理2021至2023年度VOCs源头削减治理项目清单基础上，对涉VOCs重点行业和使用溶剂型涂料、油墨、胶粘剂、清洗剂以及涉及有机化工生产的产业集群进行再排查，将含VOCs原辅材料使用企业全面纳入源头替代企业排查台账（附件2）对具备替代条件的，加强调度指导；对无法替代的，要开展论证核实，严格把关并逐一说明。</w:t>
                  </w:r>
                </w:p>
              </w:tc>
              <w:tc>
                <w:tcPr>
                  <w:tcW w:w="2341" w:type="pct"/>
                  <w:vAlign w:val="center"/>
                </w:tcPr>
                <w:p w14:paraId="79CD017C">
                  <w:pPr>
                    <w:spacing w:line="276" w:lineRule="auto"/>
                    <w:jc w:val="center"/>
                    <w:rPr>
                      <w:rFonts w:hAnsi="宋体"/>
                      <w:bCs/>
                      <w:kern w:val="2"/>
                      <w:sz w:val="21"/>
                      <w:szCs w:val="21"/>
                    </w:rPr>
                  </w:pPr>
                  <w:r>
                    <w:rPr>
                      <w:rFonts w:hAnsi="宋体"/>
                      <w:bCs/>
                      <w:kern w:val="2"/>
                      <w:sz w:val="21"/>
                      <w:szCs w:val="21"/>
                    </w:rPr>
                    <w:t>本项目外购的衬套原料（芯子和外管）表面存在油污，对清洗剂除油效果要求极高，根据这一特点，对比建设单位提供的使用溶剂型清洗剂、胶粘剂与使用其他清洗剂、胶粘剂的压伸实验报告可知，项目衬套原料超声波清洗使用溶剂型清洗剂清洗时，可使衬套产品质量合格。根据建设单位提供的化学品安全技术资料，本项目使用的溶剂型清洗剂VOC含量满足《清洗剂挥发性有机化合物含量限值》（GB38508-2020）表1中的限值要求。项目芯子和外管间采用外购开练后的橡胶进行填充，开练橡胶与芯子、外管接触面需使用胶粘剂粘接，对胶粘剂的抗压伸能力要求极高，根据这一特点，对比建设单位提供的使用溶剂型清洗剂、胶粘剂与使用其他清洗剂、胶粘剂的压伸实验报告可知，项目开练橡胶与芯子、外管接触面采用溶剂型胶粘剂粘接时，可使衬套产品质量合格。根据建设单位提供的检测报告，本项目使用的溶剂型胶粘剂VOC含量满足《胶粘剂挥发性有机化合物限量》（GB33372-2020）表1中的限量要求。</w:t>
                  </w:r>
                </w:p>
                <w:p w14:paraId="4980872A">
                  <w:pPr>
                    <w:spacing w:line="276" w:lineRule="auto"/>
                    <w:jc w:val="center"/>
                    <w:rPr>
                      <w:rFonts w:hAnsi="宋体"/>
                      <w:bCs/>
                      <w:kern w:val="2"/>
                      <w:sz w:val="21"/>
                      <w:szCs w:val="21"/>
                    </w:rPr>
                  </w:pPr>
                  <w:r>
                    <w:rPr>
                      <w:rFonts w:hAnsi="宋体"/>
                      <w:bCs/>
                      <w:kern w:val="2"/>
                      <w:sz w:val="21"/>
                      <w:szCs w:val="21"/>
                    </w:rPr>
                    <w:t>结合项目产品质量要求，安徽集杰汽车零部件制造有限公司汽车悬挂系统及支臂总成制造基地项目溶剂型清洗剂和胶粘剂具有不可替代性</w:t>
                  </w:r>
                  <w:r>
                    <w:rPr>
                      <w:rFonts w:hint="eastAsia" w:hAnsi="宋体"/>
                      <w:bCs/>
                      <w:kern w:val="2"/>
                      <w:sz w:val="21"/>
                      <w:szCs w:val="21"/>
                      <w:highlight w:val="none"/>
                      <w:lang w:eastAsia="zh-CN"/>
                    </w:rPr>
                    <w:t>，</w:t>
                  </w:r>
                  <w:r>
                    <w:rPr>
                      <w:rFonts w:hint="eastAsia" w:hAnsi="宋体"/>
                      <w:bCs/>
                      <w:kern w:val="2"/>
                      <w:sz w:val="21"/>
                      <w:szCs w:val="21"/>
                      <w:highlight w:val="none"/>
                    </w:rPr>
                    <w:t>详见不可替代专家论证意见（见附件</w:t>
                  </w:r>
                  <w:r>
                    <w:rPr>
                      <w:rFonts w:hint="eastAsia" w:hAnsi="宋体"/>
                      <w:bCs/>
                      <w:kern w:val="2"/>
                      <w:sz w:val="21"/>
                      <w:szCs w:val="21"/>
                      <w:highlight w:val="none"/>
                      <w:lang w:val="en-US" w:eastAsia="zh-CN"/>
                    </w:rPr>
                    <w:t>13</w:t>
                  </w:r>
                  <w:r>
                    <w:rPr>
                      <w:rFonts w:hint="eastAsia" w:hAnsi="宋体"/>
                      <w:bCs/>
                      <w:kern w:val="2"/>
                      <w:sz w:val="21"/>
                      <w:szCs w:val="21"/>
                      <w:highlight w:val="none"/>
                    </w:rPr>
                    <w:t>）</w:t>
                  </w:r>
                </w:p>
              </w:tc>
              <w:tc>
                <w:tcPr>
                  <w:tcW w:w="640" w:type="pct"/>
                  <w:vAlign w:val="center"/>
                </w:tcPr>
                <w:p w14:paraId="4FC697E4">
                  <w:pPr>
                    <w:spacing w:line="276" w:lineRule="auto"/>
                    <w:jc w:val="center"/>
                    <w:rPr>
                      <w:rFonts w:hAnsi="宋体"/>
                      <w:bCs/>
                      <w:kern w:val="2"/>
                      <w:sz w:val="21"/>
                      <w:szCs w:val="21"/>
                    </w:rPr>
                  </w:pPr>
                  <w:r>
                    <w:rPr>
                      <w:rFonts w:hint="eastAsia" w:hAnsi="宋体"/>
                      <w:bCs/>
                      <w:kern w:val="2"/>
                      <w:sz w:val="21"/>
                      <w:szCs w:val="21"/>
                    </w:rPr>
                    <w:t>相符</w:t>
                  </w:r>
                </w:p>
              </w:tc>
            </w:tr>
          </w:tbl>
          <w:p w14:paraId="01FCB4F5">
            <w:pPr>
              <w:spacing w:line="360" w:lineRule="auto"/>
              <w:ind w:firstLine="482" w:firstLineChars="200"/>
              <w:rPr>
                <w:rFonts w:hAnsi="宋体"/>
                <w:kern w:val="2"/>
              </w:rPr>
            </w:pPr>
            <w:r>
              <w:rPr>
                <w:rFonts w:hint="eastAsia" w:hAnsi="宋体"/>
                <w:b/>
                <w:bCs/>
                <w:kern w:val="2"/>
              </w:rPr>
              <w:t>10、</w:t>
            </w:r>
            <w:r>
              <w:rPr>
                <w:rFonts w:hAnsi="宋体"/>
                <w:b/>
                <w:bCs/>
                <w:kern w:val="2"/>
              </w:rPr>
              <w:t>与《淮南市“十四五”大气污染防治规划（2021-2025年）》（淮环委办</w:t>
            </w:r>
            <w:r>
              <w:rPr>
                <w:rFonts w:hint="eastAsia" w:hAnsi="宋体"/>
                <w:b/>
                <w:bCs/>
                <w:kern w:val="2"/>
              </w:rPr>
              <w:t>〔2022〕</w:t>
            </w:r>
            <w:r>
              <w:rPr>
                <w:rFonts w:hAnsi="宋体"/>
                <w:b/>
                <w:bCs/>
                <w:kern w:val="2"/>
              </w:rPr>
              <w:t>49号）符合性分析</w:t>
            </w:r>
          </w:p>
          <w:p w14:paraId="39AD8ED1">
            <w:pPr>
              <w:spacing w:line="360" w:lineRule="auto"/>
              <w:jc w:val="center"/>
              <w:rPr>
                <w:rFonts w:hAnsi="宋体"/>
                <w:kern w:val="2"/>
              </w:rPr>
            </w:pPr>
            <w:r>
              <w:rPr>
                <w:rFonts w:eastAsia="黑体"/>
                <w:kern w:val="2"/>
                <w:szCs w:val="22"/>
              </w:rPr>
              <w:t>表</w:t>
            </w:r>
            <w:r>
              <w:rPr>
                <w:rFonts w:hint="eastAsia" w:eastAsia="黑体"/>
                <w:kern w:val="2"/>
                <w:szCs w:val="22"/>
              </w:rPr>
              <w:t>1-11</w:t>
            </w:r>
            <w:r>
              <w:rPr>
                <w:rFonts w:eastAsia="黑体"/>
                <w:kern w:val="2"/>
                <w:szCs w:val="22"/>
              </w:rPr>
              <w:t xml:space="preserve">  与《淮南市“十四五”大气污染防治规划（2021-2025年）》（淮环委办〔2022〕49号）符合性分析</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165"/>
              <w:gridCol w:w="2363"/>
              <w:gridCol w:w="935"/>
            </w:tblGrid>
            <w:tr w14:paraId="11730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136BF1E6">
                  <w:pPr>
                    <w:spacing w:line="276" w:lineRule="auto"/>
                    <w:jc w:val="center"/>
                    <w:rPr>
                      <w:rFonts w:hAnsi="宋体"/>
                      <w:b/>
                      <w:kern w:val="2"/>
                      <w:sz w:val="21"/>
                      <w:szCs w:val="21"/>
                    </w:rPr>
                  </w:pPr>
                  <w:r>
                    <w:rPr>
                      <w:rFonts w:hint="eastAsia" w:hAnsi="宋体"/>
                      <w:b/>
                      <w:kern w:val="2"/>
                      <w:sz w:val="21"/>
                      <w:szCs w:val="21"/>
                    </w:rPr>
                    <w:t>序号</w:t>
                  </w:r>
                </w:p>
              </w:tc>
              <w:tc>
                <w:tcPr>
                  <w:tcW w:w="2214" w:type="pct"/>
                  <w:shd w:val="clear" w:color="auto" w:fill="auto"/>
                  <w:vAlign w:val="center"/>
                </w:tcPr>
                <w:p w14:paraId="4309F11C">
                  <w:pPr>
                    <w:spacing w:line="276" w:lineRule="auto"/>
                    <w:jc w:val="center"/>
                    <w:rPr>
                      <w:rFonts w:hAnsi="宋体"/>
                      <w:b/>
                      <w:kern w:val="2"/>
                      <w:sz w:val="21"/>
                      <w:szCs w:val="21"/>
                    </w:rPr>
                  </w:pPr>
                  <w:r>
                    <w:rPr>
                      <w:rFonts w:hint="eastAsia" w:hAnsi="宋体"/>
                      <w:b/>
                      <w:kern w:val="2"/>
                      <w:sz w:val="21"/>
                      <w:szCs w:val="21"/>
                    </w:rPr>
                    <w:t>相关要求</w:t>
                  </w:r>
                </w:p>
              </w:tc>
              <w:tc>
                <w:tcPr>
                  <w:tcW w:w="1653" w:type="pct"/>
                  <w:shd w:val="clear" w:color="auto" w:fill="auto"/>
                  <w:vAlign w:val="center"/>
                </w:tcPr>
                <w:p w14:paraId="6661A625">
                  <w:pPr>
                    <w:spacing w:line="276" w:lineRule="auto"/>
                    <w:jc w:val="center"/>
                    <w:rPr>
                      <w:rFonts w:hAnsi="宋体"/>
                      <w:b/>
                      <w:kern w:val="2"/>
                      <w:sz w:val="21"/>
                      <w:szCs w:val="21"/>
                    </w:rPr>
                  </w:pPr>
                  <w:r>
                    <w:rPr>
                      <w:rFonts w:hint="eastAsia" w:hAnsi="宋体"/>
                      <w:b/>
                      <w:kern w:val="2"/>
                      <w:sz w:val="21"/>
                      <w:szCs w:val="21"/>
                    </w:rPr>
                    <w:t>本项目情况</w:t>
                  </w:r>
                </w:p>
              </w:tc>
              <w:tc>
                <w:tcPr>
                  <w:tcW w:w="654" w:type="pct"/>
                  <w:shd w:val="clear" w:color="auto" w:fill="auto"/>
                  <w:vAlign w:val="center"/>
                </w:tcPr>
                <w:p w14:paraId="15D123B1">
                  <w:pPr>
                    <w:spacing w:line="276" w:lineRule="auto"/>
                    <w:jc w:val="center"/>
                    <w:rPr>
                      <w:rFonts w:hAnsi="宋体"/>
                      <w:b/>
                      <w:kern w:val="2"/>
                      <w:sz w:val="21"/>
                      <w:szCs w:val="21"/>
                    </w:rPr>
                  </w:pPr>
                  <w:r>
                    <w:rPr>
                      <w:rFonts w:hint="eastAsia" w:hAnsi="宋体"/>
                      <w:b/>
                      <w:kern w:val="2"/>
                      <w:sz w:val="21"/>
                      <w:szCs w:val="21"/>
                    </w:rPr>
                    <w:t>符合性</w:t>
                  </w:r>
                </w:p>
              </w:tc>
            </w:tr>
            <w:tr w14:paraId="46FF7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94FE46A">
                  <w:pPr>
                    <w:spacing w:line="276" w:lineRule="auto"/>
                    <w:jc w:val="center"/>
                    <w:rPr>
                      <w:rFonts w:hAnsi="宋体"/>
                      <w:bCs/>
                      <w:kern w:val="2"/>
                      <w:sz w:val="21"/>
                      <w:szCs w:val="21"/>
                    </w:rPr>
                  </w:pPr>
                  <w:r>
                    <w:rPr>
                      <w:rFonts w:hint="eastAsia" w:hAnsi="宋体"/>
                      <w:bCs/>
                      <w:kern w:val="2"/>
                      <w:sz w:val="21"/>
                      <w:szCs w:val="21"/>
                    </w:rPr>
                    <w:t>1</w:t>
                  </w:r>
                </w:p>
              </w:tc>
              <w:tc>
                <w:tcPr>
                  <w:tcW w:w="2214" w:type="pct"/>
                  <w:shd w:val="clear" w:color="auto" w:fill="auto"/>
                  <w:vAlign w:val="center"/>
                </w:tcPr>
                <w:p w14:paraId="325C47F9">
                  <w:pPr>
                    <w:spacing w:line="276" w:lineRule="auto"/>
                    <w:jc w:val="center"/>
                    <w:rPr>
                      <w:rFonts w:hAnsi="宋体"/>
                      <w:bCs/>
                      <w:kern w:val="2"/>
                      <w:sz w:val="21"/>
                      <w:szCs w:val="21"/>
                    </w:rPr>
                  </w:pPr>
                  <w:r>
                    <w:rPr>
                      <w:rFonts w:hint="eastAsia" w:hAnsi="宋体"/>
                      <w:bCs/>
                      <w:kern w:val="2"/>
                      <w:sz w:val="21"/>
                      <w:szCs w:val="21"/>
                    </w:rPr>
                    <w:t>加严涉VOCs项目建设。严格限制高VOCs排放化工类建设项目。禁止建设生产和使用VOCs含量限值不符合国家标准的涂料、油墨、胶黏剂、清洗剂等项目</w:t>
                  </w:r>
                </w:p>
              </w:tc>
              <w:tc>
                <w:tcPr>
                  <w:tcW w:w="1653" w:type="pct"/>
                  <w:shd w:val="clear" w:color="auto" w:fill="auto"/>
                  <w:vAlign w:val="center"/>
                </w:tcPr>
                <w:p w14:paraId="34355794">
                  <w:pPr>
                    <w:spacing w:line="276" w:lineRule="auto"/>
                    <w:jc w:val="center"/>
                    <w:rPr>
                      <w:rFonts w:hAnsi="宋体"/>
                      <w:bCs/>
                      <w:kern w:val="2"/>
                      <w:sz w:val="21"/>
                      <w:szCs w:val="21"/>
                    </w:rPr>
                  </w:pPr>
                  <w:r>
                    <w:rPr>
                      <w:rFonts w:hint="eastAsia" w:hAnsi="宋体"/>
                      <w:bCs/>
                      <w:kern w:val="2"/>
                      <w:sz w:val="21"/>
                      <w:szCs w:val="21"/>
                    </w:rPr>
                    <w:t>本项目不属于高VOCs排放化工类建设项目。本项目不涉及生产和使用VOCs含量限值不符合国家标准的原料</w:t>
                  </w:r>
                </w:p>
              </w:tc>
              <w:tc>
                <w:tcPr>
                  <w:tcW w:w="654" w:type="pct"/>
                  <w:shd w:val="clear" w:color="auto" w:fill="auto"/>
                  <w:vAlign w:val="center"/>
                </w:tcPr>
                <w:p w14:paraId="470954B3">
                  <w:pPr>
                    <w:spacing w:line="276" w:lineRule="auto"/>
                    <w:jc w:val="center"/>
                    <w:rPr>
                      <w:rFonts w:hAnsi="宋体"/>
                      <w:bCs/>
                      <w:kern w:val="2"/>
                      <w:sz w:val="21"/>
                      <w:szCs w:val="21"/>
                    </w:rPr>
                  </w:pPr>
                  <w:r>
                    <w:rPr>
                      <w:rFonts w:hint="eastAsia" w:hAnsi="宋体"/>
                      <w:bCs/>
                      <w:kern w:val="2"/>
                      <w:sz w:val="21"/>
                      <w:szCs w:val="21"/>
                    </w:rPr>
                    <w:t>符合</w:t>
                  </w:r>
                </w:p>
              </w:tc>
            </w:tr>
          </w:tbl>
          <w:p w14:paraId="07612A3D">
            <w:pPr>
              <w:spacing w:line="360" w:lineRule="auto"/>
              <w:rPr>
                <w:rFonts w:hAnsi="宋体"/>
                <w:kern w:val="2"/>
              </w:rPr>
            </w:pPr>
          </w:p>
          <w:p w14:paraId="4AFD8F1F">
            <w:pPr>
              <w:spacing w:line="360" w:lineRule="auto"/>
              <w:rPr>
                <w:rFonts w:hAnsi="黑体" w:eastAsia="黑体"/>
              </w:rPr>
            </w:pPr>
          </w:p>
          <w:p w14:paraId="058E3CF1">
            <w:pPr>
              <w:spacing w:line="360" w:lineRule="auto"/>
              <w:ind w:firstLine="480" w:firstLineChars="200"/>
              <w:jc w:val="center"/>
              <w:rPr>
                <w:rFonts w:hAnsi="黑体" w:eastAsia="黑体"/>
              </w:rPr>
            </w:pPr>
          </w:p>
          <w:p w14:paraId="426ECD52">
            <w:pPr>
              <w:spacing w:line="360" w:lineRule="auto"/>
              <w:ind w:firstLine="480" w:firstLineChars="200"/>
              <w:jc w:val="center"/>
              <w:rPr>
                <w:rFonts w:hAnsi="黑体" w:eastAsia="黑体"/>
              </w:rPr>
            </w:pPr>
          </w:p>
          <w:p w14:paraId="04868AFF">
            <w:pPr>
              <w:spacing w:line="360" w:lineRule="auto"/>
              <w:ind w:firstLine="480" w:firstLineChars="200"/>
              <w:jc w:val="center"/>
              <w:rPr>
                <w:rFonts w:hAnsi="黑体" w:eastAsia="黑体"/>
              </w:rPr>
            </w:pPr>
          </w:p>
          <w:p w14:paraId="52538421">
            <w:pPr>
              <w:spacing w:line="360" w:lineRule="auto"/>
              <w:ind w:firstLine="480" w:firstLineChars="200"/>
              <w:jc w:val="center"/>
              <w:rPr>
                <w:rFonts w:hAnsi="黑体" w:eastAsia="黑体"/>
              </w:rPr>
            </w:pPr>
          </w:p>
          <w:p w14:paraId="78A8E043">
            <w:pPr>
              <w:spacing w:line="360" w:lineRule="auto"/>
              <w:ind w:firstLine="480" w:firstLineChars="200"/>
              <w:jc w:val="center"/>
              <w:rPr>
                <w:rFonts w:hAnsi="黑体" w:eastAsia="黑体"/>
              </w:rPr>
            </w:pPr>
          </w:p>
          <w:p w14:paraId="6A4F69BD">
            <w:pPr>
              <w:spacing w:line="360" w:lineRule="auto"/>
              <w:ind w:firstLine="480" w:firstLineChars="200"/>
              <w:jc w:val="center"/>
              <w:rPr>
                <w:rFonts w:hAnsi="黑体" w:eastAsia="黑体"/>
              </w:rPr>
            </w:pPr>
          </w:p>
          <w:p w14:paraId="6E80F0FA">
            <w:pPr>
              <w:spacing w:line="360" w:lineRule="auto"/>
              <w:ind w:firstLine="480" w:firstLineChars="200"/>
              <w:jc w:val="center"/>
              <w:rPr>
                <w:rFonts w:hAnsi="黑体" w:eastAsia="黑体"/>
              </w:rPr>
            </w:pPr>
          </w:p>
          <w:p w14:paraId="4B7A800C">
            <w:pPr>
              <w:spacing w:line="360" w:lineRule="auto"/>
              <w:ind w:firstLine="480" w:firstLineChars="200"/>
              <w:jc w:val="center"/>
              <w:rPr>
                <w:rFonts w:hAnsi="黑体" w:eastAsia="黑体"/>
              </w:rPr>
            </w:pPr>
          </w:p>
          <w:p w14:paraId="0A2BE331">
            <w:pPr>
              <w:spacing w:line="360" w:lineRule="auto"/>
              <w:ind w:firstLine="480" w:firstLineChars="200"/>
              <w:jc w:val="center"/>
              <w:rPr>
                <w:rFonts w:hAnsi="黑体" w:eastAsia="黑体"/>
              </w:rPr>
            </w:pPr>
          </w:p>
          <w:p w14:paraId="3BFB6CE9">
            <w:pPr>
              <w:spacing w:line="360" w:lineRule="auto"/>
              <w:ind w:firstLine="480" w:firstLineChars="200"/>
              <w:jc w:val="center"/>
              <w:rPr>
                <w:rFonts w:hAnsi="黑体" w:eastAsia="黑体"/>
              </w:rPr>
            </w:pPr>
          </w:p>
          <w:p w14:paraId="62AF9E7A">
            <w:pPr>
              <w:spacing w:line="360" w:lineRule="auto"/>
              <w:ind w:firstLine="480" w:firstLineChars="200"/>
              <w:jc w:val="center"/>
              <w:rPr>
                <w:rFonts w:hAnsi="黑体" w:eastAsia="黑体"/>
              </w:rPr>
            </w:pPr>
          </w:p>
          <w:p w14:paraId="6EA2ADF3">
            <w:pPr>
              <w:spacing w:line="360" w:lineRule="auto"/>
              <w:ind w:firstLine="480" w:firstLineChars="200"/>
              <w:jc w:val="center"/>
              <w:rPr>
                <w:rFonts w:hAnsi="黑体" w:eastAsia="黑体"/>
              </w:rPr>
            </w:pPr>
          </w:p>
          <w:p w14:paraId="149FA071">
            <w:pPr>
              <w:spacing w:line="360" w:lineRule="auto"/>
              <w:ind w:firstLine="480" w:firstLineChars="200"/>
              <w:jc w:val="center"/>
              <w:rPr>
                <w:rFonts w:hAnsi="黑体" w:eastAsia="黑体"/>
              </w:rPr>
            </w:pPr>
          </w:p>
          <w:p w14:paraId="0638781B">
            <w:pPr>
              <w:spacing w:line="360" w:lineRule="auto"/>
              <w:ind w:firstLine="480" w:firstLineChars="200"/>
              <w:jc w:val="center"/>
              <w:rPr>
                <w:rFonts w:hAnsi="黑体" w:eastAsia="黑体"/>
              </w:rPr>
            </w:pPr>
          </w:p>
          <w:p w14:paraId="0BB1B09B">
            <w:pPr>
              <w:spacing w:line="360" w:lineRule="auto"/>
              <w:ind w:firstLine="480" w:firstLineChars="200"/>
              <w:jc w:val="center"/>
              <w:rPr>
                <w:rFonts w:hAnsi="黑体" w:eastAsia="黑体"/>
              </w:rPr>
            </w:pPr>
          </w:p>
          <w:p w14:paraId="60512A5A">
            <w:pPr>
              <w:spacing w:line="360" w:lineRule="auto"/>
              <w:ind w:firstLine="480" w:firstLineChars="200"/>
              <w:jc w:val="center"/>
              <w:rPr>
                <w:rFonts w:hAnsi="黑体" w:eastAsia="黑体"/>
              </w:rPr>
            </w:pPr>
          </w:p>
          <w:p w14:paraId="3A62E697">
            <w:pPr>
              <w:spacing w:line="360" w:lineRule="auto"/>
              <w:jc w:val="both"/>
              <w:rPr>
                <w:rFonts w:hAnsi="黑体" w:eastAsia="黑体"/>
              </w:rPr>
            </w:pPr>
          </w:p>
          <w:p w14:paraId="1A09E2B3">
            <w:pPr>
              <w:spacing w:line="360" w:lineRule="auto"/>
              <w:rPr>
                <w:rFonts w:eastAsia="黑体"/>
              </w:rPr>
            </w:pPr>
          </w:p>
        </w:tc>
      </w:tr>
    </w:tbl>
    <w:p w14:paraId="6F354B67">
      <w:pPr>
        <w:spacing w:line="360" w:lineRule="auto"/>
        <w:rPr>
          <w:rFonts w:eastAsia="黑体"/>
          <w:sz w:val="30"/>
          <w:szCs w:val="30"/>
        </w:rPr>
        <w:sectPr>
          <w:footerReference r:id="rId3" w:type="default"/>
          <w:pgSz w:w="11906" w:h="16838"/>
          <w:pgMar w:top="1440" w:right="1800" w:bottom="1440" w:left="1800" w:header="851" w:footer="992" w:gutter="0"/>
          <w:cols w:space="425" w:num="1"/>
          <w:docGrid w:type="lines" w:linePitch="312" w:charSpace="0"/>
        </w:sectPr>
      </w:pPr>
    </w:p>
    <w:p w14:paraId="245FA9E1">
      <w:pPr>
        <w:spacing w:line="360" w:lineRule="auto"/>
        <w:rPr>
          <w:rFonts w:eastAsia="黑体"/>
          <w:sz w:val="30"/>
          <w:szCs w:val="30"/>
        </w:rPr>
        <w:sectPr>
          <w:type w:val="continuous"/>
          <w:pgSz w:w="11906" w:h="16838"/>
          <w:pgMar w:top="1440" w:right="1800" w:bottom="1440" w:left="1800" w:header="851" w:footer="992" w:gutter="0"/>
          <w:cols w:space="425" w:num="1"/>
          <w:docGrid w:type="lines" w:linePitch="312" w:charSpace="0"/>
        </w:sect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414"/>
      </w:tblGrid>
      <w:tr w14:paraId="739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8" w:hRule="atLeast"/>
        </w:trPr>
        <w:tc>
          <w:tcPr>
            <w:tcW w:w="268" w:type="pct"/>
          </w:tcPr>
          <w:p w14:paraId="3C2C6D6C">
            <w:pPr>
              <w:autoSpaceDE w:val="0"/>
              <w:autoSpaceDN w:val="0"/>
              <w:spacing w:line="360" w:lineRule="auto"/>
              <w:jc w:val="center"/>
            </w:pPr>
          </w:p>
        </w:tc>
        <w:tc>
          <w:tcPr>
            <w:tcW w:w="4732" w:type="pct"/>
          </w:tcPr>
          <w:p w14:paraId="3CEF71B8">
            <w:pPr>
              <w:spacing w:line="360" w:lineRule="auto"/>
              <w:ind w:firstLine="482" w:firstLineChars="200"/>
              <w:jc w:val="left"/>
              <w:rPr>
                <w:b/>
              </w:rPr>
            </w:pPr>
            <w:r>
              <w:rPr>
                <w:rFonts w:hint="eastAsia"/>
                <w:b/>
              </w:rPr>
              <w:t>11</w:t>
            </w:r>
            <w:r>
              <w:rPr>
                <w:b/>
              </w:rPr>
              <w:t>、与《淮南市涉气建设项目环评审批负面清单》相符性分析</w:t>
            </w:r>
          </w:p>
          <w:p w14:paraId="09F40166">
            <w:pPr>
              <w:spacing w:line="360" w:lineRule="auto"/>
              <w:jc w:val="center"/>
              <w:rPr>
                <w:rFonts w:eastAsia="黑体"/>
              </w:rPr>
            </w:pPr>
            <w:r>
              <w:rPr>
                <w:rFonts w:eastAsia="黑体"/>
              </w:rPr>
              <w:t>表1-</w:t>
            </w:r>
            <w:r>
              <w:rPr>
                <w:rFonts w:hint="eastAsia" w:eastAsia="黑体"/>
              </w:rPr>
              <w:t>12</w:t>
            </w:r>
            <w:r>
              <w:rPr>
                <w:rFonts w:eastAsia="黑体"/>
              </w:rPr>
              <w:t xml:space="preserve">  与《淮南市涉气建设项目环评审批负面清单》相符性分析</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2067"/>
              <w:gridCol w:w="3020"/>
              <w:gridCol w:w="2861"/>
              <w:gridCol w:w="3339"/>
              <w:gridCol w:w="1077"/>
            </w:tblGrid>
            <w:tr w14:paraId="763E10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162966E5">
                  <w:pPr>
                    <w:spacing w:line="276" w:lineRule="auto"/>
                    <w:jc w:val="center"/>
                    <w:rPr>
                      <w:b/>
                      <w:sz w:val="21"/>
                      <w:szCs w:val="21"/>
                    </w:rPr>
                  </w:pPr>
                  <w:r>
                    <w:rPr>
                      <w:b/>
                      <w:sz w:val="21"/>
                      <w:szCs w:val="21"/>
                    </w:rPr>
                    <w:t>序号</w:t>
                  </w:r>
                </w:p>
              </w:tc>
              <w:tc>
                <w:tcPr>
                  <w:tcW w:w="783" w:type="pct"/>
                  <w:vAlign w:val="center"/>
                </w:tcPr>
                <w:p w14:paraId="48739231">
                  <w:pPr>
                    <w:spacing w:line="276" w:lineRule="auto"/>
                    <w:jc w:val="center"/>
                    <w:rPr>
                      <w:b/>
                      <w:sz w:val="21"/>
                      <w:szCs w:val="21"/>
                    </w:rPr>
                  </w:pPr>
                  <w:r>
                    <w:rPr>
                      <w:b/>
                      <w:sz w:val="21"/>
                      <w:szCs w:val="21"/>
                    </w:rPr>
                    <w:t>重点工作任务</w:t>
                  </w:r>
                </w:p>
              </w:tc>
              <w:tc>
                <w:tcPr>
                  <w:tcW w:w="1144" w:type="pct"/>
                  <w:vAlign w:val="center"/>
                </w:tcPr>
                <w:p w14:paraId="7AED0B52">
                  <w:pPr>
                    <w:spacing w:line="276" w:lineRule="auto"/>
                    <w:jc w:val="center"/>
                    <w:rPr>
                      <w:b/>
                      <w:sz w:val="21"/>
                      <w:szCs w:val="21"/>
                    </w:rPr>
                  </w:pPr>
                  <w:r>
                    <w:rPr>
                      <w:b/>
                      <w:sz w:val="21"/>
                      <w:szCs w:val="21"/>
                    </w:rPr>
                    <w:t>推进举措</w:t>
                  </w:r>
                </w:p>
              </w:tc>
              <w:tc>
                <w:tcPr>
                  <w:tcW w:w="1084" w:type="pct"/>
                  <w:vAlign w:val="center"/>
                </w:tcPr>
                <w:p w14:paraId="1DE30B39">
                  <w:pPr>
                    <w:spacing w:line="276" w:lineRule="auto"/>
                    <w:jc w:val="center"/>
                    <w:rPr>
                      <w:b/>
                      <w:sz w:val="21"/>
                      <w:szCs w:val="21"/>
                    </w:rPr>
                  </w:pPr>
                  <w:r>
                    <w:rPr>
                      <w:b/>
                      <w:sz w:val="21"/>
                      <w:szCs w:val="21"/>
                    </w:rPr>
                    <w:t>环评审批的负面清单</w:t>
                  </w:r>
                </w:p>
              </w:tc>
              <w:tc>
                <w:tcPr>
                  <w:tcW w:w="1265" w:type="pct"/>
                  <w:vAlign w:val="center"/>
                </w:tcPr>
                <w:p w14:paraId="0C47CD59">
                  <w:pPr>
                    <w:spacing w:line="276" w:lineRule="auto"/>
                    <w:jc w:val="center"/>
                    <w:rPr>
                      <w:b/>
                      <w:sz w:val="21"/>
                      <w:szCs w:val="21"/>
                    </w:rPr>
                  </w:pPr>
                  <w:r>
                    <w:rPr>
                      <w:b/>
                      <w:sz w:val="21"/>
                      <w:szCs w:val="21"/>
                    </w:rPr>
                    <w:t>本项目情况</w:t>
                  </w:r>
                </w:p>
              </w:tc>
              <w:tc>
                <w:tcPr>
                  <w:tcW w:w="408" w:type="pct"/>
                  <w:vAlign w:val="center"/>
                </w:tcPr>
                <w:p w14:paraId="455CC3E4">
                  <w:pPr>
                    <w:spacing w:line="276" w:lineRule="auto"/>
                    <w:jc w:val="center"/>
                    <w:rPr>
                      <w:b/>
                      <w:sz w:val="21"/>
                      <w:szCs w:val="21"/>
                    </w:rPr>
                  </w:pPr>
                  <w:r>
                    <w:rPr>
                      <w:b/>
                      <w:sz w:val="21"/>
                      <w:szCs w:val="21"/>
                    </w:rPr>
                    <w:t>符合性</w:t>
                  </w:r>
                </w:p>
              </w:tc>
            </w:tr>
            <w:tr w14:paraId="705BB1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3A2D49C2">
                  <w:pPr>
                    <w:spacing w:line="276" w:lineRule="auto"/>
                    <w:jc w:val="center"/>
                    <w:rPr>
                      <w:b/>
                      <w:sz w:val="21"/>
                      <w:szCs w:val="21"/>
                    </w:rPr>
                  </w:pPr>
                  <w:r>
                    <w:rPr>
                      <w:sz w:val="21"/>
                      <w:szCs w:val="21"/>
                    </w:rPr>
                    <w:t>（一）坚决遏制高耗能、高排放、低水平项目盲目上马</w:t>
                  </w:r>
                </w:p>
              </w:tc>
            </w:tr>
            <w:tr w14:paraId="0F571F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3285CC5E">
                  <w:pPr>
                    <w:autoSpaceDE w:val="0"/>
                    <w:autoSpaceDN w:val="0"/>
                    <w:spacing w:line="276" w:lineRule="auto"/>
                    <w:jc w:val="center"/>
                    <w:rPr>
                      <w:sz w:val="21"/>
                      <w:szCs w:val="21"/>
                    </w:rPr>
                  </w:pPr>
                  <w:r>
                    <w:rPr>
                      <w:sz w:val="21"/>
                      <w:szCs w:val="21"/>
                    </w:rPr>
                    <w:t>1</w:t>
                  </w:r>
                </w:p>
              </w:tc>
              <w:tc>
                <w:tcPr>
                  <w:tcW w:w="783" w:type="pct"/>
                  <w:vAlign w:val="center"/>
                </w:tcPr>
                <w:p w14:paraId="36BD767B">
                  <w:pPr>
                    <w:autoSpaceDE w:val="0"/>
                    <w:autoSpaceDN w:val="0"/>
                    <w:spacing w:line="276" w:lineRule="auto"/>
                    <w:jc w:val="center"/>
                    <w:rPr>
                      <w:sz w:val="21"/>
                      <w:szCs w:val="21"/>
                    </w:rPr>
                  </w:pPr>
                  <w:r>
                    <w:rPr>
                      <w:sz w:val="21"/>
                      <w:szCs w:val="21"/>
                    </w:rPr>
                    <w:t>新改扩建项目严格落实国家产业政策要求，严把“两高”项目审批</w:t>
                  </w:r>
                </w:p>
              </w:tc>
              <w:tc>
                <w:tcPr>
                  <w:tcW w:w="1144" w:type="pct"/>
                  <w:vAlign w:val="center"/>
                </w:tcPr>
                <w:p w14:paraId="62D6F17E">
                  <w:pPr>
                    <w:autoSpaceDE w:val="0"/>
                    <w:autoSpaceDN w:val="0"/>
                    <w:spacing w:line="276" w:lineRule="auto"/>
                    <w:jc w:val="center"/>
                    <w:rPr>
                      <w:sz w:val="21"/>
                      <w:szCs w:val="21"/>
                    </w:rPr>
                  </w:pPr>
                  <w:r>
                    <w:rPr>
                      <w:sz w:val="21"/>
                      <w:szCs w:val="21"/>
                    </w:rPr>
                    <w:t>新改扩建项目严格落实国家产业规划、产业政策、生态环境分区管控方案、规划环评、项目环评、节能审查、产能置换、重点污染物总量控制、污染物排放区域削减、碳排放达峰目标等相关要求，原则上采用清洁运输方式。实施“高污染、高耗能”项目部门联审，严格论证项目建设必要性、可行性，推动行业集约发展和绿色转型</w:t>
                  </w:r>
                </w:p>
              </w:tc>
              <w:tc>
                <w:tcPr>
                  <w:tcW w:w="1084" w:type="pct"/>
                  <w:vAlign w:val="center"/>
                </w:tcPr>
                <w:p w14:paraId="7CAA44D6">
                  <w:pPr>
                    <w:autoSpaceDE w:val="0"/>
                    <w:autoSpaceDN w:val="0"/>
                    <w:spacing w:line="276" w:lineRule="auto"/>
                    <w:jc w:val="center"/>
                    <w:rPr>
                      <w:sz w:val="21"/>
                      <w:szCs w:val="21"/>
                    </w:rPr>
                  </w:pPr>
                  <w:r>
                    <w:rPr>
                      <w:sz w:val="21"/>
                      <w:szCs w:val="21"/>
                    </w:rPr>
                    <w:t>1、新改扩建项目严格落实国家产业规划、产业政策、生态环境分区管控方案、规划环评、项目环评、节能审查、产能置换、重点污染物总量控制、污染物排放区域削减、碳排放达峰目标等相关要求；</w:t>
                  </w:r>
                </w:p>
                <w:p w14:paraId="2F7D29FA">
                  <w:pPr>
                    <w:autoSpaceDE w:val="0"/>
                    <w:autoSpaceDN w:val="0"/>
                    <w:spacing w:line="276" w:lineRule="auto"/>
                    <w:jc w:val="center"/>
                    <w:rPr>
                      <w:sz w:val="21"/>
                      <w:szCs w:val="21"/>
                    </w:rPr>
                  </w:pPr>
                  <w:r>
                    <w:rPr>
                      <w:sz w:val="21"/>
                      <w:szCs w:val="21"/>
                    </w:rPr>
                    <w:t>2、两高项目应实施部门联审</w:t>
                  </w:r>
                </w:p>
              </w:tc>
              <w:tc>
                <w:tcPr>
                  <w:tcW w:w="1265" w:type="pct"/>
                  <w:vAlign w:val="center"/>
                </w:tcPr>
                <w:p w14:paraId="522CAECB">
                  <w:pPr>
                    <w:autoSpaceDE w:val="0"/>
                    <w:autoSpaceDN w:val="0"/>
                    <w:spacing w:line="276" w:lineRule="auto"/>
                    <w:jc w:val="center"/>
                    <w:rPr>
                      <w:sz w:val="21"/>
                      <w:szCs w:val="21"/>
                    </w:rPr>
                  </w:pPr>
                  <w:r>
                    <w:rPr>
                      <w:sz w:val="21"/>
                      <w:szCs w:val="21"/>
                    </w:rPr>
                    <w:t>本项目属于</w:t>
                  </w:r>
                  <w:r>
                    <w:rPr>
                      <w:rFonts w:hint="eastAsia"/>
                      <w:sz w:val="21"/>
                      <w:szCs w:val="21"/>
                    </w:rPr>
                    <w:t>C3670 汽车零部件及配件制造</w:t>
                  </w:r>
                  <w:r>
                    <w:rPr>
                      <w:sz w:val="21"/>
                      <w:szCs w:val="21"/>
                    </w:rPr>
                    <w:t>，查阅《产业结构调整指导目录（2024年本）》，</w:t>
                  </w:r>
                  <w:r>
                    <w:rPr>
                      <w:rFonts w:hint="eastAsia"/>
                      <w:sz w:val="21"/>
                      <w:szCs w:val="21"/>
                    </w:rPr>
                    <w:t>本项目不属于其中的鼓励类、限制类或淘汰类，视为允许建设项目，符合国家产业政策要求</w:t>
                  </w:r>
                  <w:r>
                    <w:rPr>
                      <w:sz w:val="21"/>
                      <w:szCs w:val="21"/>
                    </w:rPr>
                    <w:t>；对照《安徽</w:t>
                  </w:r>
                  <w:r>
                    <w:rPr>
                      <w:rFonts w:ascii="宋体" w:hAnsi="宋体"/>
                      <w:sz w:val="21"/>
                      <w:szCs w:val="21"/>
                    </w:rPr>
                    <w:t>省“两高”</w:t>
                  </w:r>
                  <w:r>
                    <w:rPr>
                      <w:sz w:val="21"/>
                      <w:szCs w:val="21"/>
                    </w:rPr>
                    <w:t>项目管理目录（试行）》，本项目不属于高耗能、高排放项目</w:t>
                  </w:r>
                </w:p>
              </w:tc>
              <w:tc>
                <w:tcPr>
                  <w:tcW w:w="408" w:type="pct"/>
                  <w:vAlign w:val="center"/>
                </w:tcPr>
                <w:p w14:paraId="78E197EB">
                  <w:pPr>
                    <w:autoSpaceDE w:val="0"/>
                    <w:autoSpaceDN w:val="0"/>
                    <w:spacing w:line="276" w:lineRule="auto"/>
                    <w:jc w:val="center"/>
                    <w:rPr>
                      <w:sz w:val="21"/>
                      <w:szCs w:val="21"/>
                    </w:rPr>
                  </w:pPr>
                  <w:r>
                    <w:rPr>
                      <w:sz w:val="21"/>
                      <w:szCs w:val="21"/>
                    </w:rPr>
                    <w:t>符合</w:t>
                  </w:r>
                </w:p>
              </w:tc>
            </w:tr>
            <w:tr w14:paraId="3C4B26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Merge w:val="restart"/>
                  <w:vAlign w:val="center"/>
                </w:tcPr>
                <w:p w14:paraId="5454BBFF">
                  <w:pPr>
                    <w:widowControl/>
                    <w:adjustRightInd w:val="0"/>
                    <w:snapToGrid w:val="0"/>
                    <w:spacing w:line="276" w:lineRule="auto"/>
                    <w:jc w:val="center"/>
                    <w:rPr>
                      <w:sz w:val="21"/>
                      <w:szCs w:val="21"/>
                    </w:rPr>
                  </w:pPr>
                  <w:r>
                    <w:rPr>
                      <w:sz w:val="21"/>
                      <w:szCs w:val="21"/>
                    </w:rPr>
                    <w:t>2</w:t>
                  </w:r>
                </w:p>
              </w:tc>
              <w:tc>
                <w:tcPr>
                  <w:tcW w:w="783" w:type="pct"/>
                  <w:vMerge w:val="restart"/>
                  <w:vAlign w:val="center"/>
                </w:tcPr>
                <w:p w14:paraId="5FF511A6">
                  <w:pPr>
                    <w:widowControl/>
                    <w:adjustRightInd w:val="0"/>
                    <w:snapToGrid w:val="0"/>
                    <w:spacing w:line="276" w:lineRule="auto"/>
                    <w:jc w:val="center"/>
                    <w:rPr>
                      <w:sz w:val="21"/>
                      <w:szCs w:val="21"/>
                    </w:rPr>
                  </w:pPr>
                  <w:r>
                    <w:rPr>
                      <w:sz w:val="21"/>
                      <w:szCs w:val="21"/>
                    </w:rPr>
                    <w:t>严格落实产能置换要求</w:t>
                  </w:r>
                </w:p>
              </w:tc>
              <w:tc>
                <w:tcPr>
                  <w:tcW w:w="1144" w:type="pct"/>
                  <w:vAlign w:val="center"/>
                </w:tcPr>
                <w:p w14:paraId="038E3F05">
                  <w:pPr>
                    <w:widowControl/>
                    <w:adjustRightInd w:val="0"/>
                    <w:snapToGrid w:val="0"/>
                    <w:spacing w:line="276" w:lineRule="auto"/>
                    <w:jc w:val="center"/>
                    <w:rPr>
                      <w:sz w:val="21"/>
                      <w:szCs w:val="21"/>
                    </w:rPr>
                  </w:pPr>
                  <w:r>
                    <w:rPr>
                      <w:sz w:val="21"/>
                      <w:szCs w:val="21"/>
                    </w:rPr>
                    <w:t>推动产能过剩行业减量发展、优化布局。不以任何名义、任何方式核准、备案产能严重过剩行业新增产能项目</w:t>
                  </w:r>
                </w:p>
              </w:tc>
              <w:tc>
                <w:tcPr>
                  <w:tcW w:w="1084" w:type="pct"/>
                  <w:vAlign w:val="center"/>
                </w:tcPr>
                <w:p w14:paraId="0906A161">
                  <w:pPr>
                    <w:widowControl/>
                    <w:adjustRightInd w:val="0"/>
                    <w:snapToGrid w:val="0"/>
                    <w:spacing w:line="276" w:lineRule="auto"/>
                    <w:jc w:val="center"/>
                    <w:rPr>
                      <w:sz w:val="21"/>
                      <w:szCs w:val="21"/>
                    </w:rPr>
                  </w:pPr>
                  <w:r>
                    <w:rPr>
                      <w:sz w:val="21"/>
                      <w:szCs w:val="21"/>
                    </w:rPr>
                    <w:t>严重过剩行业新增产能项目环评不予审批</w:t>
                  </w:r>
                </w:p>
              </w:tc>
              <w:tc>
                <w:tcPr>
                  <w:tcW w:w="1265" w:type="pct"/>
                  <w:vAlign w:val="center"/>
                </w:tcPr>
                <w:p w14:paraId="159F1C70">
                  <w:pPr>
                    <w:spacing w:line="276" w:lineRule="auto"/>
                    <w:jc w:val="center"/>
                    <w:rPr>
                      <w:sz w:val="21"/>
                      <w:szCs w:val="21"/>
                    </w:rPr>
                  </w:pPr>
                  <w:r>
                    <w:rPr>
                      <w:sz w:val="21"/>
                      <w:szCs w:val="21"/>
                    </w:rPr>
                    <w:t>本项目不属于过剩行业，且不新增产能</w:t>
                  </w:r>
                </w:p>
              </w:tc>
              <w:tc>
                <w:tcPr>
                  <w:tcW w:w="408" w:type="pct"/>
                  <w:vAlign w:val="center"/>
                </w:tcPr>
                <w:p w14:paraId="6A12F7E0">
                  <w:pPr>
                    <w:spacing w:line="276" w:lineRule="auto"/>
                    <w:jc w:val="center"/>
                    <w:rPr>
                      <w:b/>
                      <w:sz w:val="21"/>
                      <w:szCs w:val="21"/>
                    </w:rPr>
                  </w:pPr>
                  <w:r>
                    <w:rPr>
                      <w:sz w:val="21"/>
                      <w:szCs w:val="21"/>
                    </w:rPr>
                    <w:t>符合</w:t>
                  </w:r>
                </w:p>
              </w:tc>
            </w:tr>
            <w:tr w14:paraId="64FD6C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Merge w:val="continue"/>
                  <w:vAlign w:val="center"/>
                </w:tcPr>
                <w:p w14:paraId="28E5C1B8">
                  <w:pPr>
                    <w:spacing w:line="276" w:lineRule="auto"/>
                    <w:jc w:val="center"/>
                    <w:rPr>
                      <w:b/>
                      <w:sz w:val="21"/>
                      <w:szCs w:val="21"/>
                    </w:rPr>
                  </w:pPr>
                </w:p>
              </w:tc>
              <w:tc>
                <w:tcPr>
                  <w:tcW w:w="783" w:type="pct"/>
                  <w:vMerge w:val="continue"/>
                  <w:vAlign w:val="center"/>
                </w:tcPr>
                <w:p w14:paraId="5CFAF6AC">
                  <w:pPr>
                    <w:spacing w:line="276" w:lineRule="auto"/>
                    <w:jc w:val="center"/>
                    <w:rPr>
                      <w:b/>
                      <w:sz w:val="21"/>
                      <w:szCs w:val="21"/>
                    </w:rPr>
                  </w:pPr>
                </w:p>
              </w:tc>
              <w:tc>
                <w:tcPr>
                  <w:tcW w:w="1144" w:type="pct"/>
                  <w:vAlign w:val="center"/>
                </w:tcPr>
                <w:p w14:paraId="35F5D116">
                  <w:pPr>
                    <w:spacing w:line="276" w:lineRule="auto"/>
                    <w:jc w:val="center"/>
                    <w:rPr>
                      <w:sz w:val="21"/>
                      <w:szCs w:val="21"/>
                    </w:rPr>
                  </w:pPr>
                  <w:r>
                    <w:rPr>
                      <w:sz w:val="21"/>
                      <w:szCs w:val="21"/>
                    </w:rPr>
                    <w:t>被置换产能及其配套设施关停后，新建项目方可投产</w:t>
                  </w:r>
                </w:p>
              </w:tc>
              <w:tc>
                <w:tcPr>
                  <w:tcW w:w="1084" w:type="pct"/>
                  <w:vAlign w:val="center"/>
                </w:tcPr>
                <w:p w14:paraId="3F0B9BC4">
                  <w:pPr>
                    <w:spacing w:line="276" w:lineRule="auto"/>
                    <w:jc w:val="center"/>
                    <w:rPr>
                      <w:sz w:val="21"/>
                      <w:szCs w:val="21"/>
                    </w:rPr>
                  </w:pPr>
                  <w:r>
                    <w:rPr>
                      <w:sz w:val="21"/>
                      <w:szCs w:val="21"/>
                    </w:rPr>
                    <w:t>涉及产能置换项目环评阶段应取得置换产能</w:t>
                  </w:r>
                </w:p>
              </w:tc>
              <w:tc>
                <w:tcPr>
                  <w:tcW w:w="1265" w:type="pct"/>
                  <w:vAlign w:val="center"/>
                </w:tcPr>
                <w:p w14:paraId="7FF00180">
                  <w:pPr>
                    <w:spacing w:line="276" w:lineRule="auto"/>
                    <w:jc w:val="center"/>
                    <w:rPr>
                      <w:sz w:val="21"/>
                      <w:szCs w:val="21"/>
                    </w:rPr>
                  </w:pPr>
                  <w:r>
                    <w:rPr>
                      <w:sz w:val="21"/>
                      <w:szCs w:val="21"/>
                    </w:rPr>
                    <w:t>本项目不涉及产能置换</w:t>
                  </w:r>
                </w:p>
              </w:tc>
              <w:tc>
                <w:tcPr>
                  <w:tcW w:w="408" w:type="pct"/>
                  <w:vAlign w:val="center"/>
                </w:tcPr>
                <w:p w14:paraId="5BF49A17">
                  <w:pPr>
                    <w:spacing w:line="276" w:lineRule="auto"/>
                    <w:jc w:val="center"/>
                    <w:rPr>
                      <w:b/>
                      <w:sz w:val="21"/>
                      <w:szCs w:val="21"/>
                    </w:rPr>
                  </w:pPr>
                  <w:r>
                    <w:rPr>
                      <w:sz w:val="21"/>
                      <w:szCs w:val="21"/>
                    </w:rPr>
                    <w:t>符合</w:t>
                  </w:r>
                </w:p>
              </w:tc>
            </w:tr>
            <w:tr w14:paraId="088C75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555F41C5">
                  <w:pPr>
                    <w:spacing w:line="276" w:lineRule="auto"/>
                    <w:jc w:val="center"/>
                    <w:rPr>
                      <w:b/>
                      <w:sz w:val="21"/>
                      <w:szCs w:val="21"/>
                    </w:rPr>
                  </w:pPr>
                  <w:r>
                    <w:rPr>
                      <w:sz w:val="21"/>
                      <w:szCs w:val="21"/>
                    </w:rPr>
                    <w:t>（二）有序推动落后产能淘汰</w:t>
                  </w:r>
                </w:p>
              </w:tc>
            </w:tr>
            <w:tr w14:paraId="1F5A67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Merge w:val="restart"/>
                  <w:vAlign w:val="center"/>
                </w:tcPr>
                <w:p w14:paraId="72FB6D42">
                  <w:pPr>
                    <w:widowControl/>
                    <w:adjustRightInd w:val="0"/>
                    <w:snapToGrid w:val="0"/>
                    <w:spacing w:line="276" w:lineRule="auto"/>
                    <w:jc w:val="center"/>
                    <w:rPr>
                      <w:sz w:val="21"/>
                      <w:szCs w:val="21"/>
                    </w:rPr>
                  </w:pPr>
                  <w:r>
                    <w:rPr>
                      <w:sz w:val="21"/>
                      <w:szCs w:val="21"/>
                    </w:rPr>
                    <w:t>5</w:t>
                  </w:r>
                </w:p>
              </w:tc>
              <w:tc>
                <w:tcPr>
                  <w:tcW w:w="783" w:type="pct"/>
                  <w:vMerge w:val="restart"/>
                  <w:vAlign w:val="center"/>
                </w:tcPr>
                <w:p w14:paraId="33ECFF18">
                  <w:pPr>
                    <w:widowControl/>
                    <w:adjustRightInd w:val="0"/>
                    <w:snapToGrid w:val="0"/>
                    <w:spacing w:line="276" w:lineRule="auto"/>
                    <w:jc w:val="center"/>
                    <w:rPr>
                      <w:sz w:val="21"/>
                      <w:szCs w:val="21"/>
                    </w:rPr>
                  </w:pPr>
                  <w:r>
                    <w:rPr>
                      <w:sz w:val="21"/>
                      <w:szCs w:val="21"/>
                    </w:rPr>
                    <w:t>有序推动生产设施老旧、工艺水平落后、环境管理水平低下等企业退出市场</w:t>
                  </w:r>
                </w:p>
              </w:tc>
              <w:tc>
                <w:tcPr>
                  <w:tcW w:w="1144" w:type="pct"/>
                  <w:vAlign w:val="center"/>
                </w:tcPr>
                <w:p w14:paraId="66CDE8B7">
                  <w:pPr>
                    <w:widowControl/>
                    <w:adjustRightInd w:val="0"/>
                    <w:snapToGrid w:val="0"/>
                    <w:spacing w:line="276" w:lineRule="auto"/>
                    <w:jc w:val="center"/>
                    <w:rPr>
                      <w:sz w:val="21"/>
                      <w:szCs w:val="21"/>
                    </w:rPr>
                  </w:pPr>
                  <w:r>
                    <w:rPr>
                      <w:sz w:val="21"/>
                      <w:szCs w:val="21"/>
                    </w:rPr>
                    <w:t>逐步淘汰步进式烧结机和球团竖炉以及半封闭式硅锰合金、镍铁、高碳铬铁、高碳锰铁电炉。</w:t>
                  </w:r>
                </w:p>
                <w:p w14:paraId="4FF4E23B">
                  <w:pPr>
                    <w:widowControl/>
                    <w:adjustRightInd w:val="0"/>
                    <w:snapToGrid w:val="0"/>
                    <w:spacing w:line="276" w:lineRule="auto"/>
                    <w:jc w:val="center"/>
                    <w:rPr>
                      <w:sz w:val="21"/>
                      <w:szCs w:val="21"/>
                    </w:rPr>
                  </w:pPr>
                  <w:r>
                    <w:rPr>
                      <w:sz w:val="21"/>
                      <w:szCs w:val="21"/>
                    </w:rPr>
                    <w:t>有序推动落后煤炭洗选企业退出市场。</w:t>
                  </w:r>
                </w:p>
                <w:p w14:paraId="166D4565">
                  <w:pPr>
                    <w:widowControl/>
                    <w:adjustRightInd w:val="0"/>
                    <w:snapToGrid w:val="0"/>
                    <w:spacing w:line="276" w:lineRule="auto"/>
                    <w:jc w:val="center"/>
                    <w:rPr>
                      <w:sz w:val="21"/>
                      <w:szCs w:val="21"/>
                    </w:rPr>
                  </w:pPr>
                  <w:r>
                    <w:rPr>
                      <w:sz w:val="21"/>
                      <w:szCs w:val="21"/>
                    </w:rPr>
                    <w:t>禁止铝加工（深井铸造）企业新改扩建项目采用固定式保温炉组、钢丝绳铸造机</w:t>
                  </w:r>
                </w:p>
              </w:tc>
              <w:tc>
                <w:tcPr>
                  <w:tcW w:w="1084" w:type="pct"/>
                  <w:vAlign w:val="center"/>
                </w:tcPr>
                <w:p w14:paraId="1BDCF49A">
                  <w:pPr>
                    <w:widowControl/>
                    <w:adjustRightInd w:val="0"/>
                    <w:snapToGrid w:val="0"/>
                    <w:spacing w:line="276" w:lineRule="auto"/>
                    <w:jc w:val="center"/>
                    <w:rPr>
                      <w:sz w:val="21"/>
                      <w:szCs w:val="21"/>
                    </w:rPr>
                  </w:pPr>
                  <w:r>
                    <w:rPr>
                      <w:sz w:val="21"/>
                      <w:szCs w:val="21"/>
                    </w:rPr>
                    <w:t>采用步进式烧结机和球团竖炉以及半封闭式硅锰合金、镍铁、高碳铬铁、高碳锰铁电炉新建项目环评不予审批</w:t>
                  </w:r>
                </w:p>
              </w:tc>
              <w:tc>
                <w:tcPr>
                  <w:tcW w:w="1265" w:type="pct"/>
                  <w:vAlign w:val="center"/>
                </w:tcPr>
                <w:p w14:paraId="6F9C9786">
                  <w:pPr>
                    <w:spacing w:line="276" w:lineRule="auto"/>
                    <w:jc w:val="center"/>
                    <w:rPr>
                      <w:sz w:val="21"/>
                      <w:szCs w:val="21"/>
                    </w:rPr>
                  </w:pPr>
                  <w:r>
                    <w:rPr>
                      <w:sz w:val="21"/>
                      <w:szCs w:val="21"/>
                    </w:rPr>
                    <w:t>本项目不涉及步进式烧结机和球团竖炉以及半封闭式硅锰合金、镍铁、高碳铬铁、高碳锰铁电炉</w:t>
                  </w:r>
                </w:p>
              </w:tc>
              <w:tc>
                <w:tcPr>
                  <w:tcW w:w="408" w:type="pct"/>
                  <w:vAlign w:val="center"/>
                </w:tcPr>
                <w:p w14:paraId="2442808F">
                  <w:pPr>
                    <w:spacing w:line="276" w:lineRule="auto"/>
                    <w:jc w:val="center"/>
                    <w:rPr>
                      <w:b/>
                      <w:sz w:val="21"/>
                      <w:szCs w:val="21"/>
                    </w:rPr>
                  </w:pPr>
                  <w:r>
                    <w:rPr>
                      <w:sz w:val="21"/>
                      <w:szCs w:val="21"/>
                    </w:rPr>
                    <w:t>符合</w:t>
                  </w:r>
                </w:p>
              </w:tc>
            </w:tr>
            <w:tr w14:paraId="5ECB42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Merge w:val="continue"/>
                  <w:vAlign w:val="center"/>
                </w:tcPr>
                <w:p w14:paraId="6EA9EBEA">
                  <w:pPr>
                    <w:spacing w:line="276" w:lineRule="auto"/>
                    <w:jc w:val="center"/>
                    <w:rPr>
                      <w:b/>
                      <w:sz w:val="21"/>
                      <w:szCs w:val="21"/>
                    </w:rPr>
                  </w:pPr>
                </w:p>
              </w:tc>
              <w:tc>
                <w:tcPr>
                  <w:tcW w:w="783" w:type="pct"/>
                  <w:vMerge w:val="continue"/>
                  <w:vAlign w:val="center"/>
                </w:tcPr>
                <w:p w14:paraId="312907B5">
                  <w:pPr>
                    <w:spacing w:line="276" w:lineRule="auto"/>
                    <w:jc w:val="center"/>
                    <w:rPr>
                      <w:b/>
                      <w:sz w:val="21"/>
                      <w:szCs w:val="21"/>
                    </w:rPr>
                  </w:pPr>
                </w:p>
              </w:tc>
              <w:tc>
                <w:tcPr>
                  <w:tcW w:w="1144" w:type="pct"/>
                  <w:vAlign w:val="center"/>
                </w:tcPr>
                <w:p w14:paraId="529659D2">
                  <w:pPr>
                    <w:spacing w:line="276" w:lineRule="auto"/>
                    <w:jc w:val="center"/>
                    <w:rPr>
                      <w:b/>
                      <w:sz w:val="21"/>
                      <w:szCs w:val="21"/>
                    </w:rPr>
                  </w:pPr>
                  <w:r>
                    <w:rPr>
                      <w:sz w:val="21"/>
                      <w:szCs w:val="21"/>
                    </w:rPr>
                    <w:t>落后煤炭洗选项目不予审批</w:t>
                  </w:r>
                </w:p>
              </w:tc>
              <w:tc>
                <w:tcPr>
                  <w:tcW w:w="1084" w:type="pct"/>
                  <w:vAlign w:val="center"/>
                </w:tcPr>
                <w:p w14:paraId="6CB3FD52">
                  <w:pPr>
                    <w:widowControl/>
                    <w:adjustRightInd w:val="0"/>
                    <w:snapToGrid w:val="0"/>
                    <w:spacing w:line="276" w:lineRule="auto"/>
                    <w:jc w:val="center"/>
                    <w:rPr>
                      <w:sz w:val="21"/>
                      <w:szCs w:val="21"/>
                    </w:rPr>
                  </w:pPr>
                  <w:r>
                    <w:rPr>
                      <w:sz w:val="21"/>
                      <w:szCs w:val="21"/>
                    </w:rPr>
                    <w:t>落后煤炭洗选项目不予审批</w:t>
                  </w:r>
                </w:p>
              </w:tc>
              <w:tc>
                <w:tcPr>
                  <w:tcW w:w="1265" w:type="pct"/>
                  <w:vAlign w:val="center"/>
                </w:tcPr>
                <w:p w14:paraId="629237A1">
                  <w:pPr>
                    <w:spacing w:line="276" w:lineRule="auto"/>
                    <w:jc w:val="center"/>
                    <w:rPr>
                      <w:sz w:val="21"/>
                      <w:szCs w:val="21"/>
                    </w:rPr>
                  </w:pPr>
                  <w:r>
                    <w:rPr>
                      <w:sz w:val="21"/>
                      <w:szCs w:val="21"/>
                    </w:rPr>
                    <w:t>本项目不属于煤炭洗选项目</w:t>
                  </w:r>
                </w:p>
              </w:tc>
              <w:tc>
                <w:tcPr>
                  <w:tcW w:w="408" w:type="pct"/>
                  <w:vAlign w:val="center"/>
                </w:tcPr>
                <w:p w14:paraId="4223C7B7">
                  <w:pPr>
                    <w:spacing w:line="276" w:lineRule="auto"/>
                    <w:jc w:val="center"/>
                    <w:rPr>
                      <w:b/>
                      <w:sz w:val="21"/>
                      <w:szCs w:val="21"/>
                    </w:rPr>
                  </w:pPr>
                  <w:r>
                    <w:rPr>
                      <w:sz w:val="21"/>
                      <w:szCs w:val="21"/>
                    </w:rPr>
                    <w:t>符合</w:t>
                  </w:r>
                </w:p>
              </w:tc>
            </w:tr>
            <w:tr w14:paraId="2313DB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Merge w:val="continue"/>
                  <w:vAlign w:val="center"/>
                </w:tcPr>
                <w:p w14:paraId="69A97581">
                  <w:pPr>
                    <w:spacing w:line="276" w:lineRule="auto"/>
                    <w:jc w:val="center"/>
                    <w:rPr>
                      <w:b/>
                      <w:sz w:val="21"/>
                      <w:szCs w:val="21"/>
                    </w:rPr>
                  </w:pPr>
                </w:p>
              </w:tc>
              <w:tc>
                <w:tcPr>
                  <w:tcW w:w="783" w:type="pct"/>
                  <w:vMerge w:val="continue"/>
                  <w:vAlign w:val="center"/>
                </w:tcPr>
                <w:p w14:paraId="5227B165">
                  <w:pPr>
                    <w:spacing w:line="276" w:lineRule="auto"/>
                    <w:jc w:val="center"/>
                    <w:rPr>
                      <w:b/>
                      <w:sz w:val="21"/>
                      <w:szCs w:val="21"/>
                    </w:rPr>
                  </w:pPr>
                </w:p>
              </w:tc>
              <w:tc>
                <w:tcPr>
                  <w:tcW w:w="1144" w:type="pct"/>
                  <w:vAlign w:val="center"/>
                </w:tcPr>
                <w:p w14:paraId="68333BB7">
                  <w:pPr>
                    <w:spacing w:line="276" w:lineRule="auto"/>
                    <w:jc w:val="center"/>
                    <w:rPr>
                      <w:b/>
                      <w:sz w:val="21"/>
                      <w:szCs w:val="21"/>
                    </w:rPr>
                  </w:pPr>
                  <w:r>
                    <w:rPr>
                      <w:sz w:val="21"/>
                      <w:szCs w:val="21"/>
                    </w:rPr>
                    <w:t>采用固定式保温炉组、钢丝绳铸造机的新改扩建铝加工（深井铸造）项目环评不予审批</w:t>
                  </w:r>
                </w:p>
              </w:tc>
              <w:tc>
                <w:tcPr>
                  <w:tcW w:w="1084" w:type="pct"/>
                  <w:vAlign w:val="center"/>
                </w:tcPr>
                <w:p w14:paraId="4F795C31">
                  <w:pPr>
                    <w:widowControl/>
                    <w:adjustRightInd w:val="0"/>
                    <w:snapToGrid w:val="0"/>
                    <w:spacing w:line="276" w:lineRule="auto"/>
                    <w:jc w:val="center"/>
                    <w:rPr>
                      <w:sz w:val="21"/>
                      <w:szCs w:val="21"/>
                    </w:rPr>
                  </w:pPr>
                  <w:r>
                    <w:rPr>
                      <w:sz w:val="21"/>
                      <w:szCs w:val="21"/>
                    </w:rPr>
                    <w:t>采用固定式保温炉组、钢丝绳铸造机的新改扩建铝加工（深井铸造）项目环评不予审批</w:t>
                  </w:r>
                </w:p>
              </w:tc>
              <w:tc>
                <w:tcPr>
                  <w:tcW w:w="1265" w:type="pct"/>
                  <w:vAlign w:val="center"/>
                </w:tcPr>
                <w:p w14:paraId="09E8A49B">
                  <w:pPr>
                    <w:spacing w:line="276" w:lineRule="auto"/>
                    <w:jc w:val="center"/>
                    <w:rPr>
                      <w:sz w:val="21"/>
                      <w:szCs w:val="21"/>
                    </w:rPr>
                  </w:pPr>
                  <w:r>
                    <w:rPr>
                      <w:sz w:val="21"/>
                      <w:szCs w:val="21"/>
                    </w:rPr>
                    <w:t>本项目不属于采用固定式保温炉组、钢丝绳铸造机的新改扩建铝加工（深井铸造）项目</w:t>
                  </w:r>
                </w:p>
              </w:tc>
              <w:tc>
                <w:tcPr>
                  <w:tcW w:w="408" w:type="pct"/>
                  <w:vAlign w:val="center"/>
                </w:tcPr>
                <w:p w14:paraId="3E12480A">
                  <w:pPr>
                    <w:spacing w:line="276" w:lineRule="auto"/>
                    <w:jc w:val="center"/>
                    <w:rPr>
                      <w:b/>
                      <w:sz w:val="21"/>
                      <w:szCs w:val="21"/>
                    </w:rPr>
                  </w:pPr>
                  <w:r>
                    <w:rPr>
                      <w:sz w:val="21"/>
                      <w:szCs w:val="21"/>
                    </w:rPr>
                    <w:t>符合</w:t>
                  </w:r>
                </w:p>
              </w:tc>
            </w:tr>
            <w:tr w14:paraId="594AC6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4D146931">
                  <w:pPr>
                    <w:spacing w:line="276" w:lineRule="auto"/>
                    <w:jc w:val="center"/>
                    <w:rPr>
                      <w:sz w:val="21"/>
                      <w:szCs w:val="21"/>
                    </w:rPr>
                  </w:pPr>
                  <w:r>
                    <w:rPr>
                      <w:sz w:val="21"/>
                      <w:szCs w:val="21"/>
                    </w:rPr>
                    <w:t>6</w:t>
                  </w:r>
                </w:p>
              </w:tc>
              <w:tc>
                <w:tcPr>
                  <w:tcW w:w="783" w:type="pct"/>
                  <w:vAlign w:val="center"/>
                </w:tcPr>
                <w:p w14:paraId="6DC4F1AE">
                  <w:pPr>
                    <w:widowControl/>
                    <w:adjustRightInd w:val="0"/>
                    <w:snapToGrid w:val="0"/>
                    <w:spacing w:line="276" w:lineRule="auto"/>
                    <w:jc w:val="center"/>
                    <w:rPr>
                      <w:sz w:val="21"/>
                      <w:szCs w:val="21"/>
                    </w:rPr>
                  </w:pPr>
                  <w:r>
                    <w:rPr>
                      <w:sz w:val="21"/>
                      <w:szCs w:val="21"/>
                    </w:rPr>
                    <w:t>严禁违规新增产能</w:t>
                  </w:r>
                </w:p>
              </w:tc>
              <w:tc>
                <w:tcPr>
                  <w:tcW w:w="1144" w:type="pct"/>
                  <w:vAlign w:val="center"/>
                </w:tcPr>
                <w:p w14:paraId="2DDC386F">
                  <w:pPr>
                    <w:widowControl/>
                    <w:adjustRightInd w:val="0"/>
                    <w:snapToGrid w:val="0"/>
                    <w:spacing w:line="276" w:lineRule="auto"/>
                    <w:jc w:val="center"/>
                    <w:rPr>
                      <w:sz w:val="21"/>
                      <w:szCs w:val="21"/>
                    </w:rPr>
                  </w:pPr>
                  <w:r>
                    <w:rPr>
                      <w:sz w:val="21"/>
                      <w:szCs w:val="21"/>
                    </w:rPr>
                    <w:t>严禁违规新增钢铁、水泥（熟料）、焦化、电解铝、平板玻璃（不含光伏压延玻璃）产能</w:t>
                  </w:r>
                </w:p>
              </w:tc>
              <w:tc>
                <w:tcPr>
                  <w:tcW w:w="1084" w:type="pct"/>
                  <w:vAlign w:val="center"/>
                </w:tcPr>
                <w:p w14:paraId="6A1C870F">
                  <w:pPr>
                    <w:widowControl/>
                    <w:adjustRightInd w:val="0"/>
                    <w:snapToGrid w:val="0"/>
                    <w:spacing w:line="276" w:lineRule="auto"/>
                    <w:jc w:val="center"/>
                    <w:rPr>
                      <w:sz w:val="21"/>
                      <w:szCs w:val="21"/>
                    </w:rPr>
                  </w:pPr>
                  <w:r>
                    <w:rPr>
                      <w:sz w:val="21"/>
                      <w:szCs w:val="21"/>
                    </w:rPr>
                    <w:t>违规新增钢铁、水泥（熟料）、焦化、电解铝、平板玻璃（不含光伏压延玻璃）产能项目环评不予审批</w:t>
                  </w:r>
                </w:p>
              </w:tc>
              <w:tc>
                <w:tcPr>
                  <w:tcW w:w="1265" w:type="pct"/>
                  <w:vAlign w:val="center"/>
                </w:tcPr>
                <w:p w14:paraId="53E7AB4D">
                  <w:pPr>
                    <w:spacing w:line="276" w:lineRule="auto"/>
                    <w:jc w:val="center"/>
                    <w:rPr>
                      <w:sz w:val="21"/>
                      <w:szCs w:val="21"/>
                    </w:rPr>
                  </w:pPr>
                  <w:r>
                    <w:rPr>
                      <w:sz w:val="21"/>
                      <w:szCs w:val="21"/>
                    </w:rPr>
                    <w:t>本项目不新增产能，且不属于钢铁、水泥（熟料）、焦化、电解铝、平板玻璃（不含光伏压延玻璃）行业</w:t>
                  </w:r>
                </w:p>
              </w:tc>
              <w:tc>
                <w:tcPr>
                  <w:tcW w:w="408" w:type="pct"/>
                  <w:vAlign w:val="center"/>
                </w:tcPr>
                <w:p w14:paraId="22DEF276">
                  <w:pPr>
                    <w:spacing w:line="276" w:lineRule="auto"/>
                    <w:jc w:val="center"/>
                    <w:rPr>
                      <w:b/>
                      <w:sz w:val="21"/>
                      <w:szCs w:val="21"/>
                    </w:rPr>
                  </w:pPr>
                  <w:r>
                    <w:rPr>
                      <w:sz w:val="21"/>
                      <w:szCs w:val="21"/>
                    </w:rPr>
                    <w:t>符合</w:t>
                  </w:r>
                </w:p>
              </w:tc>
            </w:tr>
            <w:tr w14:paraId="0F8D3E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47A1C9F9">
                  <w:pPr>
                    <w:spacing w:line="276" w:lineRule="auto"/>
                    <w:jc w:val="center"/>
                    <w:rPr>
                      <w:b/>
                      <w:sz w:val="21"/>
                      <w:szCs w:val="21"/>
                    </w:rPr>
                  </w:pPr>
                  <w:r>
                    <w:rPr>
                      <w:sz w:val="21"/>
                      <w:szCs w:val="21"/>
                    </w:rPr>
                    <w:t>（六）推动煤炭消费减量替代</w:t>
                  </w:r>
                </w:p>
              </w:tc>
            </w:tr>
            <w:tr w14:paraId="0690A3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600631D9">
                  <w:pPr>
                    <w:widowControl/>
                    <w:adjustRightInd w:val="0"/>
                    <w:snapToGrid w:val="0"/>
                    <w:spacing w:line="276" w:lineRule="auto"/>
                    <w:jc w:val="center"/>
                    <w:rPr>
                      <w:sz w:val="21"/>
                      <w:szCs w:val="21"/>
                    </w:rPr>
                  </w:pPr>
                  <w:r>
                    <w:rPr>
                      <w:sz w:val="21"/>
                      <w:szCs w:val="21"/>
                    </w:rPr>
                    <w:t>16</w:t>
                  </w:r>
                </w:p>
              </w:tc>
              <w:tc>
                <w:tcPr>
                  <w:tcW w:w="783" w:type="pct"/>
                  <w:vAlign w:val="center"/>
                </w:tcPr>
                <w:p w14:paraId="2567C5A3">
                  <w:pPr>
                    <w:widowControl/>
                    <w:spacing w:line="276" w:lineRule="auto"/>
                    <w:jc w:val="center"/>
                    <w:rPr>
                      <w:sz w:val="21"/>
                      <w:szCs w:val="21"/>
                    </w:rPr>
                  </w:pPr>
                  <w:r>
                    <w:rPr>
                      <w:sz w:val="21"/>
                      <w:szCs w:val="21"/>
                    </w:rPr>
                    <w:t>推动煤炭等量或减量替代</w:t>
                  </w:r>
                </w:p>
              </w:tc>
              <w:tc>
                <w:tcPr>
                  <w:tcW w:w="1144" w:type="pct"/>
                  <w:vAlign w:val="center"/>
                </w:tcPr>
                <w:p w14:paraId="52CD9FE0">
                  <w:pPr>
                    <w:widowControl/>
                    <w:adjustRightInd w:val="0"/>
                    <w:snapToGrid w:val="0"/>
                    <w:spacing w:line="276" w:lineRule="auto"/>
                    <w:jc w:val="center"/>
                    <w:rPr>
                      <w:sz w:val="21"/>
                      <w:szCs w:val="21"/>
                    </w:rPr>
                  </w:pPr>
                  <w:r>
                    <w:rPr>
                      <w:sz w:val="21"/>
                      <w:szCs w:val="21"/>
                    </w:rPr>
                    <w:t>重点区域新改扩建用煤项目，依法实行煤炭等量或减量替代，替代方案不完善的能评、环评等不予审批；不得使用石油焦、焦炭、兰炭等高污染燃料作为煤炭减量替代措施</w:t>
                  </w:r>
                </w:p>
              </w:tc>
              <w:tc>
                <w:tcPr>
                  <w:tcW w:w="1084" w:type="pct"/>
                  <w:vAlign w:val="center"/>
                </w:tcPr>
                <w:p w14:paraId="5C07E1F4">
                  <w:pPr>
                    <w:widowControl/>
                    <w:adjustRightInd w:val="0"/>
                    <w:snapToGrid w:val="0"/>
                    <w:spacing w:line="276" w:lineRule="auto"/>
                    <w:jc w:val="center"/>
                    <w:rPr>
                      <w:sz w:val="21"/>
                      <w:szCs w:val="21"/>
                    </w:rPr>
                  </w:pPr>
                  <w:r>
                    <w:rPr>
                      <w:sz w:val="21"/>
                      <w:szCs w:val="21"/>
                    </w:rPr>
                    <w:t>重点区域新改扩建用煤项目，依法实行煤炭等量或减量替代，替代方案不完善的环评不予审批；不得使用石油焦、焦炭、兰炭等高污染燃料作为煤炭减量替代措施</w:t>
                  </w:r>
                </w:p>
              </w:tc>
              <w:tc>
                <w:tcPr>
                  <w:tcW w:w="1265" w:type="pct"/>
                  <w:vAlign w:val="center"/>
                </w:tcPr>
                <w:p w14:paraId="3E224841">
                  <w:pPr>
                    <w:spacing w:line="276" w:lineRule="auto"/>
                    <w:jc w:val="center"/>
                    <w:rPr>
                      <w:sz w:val="21"/>
                      <w:szCs w:val="21"/>
                    </w:rPr>
                  </w:pPr>
                  <w:r>
                    <w:rPr>
                      <w:sz w:val="21"/>
                      <w:szCs w:val="21"/>
                    </w:rPr>
                    <w:t>本项目不使用煤，不使用石油焦、焦炭、兰炭等高污染燃料</w:t>
                  </w:r>
                </w:p>
              </w:tc>
              <w:tc>
                <w:tcPr>
                  <w:tcW w:w="408" w:type="pct"/>
                  <w:vAlign w:val="center"/>
                </w:tcPr>
                <w:p w14:paraId="7113CD96">
                  <w:pPr>
                    <w:spacing w:line="276" w:lineRule="auto"/>
                    <w:jc w:val="center"/>
                    <w:rPr>
                      <w:b/>
                      <w:sz w:val="21"/>
                      <w:szCs w:val="21"/>
                    </w:rPr>
                  </w:pPr>
                  <w:r>
                    <w:rPr>
                      <w:sz w:val="21"/>
                      <w:szCs w:val="21"/>
                    </w:rPr>
                    <w:t>符合</w:t>
                  </w:r>
                </w:p>
              </w:tc>
            </w:tr>
            <w:tr w14:paraId="18C989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6F923EE1">
                  <w:pPr>
                    <w:spacing w:line="276" w:lineRule="auto"/>
                    <w:jc w:val="center"/>
                    <w:rPr>
                      <w:b/>
                      <w:sz w:val="21"/>
                      <w:szCs w:val="21"/>
                    </w:rPr>
                  </w:pPr>
                  <w:r>
                    <w:rPr>
                      <w:sz w:val="21"/>
                      <w:szCs w:val="21"/>
                    </w:rPr>
                    <w:t>（七）加快推动燃煤锅炉机组升级改造</w:t>
                  </w:r>
                </w:p>
              </w:tc>
            </w:tr>
            <w:tr w14:paraId="6A9ABE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529A38F5">
                  <w:pPr>
                    <w:widowControl/>
                    <w:adjustRightInd w:val="0"/>
                    <w:snapToGrid w:val="0"/>
                    <w:spacing w:line="276" w:lineRule="auto"/>
                    <w:jc w:val="center"/>
                    <w:rPr>
                      <w:sz w:val="21"/>
                      <w:szCs w:val="21"/>
                    </w:rPr>
                  </w:pPr>
                  <w:r>
                    <w:rPr>
                      <w:sz w:val="21"/>
                      <w:szCs w:val="21"/>
                    </w:rPr>
                    <w:t>19</w:t>
                  </w:r>
                </w:p>
              </w:tc>
              <w:tc>
                <w:tcPr>
                  <w:tcW w:w="783" w:type="pct"/>
                  <w:vAlign w:val="center"/>
                </w:tcPr>
                <w:p w14:paraId="26879578">
                  <w:pPr>
                    <w:widowControl/>
                    <w:adjustRightInd w:val="0"/>
                    <w:snapToGrid w:val="0"/>
                    <w:spacing w:line="276" w:lineRule="auto"/>
                    <w:jc w:val="center"/>
                    <w:rPr>
                      <w:sz w:val="21"/>
                      <w:szCs w:val="21"/>
                    </w:rPr>
                  </w:pPr>
                  <w:r>
                    <w:rPr>
                      <w:sz w:val="21"/>
                      <w:szCs w:val="21"/>
                    </w:rPr>
                    <w:t>严控热源性燃煤设施建设</w:t>
                  </w:r>
                </w:p>
              </w:tc>
              <w:tc>
                <w:tcPr>
                  <w:tcW w:w="1144" w:type="pct"/>
                  <w:vAlign w:val="center"/>
                </w:tcPr>
                <w:p w14:paraId="6013791A">
                  <w:pPr>
                    <w:widowControl/>
                    <w:adjustRightInd w:val="0"/>
                    <w:snapToGrid w:val="0"/>
                    <w:spacing w:line="276" w:lineRule="auto"/>
                    <w:jc w:val="center"/>
                    <w:rPr>
                      <w:sz w:val="21"/>
                      <w:szCs w:val="21"/>
                    </w:rPr>
                  </w:pPr>
                  <w:r>
                    <w:rPr>
                      <w:sz w:val="21"/>
                      <w:szCs w:val="21"/>
                    </w:rPr>
                    <w:t>重点区域原则上不再新建除集中供暖外的燃煤锅炉</w:t>
                  </w:r>
                </w:p>
              </w:tc>
              <w:tc>
                <w:tcPr>
                  <w:tcW w:w="1084" w:type="pct"/>
                  <w:vAlign w:val="center"/>
                </w:tcPr>
                <w:p w14:paraId="00F48913">
                  <w:pPr>
                    <w:widowControl/>
                    <w:adjustRightInd w:val="0"/>
                    <w:snapToGrid w:val="0"/>
                    <w:spacing w:line="276" w:lineRule="auto"/>
                    <w:jc w:val="center"/>
                    <w:rPr>
                      <w:sz w:val="21"/>
                      <w:szCs w:val="21"/>
                    </w:rPr>
                  </w:pPr>
                  <w:r>
                    <w:rPr>
                      <w:sz w:val="21"/>
                      <w:szCs w:val="21"/>
                    </w:rPr>
                    <w:t>原则上不得审批除集中供暖外的燃煤锅炉</w:t>
                  </w:r>
                </w:p>
              </w:tc>
              <w:tc>
                <w:tcPr>
                  <w:tcW w:w="1265" w:type="pct"/>
                  <w:vAlign w:val="center"/>
                </w:tcPr>
                <w:p w14:paraId="0F052D02">
                  <w:pPr>
                    <w:spacing w:line="276" w:lineRule="auto"/>
                    <w:jc w:val="center"/>
                    <w:rPr>
                      <w:sz w:val="21"/>
                      <w:szCs w:val="21"/>
                    </w:rPr>
                  </w:pPr>
                  <w:r>
                    <w:rPr>
                      <w:sz w:val="21"/>
                      <w:szCs w:val="21"/>
                    </w:rPr>
                    <w:t>本项目不涉及燃煤锅炉</w:t>
                  </w:r>
                </w:p>
              </w:tc>
              <w:tc>
                <w:tcPr>
                  <w:tcW w:w="408" w:type="pct"/>
                  <w:vAlign w:val="center"/>
                </w:tcPr>
                <w:p w14:paraId="230B0D40">
                  <w:pPr>
                    <w:spacing w:line="276" w:lineRule="auto"/>
                    <w:jc w:val="center"/>
                    <w:rPr>
                      <w:b/>
                      <w:sz w:val="21"/>
                      <w:szCs w:val="21"/>
                    </w:rPr>
                  </w:pPr>
                  <w:r>
                    <w:rPr>
                      <w:sz w:val="21"/>
                      <w:szCs w:val="21"/>
                    </w:rPr>
                    <w:t>符合</w:t>
                  </w:r>
                </w:p>
              </w:tc>
            </w:tr>
            <w:tr w14:paraId="2B87B3A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7A69A044">
                  <w:pPr>
                    <w:widowControl/>
                    <w:adjustRightInd w:val="0"/>
                    <w:snapToGrid w:val="0"/>
                    <w:spacing w:line="276" w:lineRule="auto"/>
                    <w:jc w:val="center"/>
                    <w:rPr>
                      <w:sz w:val="21"/>
                      <w:szCs w:val="21"/>
                    </w:rPr>
                  </w:pPr>
                  <w:r>
                    <w:rPr>
                      <w:sz w:val="21"/>
                      <w:szCs w:val="21"/>
                    </w:rPr>
                    <w:t>21</w:t>
                  </w:r>
                </w:p>
              </w:tc>
              <w:tc>
                <w:tcPr>
                  <w:tcW w:w="783" w:type="pct"/>
                  <w:vAlign w:val="center"/>
                </w:tcPr>
                <w:p w14:paraId="03BD460B">
                  <w:pPr>
                    <w:widowControl/>
                    <w:adjustRightInd w:val="0"/>
                    <w:snapToGrid w:val="0"/>
                    <w:spacing w:line="276" w:lineRule="auto"/>
                    <w:jc w:val="center"/>
                    <w:rPr>
                      <w:sz w:val="21"/>
                      <w:szCs w:val="21"/>
                    </w:rPr>
                  </w:pPr>
                  <w:r>
                    <w:rPr>
                      <w:sz w:val="21"/>
                      <w:szCs w:val="21"/>
                    </w:rPr>
                    <w:t>推动现有燃煤机组升级改造</w:t>
                  </w:r>
                </w:p>
              </w:tc>
              <w:tc>
                <w:tcPr>
                  <w:tcW w:w="1144" w:type="pct"/>
                  <w:vAlign w:val="center"/>
                </w:tcPr>
                <w:p w14:paraId="77C3FEB3">
                  <w:pPr>
                    <w:widowControl/>
                    <w:adjustRightInd w:val="0"/>
                    <w:snapToGrid w:val="0"/>
                    <w:spacing w:line="276" w:lineRule="auto"/>
                    <w:jc w:val="center"/>
                    <w:rPr>
                      <w:sz w:val="21"/>
                      <w:szCs w:val="21"/>
                    </w:rPr>
                  </w:pPr>
                  <w:r>
                    <w:rPr>
                      <w:sz w:val="21"/>
                      <w:szCs w:val="21"/>
                    </w:rPr>
                    <w:t>禁止新建自备燃煤机组，鼓励自备燃煤机组积极开展清洁能源替代。大力推动现有煤电机组开展节能降碳改造、灵活性改造、供热改造“三改联动”</w:t>
                  </w:r>
                </w:p>
              </w:tc>
              <w:tc>
                <w:tcPr>
                  <w:tcW w:w="1084" w:type="pct"/>
                  <w:vAlign w:val="center"/>
                </w:tcPr>
                <w:p w14:paraId="2FE80BA7">
                  <w:pPr>
                    <w:widowControl/>
                    <w:adjustRightInd w:val="0"/>
                    <w:snapToGrid w:val="0"/>
                    <w:spacing w:line="276" w:lineRule="auto"/>
                    <w:jc w:val="center"/>
                    <w:rPr>
                      <w:sz w:val="21"/>
                      <w:szCs w:val="21"/>
                    </w:rPr>
                  </w:pPr>
                  <w:r>
                    <w:rPr>
                      <w:sz w:val="21"/>
                      <w:szCs w:val="21"/>
                    </w:rPr>
                    <w:t>新建自备燃煤机组环评项目不予审批</w:t>
                  </w:r>
                </w:p>
              </w:tc>
              <w:tc>
                <w:tcPr>
                  <w:tcW w:w="1265" w:type="pct"/>
                  <w:vAlign w:val="center"/>
                </w:tcPr>
                <w:p w14:paraId="0B70FBCF">
                  <w:pPr>
                    <w:spacing w:line="276" w:lineRule="auto"/>
                    <w:jc w:val="center"/>
                    <w:rPr>
                      <w:sz w:val="21"/>
                      <w:szCs w:val="21"/>
                    </w:rPr>
                  </w:pPr>
                  <w:r>
                    <w:rPr>
                      <w:sz w:val="21"/>
                      <w:szCs w:val="21"/>
                    </w:rPr>
                    <w:t>本项目不新建自备燃煤机组</w:t>
                  </w:r>
                </w:p>
              </w:tc>
              <w:tc>
                <w:tcPr>
                  <w:tcW w:w="408" w:type="pct"/>
                  <w:vAlign w:val="center"/>
                </w:tcPr>
                <w:p w14:paraId="1A975E0E">
                  <w:pPr>
                    <w:spacing w:line="276" w:lineRule="auto"/>
                    <w:jc w:val="center"/>
                    <w:rPr>
                      <w:b/>
                      <w:sz w:val="21"/>
                      <w:szCs w:val="21"/>
                    </w:rPr>
                  </w:pPr>
                  <w:r>
                    <w:rPr>
                      <w:sz w:val="21"/>
                      <w:szCs w:val="21"/>
                    </w:rPr>
                    <w:t>符合</w:t>
                  </w:r>
                </w:p>
              </w:tc>
            </w:tr>
            <w:tr w14:paraId="684E9E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3346AC7F">
                  <w:pPr>
                    <w:spacing w:line="276" w:lineRule="auto"/>
                    <w:jc w:val="center"/>
                    <w:rPr>
                      <w:b/>
                      <w:sz w:val="21"/>
                      <w:szCs w:val="21"/>
                    </w:rPr>
                  </w:pPr>
                  <w:r>
                    <w:rPr>
                      <w:sz w:val="21"/>
                      <w:szCs w:val="21"/>
                    </w:rPr>
                    <w:t>（八）推动工业炉窑清洁能源替代</w:t>
                  </w:r>
                </w:p>
              </w:tc>
            </w:tr>
            <w:tr w14:paraId="346D52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47A18ABF">
                  <w:pPr>
                    <w:widowControl/>
                    <w:adjustRightInd w:val="0"/>
                    <w:snapToGrid w:val="0"/>
                    <w:spacing w:line="276" w:lineRule="auto"/>
                    <w:jc w:val="center"/>
                    <w:rPr>
                      <w:sz w:val="21"/>
                      <w:szCs w:val="21"/>
                    </w:rPr>
                  </w:pPr>
                  <w:r>
                    <w:rPr>
                      <w:sz w:val="21"/>
                      <w:szCs w:val="21"/>
                    </w:rPr>
                    <w:t>23</w:t>
                  </w:r>
                </w:p>
              </w:tc>
              <w:tc>
                <w:tcPr>
                  <w:tcW w:w="783" w:type="pct"/>
                  <w:vAlign w:val="center"/>
                </w:tcPr>
                <w:p w14:paraId="1E6FB352">
                  <w:pPr>
                    <w:widowControl/>
                    <w:spacing w:line="276" w:lineRule="auto"/>
                    <w:jc w:val="center"/>
                    <w:rPr>
                      <w:sz w:val="21"/>
                      <w:szCs w:val="21"/>
                    </w:rPr>
                  </w:pPr>
                  <w:r>
                    <w:rPr>
                      <w:sz w:val="21"/>
                      <w:szCs w:val="21"/>
                    </w:rPr>
                    <w:t>推动煤气发生炉清洁能源替代</w:t>
                  </w:r>
                </w:p>
              </w:tc>
              <w:tc>
                <w:tcPr>
                  <w:tcW w:w="1144" w:type="pct"/>
                  <w:vAlign w:val="center"/>
                </w:tcPr>
                <w:p w14:paraId="1DE5B91F">
                  <w:pPr>
                    <w:widowControl/>
                    <w:adjustRightInd w:val="0"/>
                    <w:snapToGrid w:val="0"/>
                    <w:spacing w:line="276" w:lineRule="auto"/>
                    <w:jc w:val="center"/>
                    <w:rPr>
                      <w:sz w:val="21"/>
                      <w:szCs w:val="21"/>
                    </w:rPr>
                  </w:pPr>
                  <w:r>
                    <w:rPr>
                      <w:sz w:val="21"/>
                      <w:szCs w:val="21"/>
                    </w:rPr>
                    <w:t>重点区域不再新增燃料类煤气发生炉</w:t>
                  </w:r>
                </w:p>
              </w:tc>
              <w:tc>
                <w:tcPr>
                  <w:tcW w:w="1084" w:type="pct"/>
                  <w:vAlign w:val="center"/>
                </w:tcPr>
                <w:p w14:paraId="47DF5ABA">
                  <w:pPr>
                    <w:widowControl/>
                    <w:adjustRightInd w:val="0"/>
                    <w:snapToGrid w:val="0"/>
                    <w:spacing w:line="276" w:lineRule="auto"/>
                    <w:jc w:val="center"/>
                    <w:rPr>
                      <w:sz w:val="21"/>
                      <w:szCs w:val="21"/>
                    </w:rPr>
                  </w:pPr>
                  <w:r>
                    <w:rPr>
                      <w:sz w:val="21"/>
                      <w:szCs w:val="21"/>
                    </w:rPr>
                    <w:t>新增燃煤类煤气发生炉项目不予审批</w:t>
                  </w:r>
                </w:p>
              </w:tc>
              <w:tc>
                <w:tcPr>
                  <w:tcW w:w="1265" w:type="pct"/>
                  <w:vAlign w:val="center"/>
                </w:tcPr>
                <w:p w14:paraId="58619C49">
                  <w:pPr>
                    <w:spacing w:line="276" w:lineRule="auto"/>
                    <w:jc w:val="center"/>
                    <w:rPr>
                      <w:b/>
                      <w:sz w:val="21"/>
                      <w:szCs w:val="21"/>
                    </w:rPr>
                  </w:pPr>
                  <w:r>
                    <w:rPr>
                      <w:sz w:val="21"/>
                      <w:szCs w:val="21"/>
                    </w:rPr>
                    <w:t>本项目不新增燃煤类煤气发生炉</w:t>
                  </w:r>
                </w:p>
              </w:tc>
              <w:tc>
                <w:tcPr>
                  <w:tcW w:w="408" w:type="pct"/>
                  <w:vAlign w:val="center"/>
                </w:tcPr>
                <w:p w14:paraId="12B7C466">
                  <w:pPr>
                    <w:spacing w:line="276" w:lineRule="auto"/>
                    <w:jc w:val="center"/>
                    <w:rPr>
                      <w:b/>
                      <w:sz w:val="21"/>
                      <w:szCs w:val="21"/>
                    </w:rPr>
                  </w:pPr>
                  <w:r>
                    <w:rPr>
                      <w:sz w:val="21"/>
                      <w:szCs w:val="21"/>
                    </w:rPr>
                    <w:t>符合</w:t>
                  </w:r>
                </w:p>
              </w:tc>
            </w:tr>
            <w:tr w14:paraId="09261C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6AFC50E6">
                  <w:pPr>
                    <w:spacing w:line="276" w:lineRule="auto"/>
                    <w:jc w:val="center"/>
                    <w:rPr>
                      <w:b/>
                      <w:sz w:val="21"/>
                      <w:szCs w:val="21"/>
                    </w:rPr>
                  </w:pPr>
                  <w:r>
                    <w:rPr>
                      <w:sz w:val="21"/>
                      <w:szCs w:val="21"/>
                    </w:rPr>
                    <w:t>（九）推动货物运输清洁化</w:t>
                  </w:r>
                </w:p>
              </w:tc>
            </w:tr>
            <w:tr w14:paraId="4EA47D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07B5467D">
                  <w:pPr>
                    <w:widowControl/>
                    <w:adjustRightInd w:val="0"/>
                    <w:snapToGrid w:val="0"/>
                    <w:spacing w:line="276" w:lineRule="auto"/>
                    <w:jc w:val="center"/>
                    <w:rPr>
                      <w:sz w:val="21"/>
                      <w:szCs w:val="21"/>
                    </w:rPr>
                  </w:pPr>
                  <w:r>
                    <w:rPr>
                      <w:sz w:val="21"/>
                      <w:szCs w:val="21"/>
                    </w:rPr>
                    <w:t>27</w:t>
                  </w:r>
                </w:p>
              </w:tc>
              <w:tc>
                <w:tcPr>
                  <w:tcW w:w="783" w:type="pct"/>
                  <w:vAlign w:val="center"/>
                </w:tcPr>
                <w:p w14:paraId="75E7226D">
                  <w:pPr>
                    <w:widowControl/>
                    <w:adjustRightInd w:val="0"/>
                    <w:snapToGrid w:val="0"/>
                    <w:spacing w:line="276" w:lineRule="auto"/>
                    <w:jc w:val="center"/>
                    <w:rPr>
                      <w:sz w:val="21"/>
                      <w:szCs w:val="21"/>
                    </w:rPr>
                  </w:pPr>
                  <w:r>
                    <w:rPr>
                      <w:sz w:val="21"/>
                      <w:szCs w:val="21"/>
                    </w:rPr>
                    <w:t>提高重点行业清洁运输比例</w:t>
                  </w:r>
                </w:p>
              </w:tc>
              <w:tc>
                <w:tcPr>
                  <w:tcW w:w="1144" w:type="pct"/>
                  <w:vAlign w:val="center"/>
                </w:tcPr>
                <w:p w14:paraId="6E573633">
                  <w:pPr>
                    <w:widowControl/>
                    <w:adjustRightInd w:val="0"/>
                    <w:snapToGrid w:val="0"/>
                    <w:spacing w:line="276" w:lineRule="auto"/>
                    <w:jc w:val="center"/>
                    <w:rPr>
                      <w:sz w:val="21"/>
                      <w:szCs w:val="21"/>
                    </w:rPr>
                  </w:pPr>
                  <w:r>
                    <w:rPr>
                      <w:sz w:val="21"/>
                      <w:szCs w:val="21"/>
                    </w:rPr>
                    <w:t>将清洁运输作为煤矿、钢铁、火电、水泥、有色、焦化、煤化工等行业新改扩建项目审核和监管重点</w:t>
                  </w:r>
                </w:p>
              </w:tc>
              <w:tc>
                <w:tcPr>
                  <w:tcW w:w="1084" w:type="pct"/>
                  <w:vAlign w:val="center"/>
                </w:tcPr>
                <w:p w14:paraId="436F4E8D">
                  <w:pPr>
                    <w:widowControl/>
                    <w:adjustRightInd w:val="0"/>
                    <w:snapToGrid w:val="0"/>
                    <w:spacing w:line="276" w:lineRule="auto"/>
                    <w:jc w:val="center"/>
                    <w:rPr>
                      <w:sz w:val="21"/>
                      <w:szCs w:val="21"/>
                    </w:rPr>
                  </w:pPr>
                  <w:r>
                    <w:rPr>
                      <w:sz w:val="21"/>
                      <w:szCs w:val="21"/>
                    </w:rPr>
                    <w:t>煤矿、钢铁、火电、水泥、有色、焦化、煤化工等行业新改扩建项目环评审核中重点关注清洁运输</w:t>
                  </w:r>
                </w:p>
              </w:tc>
              <w:tc>
                <w:tcPr>
                  <w:tcW w:w="1265" w:type="pct"/>
                  <w:vAlign w:val="center"/>
                </w:tcPr>
                <w:p w14:paraId="03E3F7D3">
                  <w:pPr>
                    <w:spacing w:line="276" w:lineRule="auto"/>
                    <w:jc w:val="center"/>
                    <w:rPr>
                      <w:sz w:val="21"/>
                      <w:szCs w:val="21"/>
                    </w:rPr>
                  </w:pPr>
                  <w:r>
                    <w:rPr>
                      <w:sz w:val="21"/>
                      <w:szCs w:val="21"/>
                    </w:rPr>
                    <w:t>本项目不属于煤矿、钢铁、火电、水泥、有色、焦化、煤化工等行业</w:t>
                  </w:r>
                </w:p>
              </w:tc>
              <w:tc>
                <w:tcPr>
                  <w:tcW w:w="408" w:type="pct"/>
                  <w:vAlign w:val="center"/>
                </w:tcPr>
                <w:p w14:paraId="1A4DCA40">
                  <w:pPr>
                    <w:spacing w:line="276" w:lineRule="auto"/>
                    <w:jc w:val="center"/>
                    <w:rPr>
                      <w:b/>
                      <w:sz w:val="21"/>
                      <w:szCs w:val="21"/>
                    </w:rPr>
                  </w:pPr>
                  <w:r>
                    <w:rPr>
                      <w:sz w:val="21"/>
                      <w:szCs w:val="21"/>
                    </w:rPr>
                    <w:t>符合</w:t>
                  </w:r>
                </w:p>
              </w:tc>
            </w:tr>
            <w:tr w14:paraId="6DF5D2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52E5B13F">
                  <w:pPr>
                    <w:spacing w:line="276" w:lineRule="auto"/>
                    <w:jc w:val="center"/>
                    <w:rPr>
                      <w:sz w:val="21"/>
                      <w:szCs w:val="21"/>
                    </w:rPr>
                  </w:pPr>
                  <w:r>
                    <w:rPr>
                      <w:rFonts w:hint="eastAsia"/>
                      <w:sz w:val="21"/>
                      <w:szCs w:val="21"/>
                    </w:rPr>
                    <w:t>（十七）加快低（无）VOCs原辅材料替代</w:t>
                  </w:r>
                </w:p>
              </w:tc>
            </w:tr>
            <w:tr w14:paraId="3009E5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6FF8E6B0">
                  <w:pPr>
                    <w:widowControl/>
                    <w:adjustRightInd w:val="0"/>
                    <w:snapToGrid w:val="0"/>
                    <w:spacing w:line="276" w:lineRule="auto"/>
                    <w:jc w:val="center"/>
                    <w:rPr>
                      <w:sz w:val="21"/>
                      <w:szCs w:val="21"/>
                    </w:rPr>
                  </w:pPr>
                  <w:r>
                    <w:rPr>
                      <w:sz w:val="21"/>
                      <w:szCs w:val="21"/>
                    </w:rPr>
                    <w:t>52</w:t>
                  </w:r>
                </w:p>
              </w:tc>
              <w:tc>
                <w:tcPr>
                  <w:tcW w:w="783" w:type="pct"/>
                  <w:vAlign w:val="center"/>
                </w:tcPr>
                <w:p w14:paraId="38DBC9C3">
                  <w:pPr>
                    <w:widowControl/>
                    <w:adjustRightInd w:val="0"/>
                    <w:snapToGrid w:val="0"/>
                    <w:spacing w:line="276" w:lineRule="auto"/>
                    <w:rPr>
                      <w:sz w:val="21"/>
                      <w:szCs w:val="21"/>
                    </w:rPr>
                  </w:pPr>
                  <w:r>
                    <w:rPr>
                      <w:sz w:val="21"/>
                      <w:szCs w:val="21"/>
                    </w:rPr>
                    <w:t>严格控制生产和使用高VOCs含量建设项目。</w:t>
                  </w:r>
                </w:p>
              </w:tc>
              <w:tc>
                <w:tcPr>
                  <w:tcW w:w="1144" w:type="pct"/>
                  <w:vAlign w:val="center"/>
                </w:tcPr>
                <w:p w14:paraId="7AA865B8">
                  <w:pPr>
                    <w:widowControl/>
                    <w:adjustRightInd w:val="0"/>
                    <w:snapToGrid w:val="0"/>
                    <w:spacing w:line="276" w:lineRule="auto"/>
                    <w:rPr>
                      <w:sz w:val="21"/>
                      <w:szCs w:val="21"/>
                    </w:rPr>
                  </w:pPr>
                  <w:r>
                    <w:rPr>
                      <w:sz w:val="21"/>
                      <w:szCs w:val="21"/>
                    </w:rPr>
                    <w:t>实施安徽省低挥发性有机物原辅材料源头替代工作方案，严格控制生产和使用高VOCs含量涂料、油墨、胶粘剂、清洗剂等建设项目。</w:t>
                  </w:r>
                </w:p>
              </w:tc>
              <w:tc>
                <w:tcPr>
                  <w:tcW w:w="1084" w:type="pct"/>
                  <w:vAlign w:val="center"/>
                </w:tcPr>
                <w:p w14:paraId="0D7883E9">
                  <w:pPr>
                    <w:widowControl/>
                    <w:adjustRightInd w:val="0"/>
                    <w:snapToGrid w:val="0"/>
                    <w:spacing w:line="276" w:lineRule="auto"/>
                    <w:jc w:val="center"/>
                    <w:rPr>
                      <w:sz w:val="21"/>
                      <w:szCs w:val="21"/>
                    </w:rPr>
                  </w:pPr>
                  <w:r>
                    <w:rPr>
                      <w:sz w:val="21"/>
                      <w:szCs w:val="21"/>
                    </w:rPr>
                    <w:t>严格控制审批生产和使用高VOCs含量涂料、油墨、胶粘剂、清洗剂等建设项目环评。</w:t>
                  </w:r>
                </w:p>
              </w:tc>
              <w:tc>
                <w:tcPr>
                  <w:tcW w:w="1265" w:type="pct"/>
                  <w:vMerge w:val="restart"/>
                  <w:vAlign w:val="center"/>
                </w:tcPr>
                <w:p w14:paraId="6D53E563">
                  <w:pPr>
                    <w:spacing w:line="276" w:lineRule="auto"/>
                    <w:jc w:val="center"/>
                    <w:rPr>
                      <w:sz w:val="21"/>
                      <w:szCs w:val="21"/>
                    </w:rPr>
                  </w:pPr>
                  <w:r>
                    <w:rPr>
                      <w:sz w:val="21"/>
                      <w:szCs w:val="21"/>
                    </w:rPr>
                    <w:t>本项目</w:t>
                  </w:r>
                  <w:r>
                    <w:rPr>
                      <w:rFonts w:hint="eastAsia"/>
                      <w:sz w:val="21"/>
                      <w:szCs w:val="21"/>
                    </w:rPr>
                    <w:t>使用的清洗剂和胶粘剂</w:t>
                  </w:r>
                  <w:r>
                    <w:rPr>
                      <w:sz w:val="21"/>
                      <w:szCs w:val="21"/>
                    </w:rPr>
                    <w:t>不属于高VOCs排放</w:t>
                  </w:r>
                  <w:r>
                    <w:rPr>
                      <w:rFonts w:hint="eastAsia"/>
                      <w:sz w:val="21"/>
                      <w:szCs w:val="21"/>
                    </w:rPr>
                    <w:t>的原料；</w:t>
                  </w:r>
                  <w:r>
                    <w:rPr>
                      <w:sz w:val="21"/>
                      <w:szCs w:val="21"/>
                    </w:rPr>
                    <w:t>本项目不涉及生产和使用VOCs含量限值不符合国家标准的原料</w:t>
                  </w:r>
                </w:p>
              </w:tc>
              <w:tc>
                <w:tcPr>
                  <w:tcW w:w="408" w:type="pct"/>
                  <w:vAlign w:val="center"/>
                </w:tcPr>
                <w:p w14:paraId="34743A18">
                  <w:pPr>
                    <w:spacing w:line="276" w:lineRule="auto"/>
                    <w:jc w:val="center"/>
                    <w:rPr>
                      <w:sz w:val="21"/>
                      <w:szCs w:val="21"/>
                    </w:rPr>
                  </w:pPr>
                  <w:r>
                    <w:rPr>
                      <w:sz w:val="21"/>
                      <w:szCs w:val="21"/>
                    </w:rPr>
                    <w:t>符合</w:t>
                  </w:r>
                </w:p>
              </w:tc>
            </w:tr>
            <w:tr w14:paraId="2F301A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316" w:type="pct"/>
                  <w:vAlign w:val="center"/>
                </w:tcPr>
                <w:p w14:paraId="4DEE96A5">
                  <w:pPr>
                    <w:widowControl/>
                    <w:adjustRightInd w:val="0"/>
                    <w:snapToGrid w:val="0"/>
                    <w:spacing w:line="276" w:lineRule="auto"/>
                    <w:jc w:val="center"/>
                    <w:rPr>
                      <w:sz w:val="21"/>
                      <w:szCs w:val="21"/>
                    </w:rPr>
                  </w:pPr>
                  <w:r>
                    <w:rPr>
                      <w:sz w:val="21"/>
                      <w:szCs w:val="21"/>
                    </w:rPr>
                    <w:t>53</w:t>
                  </w:r>
                </w:p>
              </w:tc>
              <w:tc>
                <w:tcPr>
                  <w:tcW w:w="783" w:type="pct"/>
                  <w:vAlign w:val="center"/>
                </w:tcPr>
                <w:p w14:paraId="160D9797">
                  <w:pPr>
                    <w:widowControl/>
                    <w:adjustRightInd w:val="0"/>
                    <w:snapToGrid w:val="0"/>
                    <w:spacing w:line="276" w:lineRule="auto"/>
                    <w:rPr>
                      <w:sz w:val="21"/>
                      <w:szCs w:val="21"/>
                    </w:rPr>
                  </w:pPr>
                  <w:r>
                    <w:rPr>
                      <w:sz w:val="21"/>
                      <w:szCs w:val="21"/>
                    </w:rPr>
                    <w:t>推动低（无）VOCs原辅材料源头替代。</w:t>
                  </w:r>
                </w:p>
              </w:tc>
              <w:tc>
                <w:tcPr>
                  <w:tcW w:w="1144" w:type="pct"/>
                  <w:vAlign w:val="center"/>
                </w:tcPr>
                <w:p w14:paraId="2655E9CD">
                  <w:pPr>
                    <w:widowControl/>
                    <w:adjustRightInd w:val="0"/>
                    <w:snapToGrid w:val="0"/>
                    <w:spacing w:line="276" w:lineRule="auto"/>
                    <w:rPr>
                      <w:sz w:val="21"/>
                      <w:szCs w:val="21"/>
                    </w:rPr>
                  </w:pPr>
                  <w:r>
                    <w:rPr>
                      <w:sz w:val="21"/>
                      <w:szCs w:val="21"/>
                    </w:rPr>
                    <w:t>加大汽车整车制造、汽车修理、木质家具制造、汽车零部件、工程机械、钢结构、船舶制造等工业涂装行业、包装印刷行业及电子行业低（无）VOCs含量原辅材料的替代力度。</w:t>
                  </w:r>
                </w:p>
              </w:tc>
              <w:tc>
                <w:tcPr>
                  <w:tcW w:w="1084" w:type="pct"/>
                  <w:vAlign w:val="center"/>
                </w:tcPr>
                <w:p w14:paraId="01DB5C3A">
                  <w:pPr>
                    <w:widowControl/>
                    <w:adjustRightInd w:val="0"/>
                    <w:snapToGrid w:val="0"/>
                    <w:spacing w:line="276" w:lineRule="auto"/>
                    <w:jc w:val="center"/>
                    <w:rPr>
                      <w:sz w:val="21"/>
                      <w:szCs w:val="21"/>
                    </w:rPr>
                  </w:pPr>
                  <w:r>
                    <w:rPr>
                      <w:sz w:val="21"/>
                      <w:szCs w:val="21"/>
                    </w:rPr>
                    <w:t>汽车整车制造、汽车修理、木质家具制造、汽车零部件、工程机械、钢结构、船舶制造等工业涂装行业、包装印刷行业及电子行业环评审批中要求加大低（无）VOCs含量原辅材料的替代力度。</w:t>
                  </w:r>
                </w:p>
              </w:tc>
              <w:tc>
                <w:tcPr>
                  <w:tcW w:w="1265" w:type="pct"/>
                  <w:vMerge w:val="continue"/>
                  <w:vAlign w:val="center"/>
                </w:tcPr>
                <w:p w14:paraId="25F581B3">
                  <w:pPr>
                    <w:spacing w:line="276" w:lineRule="auto"/>
                    <w:jc w:val="center"/>
                    <w:rPr>
                      <w:sz w:val="21"/>
                      <w:szCs w:val="21"/>
                    </w:rPr>
                  </w:pPr>
                </w:p>
              </w:tc>
              <w:tc>
                <w:tcPr>
                  <w:tcW w:w="408" w:type="pct"/>
                  <w:vAlign w:val="center"/>
                </w:tcPr>
                <w:p w14:paraId="457BC0D3">
                  <w:pPr>
                    <w:spacing w:line="276" w:lineRule="auto"/>
                    <w:jc w:val="center"/>
                    <w:rPr>
                      <w:sz w:val="21"/>
                      <w:szCs w:val="21"/>
                    </w:rPr>
                  </w:pPr>
                  <w:r>
                    <w:rPr>
                      <w:sz w:val="21"/>
                      <w:szCs w:val="21"/>
                    </w:rPr>
                    <w:t>符合</w:t>
                  </w:r>
                </w:p>
              </w:tc>
            </w:tr>
          </w:tbl>
          <w:p w14:paraId="706DF359">
            <w:pPr>
              <w:spacing w:line="348" w:lineRule="auto"/>
              <w:ind w:firstLine="480" w:firstLineChars="200"/>
              <w:rPr>
                <w:b/>
              </w:rPr>
            </w:pPr>
            <w:r>
              <w:t>由上述分析可知，本项目不属于《淮南市涉气建设项目环评审批负面清单》中相关不予审批项目。</w:t>
            </w:r>
          </w:p>
        </w:tc>
      </w:tr>
    </w:tbl>
    <w:p w14:paraId="5A23F5E6">
      <w:pPr>
        <w:spacing w:line="360" w:lineRule="auto"/>
        <w:sectPr>
          <w:pgSz w:w="16838" w:h="11906" w:orient="landscape"/>
          <w:pgMar w:top="1800" w:right="1440" w:bottom="1800" w:left="1440" w:header="851" w:footer="992" w:gutter="0"/>
          <w:cols w:space="425" w:num="1"/>
          <w:docGrid w:type="lines" w:linePitch="326" w:charSpace="0"/>
        </w:sect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65"/>
      </w:tblGrid>
      <w:tr w14:paraId="4D2E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jc w:val="center"/>
        </w:trPr>
        <w:tc>
          <w:tcPr>
            <w:tcW w:w="268" w:type="pct"/>
            <w:vAlign w:val="center"/>
          </w:tcPr>
          <w:p w14:paraId="5DBC1C6F">
            <w:pPr>
              <w:spacing w:line="360" w:lineRule="auto"/>
            </w:pPr>
            <w:r>
              <w:t>其他符合性分析</w:t>
            </w:r>
          </w:p>
        </w:tc>
        <w:tc>
          <w:tcPr>
            <w:tcW w:w="4732" w:type="pct"/>
          </w:tcPr>
          <w:p w14:paraId="1AB57C32">
            <w:pPr>
              <w:spacing w:line="360" w:lineRule="auto"/>
              <w:ind w:firstLine="482" w:firstLineChars="200"/>
              <w:rPr>
                <w:b/>
              </w:rPr>
            </w:pPr>
            <w:r>
              <w:rPr>
                <w:rFonts w:hint="eastAsia"/>
                <w:b/>
              </w:rPr>
              <w:t>12</w:t>
            </w:r>
            <w:r>
              <w:rPr>
                <w:b/>
              </w:rPr>
              <w:t>、</w:t>
            </w:r>
            <w:r>
              <w:rPr>
                <w:rFonts w:ascii="宋体" w:hAnsi="宋体"/>
                <w:b/>
              </w:rPr>
              <w:t>“三线一单”符</w:t>
            </w:r>
            <w:r>
              <w:rPr>
                <w:b/>
              </w:rPr>
              <w:t>合性分析</w:t>
            </w:r>
          </w:p>
          <w:p w14:paraId="4818EBF4">
            <w:pPr>
              <w:spacing w:line="360" w:lineRule="auto"/>
              <w:ind w:firstLine="480" w:firstLineChars="200"/>
            </w:pPr>
            <w:r>
              <w:t>根据原环境保护部《关于以改善环境质量为核心加强环境影响评价管理的通知》（环评〔2016〕150号）、《长江经济带战略环境评价安徽省淮</w:t>
            </w:r>
            <w:r>
              <w:rPr>
                <w:rFonts w:ascii="宋体" w:hAnsi="宋体"/>
              </w:rPr>
              <w:t>南市“三线一单”编制文</w:t>
            </w:r>
            <w:r>
              <w:t>本》要求，项</w:t>
            </w:r>
            <w:r>
              <w:rPr>
                <w:rFonts w:ascii="宋体" w:hAnsi="宋体"/>
              </w:rPr>
              <w:t>目“三线一单”</w:t>
            </w:r>
            <w:r>
              <w:t>符合性分析见下表。</w:t>
            </w:r>
          </w:p>
          <w:p w14:paraId="77806CA4">
            <w:pPr>
              <w:spacing w:line="360" w:lineRule="auto"/>
              <w:jc w:val="center"/>
              <w:rPr>
                <w:rFonts w:eastAsia="黑体"/>
              </w:rPr>
            </w:pPr>
            <w:r>
              <w:rPr>
                <w:rFonts w:eastAsia="黑体"/>
              </w:rPr>
              <w:t>表1-</w:t>
            </w:r>
            <w:r>
              <w:rPr>
                <w:rFonts w:hint="eastAsia" w:eastAsia="黑体"/>
              </w:rPr>
              <w:t>13</w:t>
            </w:r>
            <w:r>
              <w:rPr>
                <w:rFonts w:eastAsia="黑体"/>
              </w:rPr>
              <w:t xml:space="preserve">  项目与</w:t>
            </w:r>
            <w:r>
              <w:rPr>
                <w:rFonts w:ascii="黑体" w:hAnsi="黑体" w:eastAsia="黑体"/>
              </w:rPr>
              <w:t>“三线一单”</w:t>
            </w:r>
            <w:r>
              <w:rPr>
                <w:rFonts w:eastAsia="黑体"/>
              </w:rPr>
              <w:t>符合性分析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4579"/>
            </w:tblGrid>
            <w:tr w14:paraId="1BA42C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83" w:type="pct"/>
                  <w:tcBorders>
                    <w:top w:val="single" w:color="auto" w:sz="12" w:space="0"/>
                    <w:left w:val="nil"/>
                    <w:bottom w:val="single" w:color="auto" w:sz="4" w:space="0"/>
                    <w:right w:val="single" w:color="auto" w:sz="4" w:space="0"/>
                  </w:tcBorders>
                  <w:vAlign w:val="center"/>
                </w:tcPr>
                <w:p w14:paraId="6F432298">
                  <w:pPr>
                    <w:spacing w:line="276" w:lineRule="auto"/>
                    <w:jc w:val="center"/>
                    <w:rPr>
                      <w:b/>
                      <w:sz w:val="21"/>
                      <w:szCs w:val="21"/>
                    </w:rPr>
                  </w:pPr>
                  <w:r>
                    <w:rPr>
                      <w:b/>
                      <w:sz w:val="21"/>
                      <w:szCs w:val="21"/>
                    </w:rPr>
                    <w:t>环环评</w:t>
                  </w:r>
                  <w:r>
                    <w:rPr>
                      <w:rFonts w:hint="eastAsia"/>
                      <w:b/>
                      <w:sz w:val="21"/>
                      <w:szCs w:val="21"/>
                    </w:rPr>
                    <w:t>〔2016〕150号</w:t>
                  </w:r>
                  <w:r>
                    <w:rPr>
                      <w:b/>
                      <w:sz w:val="21"/>
                      <w:szCs w:val="21"/>
                    </w:rPr>
                    <w:t>、淮南市“三线一单”技术成果</w:t>
                  </w:r>
                </w:p>
              </w:tc>
              <w:tc>
                <w:tcPr>
                  <w:tcW w:w="2917" w:type="pct"/>
                  <w:tcBorders>
                    <w:top w:val="single" w:color="auto" w:sz="12" w:space="0"/>
                    <w:left w:val="single" w:color="auto" w:sz="4" w:space="0"/>
                    <w:bottom w:val="single" w:color="auto" w:sz="4" w:space="0"/>
                    <w:right w:val="nil"/>
                  </w:tcBorders>
                  <w:vAlign w:val="center"/>
                </w:tcPr>
                <w:p w14:paraId="3388456B">
                  <w:pPr>
                    <w:spacing w:line="276" w:lineRule="auto"/>
                    <w:jc w:val="center"/>
                    <w:rPr>
                      <w:b/>
                      <w:sz w:val="21"/>
                      <w:szCs w:val="21"/>
                    </w:rPr>
                  </w:pPr>
                  <w:r>
                    <w:rPr>
                      <w:b/>
                      <w:sz w:val="21"/>
                      <w:szCs w:val="21"/>
                    </w:rPr>
                    <w:t>项目符合性分析</w:t>
                  </w:r>
                </w:p>
              </w:tc>
            </w:tr>
            <w:tr w14:paraId="53F9DA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83" w:type="pct"/>
                  <w:tcBorders>
                    <w:top w:val="single" w:color="auto" w:sz="4" w:space="0"/>
                    <w:left w:val="nil"/>
                    <w:bottom w:val="single" w:color="auto" w:sz="4" w:space="0"/>
                    <w:right w:val="single" w:color="auto" w:sz="4" w:space="0"/>
                  </w:tcBorders>
                  <w:vAlign w:val="center"/>
                </w:tcPr>
                <w:p w14:paraId="192CF207">
                  <w:pPr>
                    <w:spacing w:line="276" w:lineRule="auto"/>
                    <w:jc w:val="center"/>
                    <w:rPr>
                      <w:sz w:val="21"/>
                      <w:szCs w:val="21"/>
                    </w:rPr>
                  </w:pPr>
                  <w:r>
                    <w:rPr>
                      <w:sz w:val="21"/>
                      <w:szCs w:val="21"/>
                    </w:rPr>
                    <w:t>生态保护红线是生态空间范围内具有特殊重要生态功能必须实行强制性严格保护的区域。相关规划环评应将生态空间管控作为重要内容，规划区域设计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917" w:type="pct"/>
                  <w:tcBorders>
                    <w:top w:val="single" w:color="auto" w:sz="4" w:space="0"/>
                    <w:left w:val="single" w:color="auto" w:sz="4" w:space="0"/>
                    <w:bottom w:val="single" w:color="auto" w:sz="4" w:space="0"/>
                    <w:right w:val="nil"/>
                  </w:tcBorders>
                  <w:vAlign w:val="center"/>
                </w:tcPr>
                <w:p w14:paraId="37821398">
                  <w:pPr>
                    <w:spacing w:line="276" w:lineRule="auto"/>
                    <w:jc w:val="center"/>
                    <w:rPr>
                      <w:sz w:val="21"/>
                      <w:szCs w:val="21"/>
                    </w:rPr>
                  </w:pPr>
                  <w:r>
                    <w:rPr>
                      <w:sz w:val="21"/>
                      <w:szCs w:val="21"/>
                    </w:rPr>
                    <w:t>本项目</w:t>
                  </w:r>
                  <w:r>
                    <w:rPr>
                      <w:rFonts w:hint="eastAsia"/>
                      <w:sz w:val="21"/>
                      <w:szCs w:val="21"/>
                    </w:rPr>
                    <w:t>位于</w:t>
                  </w:r>
                  <w:r>
                    <w:rPr>
                      <w:sz w:val="21"/>
                      <w:szCs w:val="21"/>
                    </w:rPr>
                    <w:t>安徽省淮南市</w:t>
                  </w:r>
                  <w:r>
                    <w:rPr>
                      <w:rFonts w:hint="eastAsia"/>
                      <w:sz w:val="21"/>
                      <w:szCs w:val="21"/>
                    </w:rPr>
                    <w:t>淮南经济技术开发区</w:t>
                  </w:r>
                  <w:r>
                    <w:rPr>
                      <w:sz w:val="21"/>
                      <w:szCs w:val="21"/>
                    </w:rPr>
                    <w:t>，根据淮南市生态保护红线图，本项目不在生态保护红线范围内，且不在当地饮用水源、风景名胜区、自然保护区等生态保护区内，项目的建设不涉及生态保护红线，详见附图4</w:t>
                  </w:r>
                  <w:r>
                    <w:rPr>
                      <w:rFonts w:hint="eastAsia"/>
                      <w:sz w:val="21"/>
                      <w:szCs w:val="21"/>
                    </w:rPr>
                    <w:t>。</w:t>
                  </w:r>
                </w:p>
              </w:tc>
            </w:tr>
            <w:tr w14:paraId="00733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83" w:type="pct"/>
                  <w:tcBorders>
                    <w:top w:val="single" w:color="auto" w:sz="4" w:space="0"/>
                    <w:left w:val="nil"/>
                    <w:bottom w:val="single" w:color="auto" w:sz="4" w:space="0"/>
                    <w:right w:val="single" w:color="auto" w:sz="4" w:space="0"/>
                  </w:tcBorders>
                  <w:vAlign w:val="center"/>
                </w:tcPr>
                <w:p w14:paraId="65C38E93">
                  <w:pPr>
                    <w:spacing w:line="276" w:lineRule="auto"/>
                    <w:jc w:val="center"/>
                    <w:rPr>
                      <w:sz w:val="21"/>
                      <w:szCs w:val="21"/>
                    </w:rPr>
                  </w:pPr>
                  <w:r>
                    <w:rPr>
                      <w:sz w:val="21"/>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917" w:type="pct"/>
                  <w:tcBorders>
                    <w:top w:val="single" w:color="auto" w:sz="4" w:space="0"/>
                    <w:left w:val="single" w:color="auto" w:sz="4" w:space="0"/>
                    <w:bottom w:val="single" w:color="auto" w:sz="4" w:space="0"/>
                    <w:right w:val="nil"/>
                  </w:tcBorders>
                  <w:vAlign w:val="center"/>
                </w:tcPr>
                <w:p w14:paraId="26A80655">
                  <w:pPr>
                    <w:spacing w:line="276" w:lineRule="auto"/>
                    <w:jc w:val="center"/>
                    <w:rPr>
                      <w:sz w:val="21"/>
                      <w:szCs w:val="21"/>
                    </w:rPr>
                  </w:pPr>
                  <w:r>
                    <w:rPr>
                      <w:sz w:val="21"/>
                      <w:szCs w:val="21"/>
                    </w:rPr>
                    <w:t>根据淮南市人民政府网站公布的《2024年淮南市生态环境质量状况公报》，并结合《环境空气质量标准》（GB3095-2012）及其修改清单中的二级标准可知，2024年淮南市环境空气中PM</w:t>
                  </w:r>
                  <w:r>
                    <w:rPr>
                      <w:sz w:val="21"/>
                      <w:szCs w:val="21"/>
                      <w:vertAlign w:val="subscript"/>
                    </w:rPr>
                    <w:t>2.5</w:t>
                  </w:r>
                  <w:r>
                    <w:rPr>
                      <w:sz w:val="21"/>
                      <w:szCs w:val="21"/>
                    </w:rPr>
                    <w:t>年平均浓度超过环境空气质量二级标准，经判定，项目所在区为环境空气质量不达标区域，超标因子为PM</w:t>
                  </w:r>
                  <w:r>
                    <w:rPr>
                      <w:sz w:val="21"/>
                      <w:szCs w:val="21"/>
                      <w:vertAlign w:val="subscript"/>
                    </w:rPr>
                    <w:t>2.5</w:t>
                  </w:r>
                  <w:r>
                    <w:rPr>
                      <w:sz w:val="21"/>
                      <w:szCs w:val="21"/>
                    </w:rPr>
                    <w:t>。淮南市生态环境局就空气质量不达标提出一系列举措，为确保淮南市大气污染防治工作有效推进，目前，淮南市已制订</w:t>
                  </w:r>
                  <w:r>
                    <w:rPr>
                      <w:rFonts w:ascii="宋体" w:hAnsi="宋体"/>
                      <w:sz w:val="21"/>
                      <w:szCs w:val="21"/>
                    </w:rPr>
                    <w:t>《淮南市“十四五”大气污</w:t>
                  </w:r>
                  <w:r>
                    <w:rPr>
                      <w:sz w:val="21"/>
                      <w:szCs w:val="21"/>
                    </w:rPr>
                    <w:t>染防治规划（2021-2025年）》，围绕工业大气污染治理、扬（烟）尘污染防治等开展专项治理活动，进一步削减大气污染物排放。本项目运营期废水、废气、固废均合理处置，不会降低当地的环境质量。因此，项目的建设符合环境质量底线要求</w:t>
                  </w:r>
                </w:p>
              </w:tc>
            </w:tr>
            <w:tr w14:paraId="358BD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3" w:type="pct"/>
                  <w:tcBorders>
                    <w:top w:val="single" w:color="auto" w:sz="4" w:space="0"/>
                    <w:left w:val="nil"/>
                    <w:bottom w:val="single" w:color="auto" w:sz="4" w:space="0"/>
                    <w:right w:val="single" w:color="auto" w:sz="4" w:space="0"/>
                  </w:tcBorders>
                  <w:vAlign w:val="center"/>
                </w:tcPr>
                <w:p w14:paraId="2791391F">
                  <w:pPr>
                    <w:spacing w:line="276" w:lineRule="auto"/>
                    <w:jc w:val="center"/>
                    <w:rPr>
                      <w:sz w:val="21"/>
                      <w:szCs w:val="21"/>
                    </w:rPr>
                  </w:pPr>
                  <w:r>
                    <w:rPr>
                      <w:sz w:val="21"/>
                      <w:szCs w:val="21"/>
                    </w:rPr>
                    <w:t>资源是环境的载体，资源利用上线是各地</w:t>
                  </w:r>
                  <w:r>
                    <w:rPr>
                      <w:rFonts w:hint="eastAsia" w:ascii="宋体" w:hAnsi="宋体" w:cs="宋体"/>
                      <w:sz w:val="21"/>
                      <w:szCs w:val="21"/>
                    </w:rPr>
                    <w:t>区能源、水、土地等资源消耗不得突破的“天花板”。相关</w:t>
                  </w:r>
                  <w:r>
                    <w:rPr>
                      <w:sz w:val="21"/>
                      <w:szCs w:val="21"/>
                    </w:rPr>
                    <w:t>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917" w:type="pct"/>
                  <w:tcBorders>
                    <w:top w:val="single" w:color="auto" w:sz="4" w:space="0"/>
                    <w:left w:val="single" w:color="auto" w:sz="4" w:space="0"/>
                    <w:bottom w:val="single" w:color="auto" w:sz="4" w:space="0"/>
                    <w:right w:val="nil"/>
                  </w:tcBorders>
                  <w:vAlign w:val="center"/>
                </w:tcPr>
                <w:p w14:paraId="313CBADE">
                  <w:pPr>
                    <w:spacing w:line="276" w:lineRule="auto"/>
                    <w:jc w:val="center"/>
                    <w:rPr>
                      <w:sz w:val="21"/>
                      <w:szCs w:val="21"/>
                    </w:rPr>
                  </w:pPr>
                  <w:r>
                    <w:rPr>
                      <w:sz w:val="21"/>
                      <w:szCs w:val="21"/>
                    </w:rPr>
                    <w:t>项目采用清洁能源电能，项目用水来自市政给水管网，用电由市政供电系统供给，工艺设备选用了高效、先进的设备，提高了生产效率，物耗及能耗水平较低。项目用地符合规划要求。因此，项目能耗物耗、用地均不会突破资源利用上线</w:t>
                  </w:r>
                </w:p>
              </w:tc>
            </w:tr>
            <w:tr w14:paraId="1F648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83" w:type="pct"/>
                  <w:tcBorders>
                    <w:top w:val="single" w:color="auto" w:sz="4" w:space="0"/>
                    <w:left w:val="nil"/>
                    <w:bottom w:val="single" w:color="auto" w:sz="12" w:space="0"/>
                    <w:right w:val="single" w:color="auto" w:sz="4" w:space="0"/>
                  </w:tcBorders>
                  <w:vAlign w:val="center"/>
                </w:tcPr>
                <w:p w14:paraId="3FDA7AD0">
                  <w:pPr>
                    <w:spacing w:line="276" w:lineRule="auto"/>
                    <w:jc w:val="center"/>
                    <w:rPr>
                      <w:sz w:val="21"/>
                      <w:szCs w:val="21"/>
                    </w:rPr>
                  </w:pPr>
                  <w:r>
                    <w:rPr>
                      <w:sz w:val="21"/>
                      <w:szCs w:val="21"/>
                    </w:rPr>
                    <w:t>环境准入负面清单是基于生态保护红线、环境质量底线、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2917" w:type="pct"/>
                  <w:tcBorders>
                    <w:top w:val="single" w:color="auto" w:sz="4" w:space="0"/>
                    <w:left w:val="single" w:color="auto" w:sz="4" w:space="0"/>
                    <w:bottom w:val="single" w:color="auto" w:sz="12" w:space="0"/>
                    <w:right w:val="nil"/>
                  </w:tcBorders>
                  <w:vAlign w:val="center"/>
                </w:tcPr>
                <w:p w14:paraId="2A5FCB31">
                  <w:pPr>
                    <w:spacing w:line="276" w:lineRule="auto"/>
                    <w:jc w:val="center"/>
                    <w:rPr>
                      <w:sz w:val="21"/>
                      <w:szCs w:val="21"/>
                    </w:rPr>
                  </w:pPr>
                  <w:r>
                    <w:rPr>
                      <w:sz w:val="21"/>
                      <w:szCs w:val="21"/>
                    </w:rPr>
                    <w:t>对照《产业结构调整指导目录（2024年本）》，</w:t>
                  </w:r>
                  <w:r>
                    <w:rPr>
                      <w:rFonts w:hint="eastAsia"/>
                      <w:sz w:val="21"/>
                      <w:szCs w:val="21"/>
                    </w:rPr>
                    <w:t>本项目不属于其中的鼓励类、限制类或淘汰类，视为允许建设项目，符合国家产业政策要求</w:t>
                  </w:r>
                  <w:r>
                    <w:rPr>
                      <w:rFonts w:hint="eastAsia"/>
                      <w:sz w:val="21"/>
                      <w:szCs w:val="21"/>
                      <w:lang w:eastAsia="zh-CN"/>
                    </w:rPr>
                    <w:t>。</w:t>
                  </w:r>
                  <w:r>
                    <w:rPr>
                      <w:sz w:val="21"/>
                      <w:szCs w:val="21"/>
                    </w:rPr>
                    <w:t>同时，项目取得了</w:t>
                  </w:r>
                  <w:r>
                    <w:rPr>
                      <w:rFonts w:hint="eastAsia"/>
                      <w:sz w:val="21"/>
                      <w:szCs w:val="21"/>
                    </w:rPr>
                    <w:t>淮南经开区经济发展局</w:t>
                  </w:r>
                  <w:r>
                    <w:rPr>
                      <w:sz w:val="21"/>
                      <w:szCs w:val="21"/>
                    </w:rPr>
                    <w:t>备案（项目代码为</w:t>
                  </w:r>
                  <w:r>
                    <w:rPr>
                      <w:rFonts w:hint="eastAsia"/>
                      <w:sz w:val="21"/>
                      <w:szCs w:val="21"/>
                    </w:rPr>
                    <w:t>2510-340461-04-01-898280</w:t>
                  </w:r>
                  <w:r>
                    <w:rPr>
                      <w:sz w:val="21"/>
                      <w:szCs w:val="21"/>
                    </w:rPr>
                    <w:t>）</w:t>
                  </w:r>
                </w:p>
              </w:tc>
            </w:tr>
          </w:tbl>
          <w:p w14:paraId="132A800C">
            <w:pPr>
              <w:spacing w:line="360" w:lineRule="auto"/>
              <w:ind w:firstLine="482" w:firstLineChars="200"/>
              <w:rPr>
                <w:b/>
              </w:rPr>
            </w:pPr>
            <w:r>
              <w:rPr>
                <w:b/>
              </w:rPr>
              <w:t>1</w:t>
            </w:r>
            <w:r>
              <w:rPr>
                <w:rFonts w:hint="eastAsia"/>
                <w:b/>
              </w:rPr>
              <w:t>3</w:t>
            </w:r>
            <w:r>
              <w:rPr>
                <w:b/>
              </w:rPr>
              <w:t>、与安徽省</w:t>
            </w:r>
            <w:r>
              <w:rPr>
                <w:rFonts w:ascii="宋体" w:hAnsi="宋体"/>
                <w:b/>
              </w:rPr>
              <w:t>“三线一单”管</w:t>
            </w:r>
            <w:r>
              <w:rPr>
                <w:b/>
              </w:rPr>
              <w:t>控单元符合性分析</w:t>
            </w:r>
          </w:p>
          <w:p w14:paraId="39CCA7D9">
            <w:pPr>
              <w:spacing w:line="360" w:lineRule="auto"/>
              <w:ind w:firstLine="480" w:firstLineChars="200"/>
              <w:jc w:val="left"/>
              <w:rPr>
                <w:rFonts w:hAnsi="宋体"/>
              </w:rPr>
            </w:pPr>
            <w:r>
              <w:rPr>
                <w:bCs/>
              </w:rPr>
              <w:t>查阅《安徽</w:t>
            </w:r>
            <w:r>
              <w:rPr>
                <w:rFonts w:ascii="宋体" w:hAnsi="宋体"/>
                <w:bCs/>
              </w:rPr>
              <w:t>省“三线一单”公</w:t>
            </w:r>
            <w:r>
              <w:rPr>
                <w:bCs/>
              </w:rPr>
              <w:t>众服务平台》，项目</w:t>
            </w:r>
            <w:r>
              <w:rPr>
                <w:rFonts w:ascii="宋体" w:hAnsi="宋体"/>
                <w:bCs/>
              </w:rPr>
              <w:t>所在区域属“重点管控单元”</w:t>
            </w:r>
            <w:r>
              <w:rPr>
                <w:bCs/>
              </w:rPr>
              <w:t>（单元编码ZH3404</w:t>
            </w:r>
            <w:r>
              <w:rPr>
                <w:rFonts w:hint="eastAsia"/>
                <w:bCs/>
              </w:rPr>
              <w:t>022</w:t>
            </w:r>
            <w:r>
              <w:rPr>
                <w:bCs/>
              </w:rPr>
              <w:t>00</w:t>
            </w:r>
            <w:r>
              <w:rPr>
                <w:rFonts w:hint="eastAsia"/>
                <w:bCs/>
              </w:rPr>
              <w:t>06</w:t>
            </w:r>
            <w:r>
              <w:rPr>
                <w:bCs/>
              </w:rPr>
              <w:t>）（与安徽省</w:t>
            </w:r>
            <w:r>
              <w:rPr>
                <w:rFonts w:ascii="宋体" w:hAnsi="宋体"/>
                <w:bCs/>
              </w:rPr>
              <w:t>“三线一单”</w:t>
            </w:r>
            <w:r>
              <w:rPr>
                <w:bCs/>
              </w:rPr>
              <w:t>管控单元位置关系图见附图6），本项目对有关的淮南市管控单元生态环境准入清单进行分析，详见下表。</w:t>
            </w:r>
          </w:p>
          <w:p w14:paraId="6BAA3997">
            <w:pPr>
              <w:spacing w:line="360" w:lineRule="auto"/>
              <w:ind w:firstLine="482" w:firstLineChars="200"/>
              <w:rPr>
                <w:b/>
              </w:rPr>
            </w:pPr>
          </w:p>
          <w:p w14:paraId="4AB39C7C">
            <w:pPr>
              <w:spacing w:line="360" w:lineRule="auto"/>
              <w:ind w:firstLine="482" w:firstLineChars="200"/>
              <w:rPr>
                <w:b/>
              </w:rPr>
            </w:pPr>
          </w:p>
          <w:p w14:paraId="02AEE8E6">
            <w:pPr>
              <w:spacing w:line="360" w:lineRule="auto"/>
              <w:ind w:firstLine="482" w:firstLineChars="200"/>
              <w:rPr>
                <w:b/>
              </w:rPr>
            </w:pPr>
          </w:p>
          <w:p w14:paraId="56BDFD4D">
            <w:pPr>
              <w:spacing w:line="360" w:lineRule="auto"/>
              <w:ind w:firstLine="482" w:firstLineChars="200"/>
              <w:rPr>
                <w:b/>
              </w:rPr>
            </w:pPr>
          </w:p>
          <w:p w14:paraId="653C8215">
            <w:pPr>
              <w:spacing w:line="360" w:lineRule="auto"/>
              <w:ind w:firstLine="482" w:firstLineChars="200"/>
              <w:rPr>
                <w:b/>
              </w:rPr>
            </w:pPr>
          </w:p>
          <w:p w14:paraId="0E076D85">
            <w:pPr>
              <w:spacing w:line="360" w:lineRule="auto"/>
              <w:rPr>
                <w:spacing w:val="-2"/>
              </w:rPr>
            </w:pPr>
          </w:p>
        </w:tc>
      </w:tr>
    </w:tbl>
    <w:p w14:paraId="0EF824B9">
      <w:pPr>
        <w:spacing w:line="360" w:lineRule="auto"/>
        <w:sectPr>
          <w:type w:val="continuous"/>
          <w:pgSz w:w="11906" w:h="16838"/>
          <w:pgMar w:top="1440" w:right="1800" w:bottom="1440" w:left="1800" w:header="851" w:footer="992" w:gutter="0"/>
          <w:cols w:space="425" w:num="1"/>
          <w:docGrid w:type="lines" w:linePitch="326" w:charSpace="0"/>
        </w:sectPr>
      </w:pPr>
    </w:p>
    <w:tbl>
      <w:tblPr>
        <w:tblStyle w:val="16"/>
        <w:tblW w:w="4894"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3253"/>
      </w:tblGrid>
      <w:tr w14:paraId="55F9E81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64" w:hRule="atLeast"/>
          <w:jc w:val="center"/>
        </w:trPr>
        <w:tc>
          <w:tcPr>
            <w:tcW w:w="224" w:type="pct"/>
            <w:vAlign w:val="center"/>
          </w:tcPr>
          <w:p w14:paraId="117AA845">
            <w:pPr>
              <w:autoSpaceDE w:val="0"/>
              <w:autoSpaceDN w:val="0"/>
              <w:spacing w:line="360" w:lineRule="auto"/>
              <w:jc w:val="center"/>
            </w:pPr>
          </w:p>
        </w:tc>
        <w:tc>
          <w:tcPr>
            <w:tcW w:w="4775" w:type="pct"/>
          </w:tcPr>
          <w:p w14:paraId="0323B6F5">
            <w:pPr>
              <w:adjustRightInd w:val="0"/>
              <w:spacing w:line="324" w:lineRule="auto"/>
              <w:jc w:val="center"/>
              <w:rPr>
                <w:rFonts w:eastAsia="黑体"/>
                <w:bCs/>
              </w:rPr>
            </w:pPr>
            <w:r>
              <w:rPr>
                <w:rFonts w:eastAsia="黑体"/>
                <w:bCs/>
              </w:rPr>
              <w:t>表1-</w:t>
            </w:r>
            <w:r>
              <w:rPr>
                <w:rFonts w:hint="eastAsia" w:eastAsia="黑体"/>
                <w:bCs/>
              </w:rPr>
              <w:t>14</w:t>
            </w:r>
            <w:r>
              <w:rPr>
                <w:rFonts w:eastAsia="黑体"/>
                <w:bCs/>
              </w:rPr>
              <w:t xml:space="preserve">  本项目与生态管控单元的符合性分析</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343"/>
              <w:gridCol w:w="952"/>
              <w:gridCol w:w="793"/>
              <w:gridCol w:w="5865"/>
              <w:gridCol w:w="3012"/>
              <w:gridCol w:w="1072"/>
            </w:tblGrid>
            <w:tr w14:paraId="6428ED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pct"/>
                  <w:tcBorders>
                    <w:top w:val="single" w:color="000000" w:sz="12" w:space="0"/>
                    <w:left w:val="nil"/>
                    <w:bottom w:val="single" w:color="000000" w:sz="4" w:space="0"/>
                    <w:right w:val="single" w:color="000000" w:sz="4" w:space="0"/>
                  </w:tcBorders>
                  <w:vAlign w:val="center"/>
                </w:tcPr>
                <w:p w14:paraId="081FAD09">
                  <w:pPr>
                    <w:autoSpaceDE w:val="0"/>
                    <w:autoSpaceDN w:val="0"/>
                    <w:spacing w:line="276" w:lineRule="auto"/>
                    <w:jc w:val="center"/>
                    <w:rPr>
                      <w:b/>
                      <w:sz w:val="21"/>
                      <w:szCs w:val="21"/>
                    </w:rPr>
                  </w:pPr>
                  <w:r>
                    <w:rPr>
                      <w:b/>
                      <w:sz w:val="21"/>
                      <w:szCs w:val="21"/>
                    </w:rPr>
                    <w:t>环境管控单元分类</w:t>
                  </w:r>
                </w:p>
              </w:tc>
              <w:tc>
                <w:tcPr>
                  <w:tcW w:w="365" w:type="pct"/>
                  <w:tcBorders>
                    <w:top w:val="single" w:color="000000" w:sz="12" w:space="0"/>
                    <w:left w:val="single" w:color="000000" w:sz="4" w:space="0"/>
                    <w:bottom w:val="single" w:color="000000" w:sz="4" w:space="0"/>
                    <w:right w:val="single" w:color="000000" w:sz="4" w:space="0"/>
                  </w:tcBorders>
                  <w:vAlign w:val="center"/>
                </w:tcPr>
                <w:p w14:paraId="4D274574">
                  <w:pPr>
                    <w:autoSpaceDE w:val="0"/>
                    <w:autoSpaceDN w:val="0"/>
                    <w:spacing w:line="276" w:lineRule="auto"/>
                    <w:jc w:val="center"/>
                    <w:rPr>
                      <w:b/>
                      <w:sz w:val="21"/>
                      <w:szCs w:val="21"/>
                    </w:rPr>
                  </w:pPr>
                  <w:r>
                    <w:rPr>
                      <w:b/>
                      <w:sz w:val="21"/>
                      <w:szCs w:val="21"/>
                    </w:rPr>
                    <w:t>区域管控要求</w:t>
                  </w:r>
                </w:p>
              </w:tc>
              <w:tc>
                <w:tcPr>
                  <w:tcW w:w="304" w:type="pct"/>
                  <w:tcBorders>
                    <w:top w:val="single" w:color="000000" w:sz="12" w:space="0"/>
                    <w:left w:val="single" w:color="000000" w:sz="4" w:space="0"/>
                    <w:bottom w:val="single" w:color="000000" w:sz="4" w:space="0"/>
                    <w:right w:val="single" w:color="000000" w:sz="4" w:space="0"/>
                  </w:tcBorders>
                  <w:vAlign w:val="center"/>
                </w:tcPr>
                <w:p w14:paraId="11719DD3">
                  <w:pPr>
                    <w:spacing w:line="276" w:lineRule="auto"/>
                    <w:jc w:val="center"/>
                    <w:rPr>
                      <w:b/>
                      <w:sz w:val="21"/>
                      <w:szCs w:val="21"/>
                    </w:rPr>
                  </w:pPr>
                  <w:r>
                    <w:rPr>
                      <w:b/>
                      <w:sz w:val="21"/>
                      <w:szCs w:val="21"/>
                    </w:rPr>
                    <w:t>管控类别</w:t>
                  </w:r>
                </w:p>
              </w:tc>
              <w:tc>
                <w:tcPr>
                  <w:tcW w:w="2249" w:type="pct"/>
                  <w:tcBorders>
                    <w:top w:val="single" w:color="000000" w:sz="12" w:space="0"/>
                    <w:left w:val="single" w:color="000000" w:sz="4" w:space="0"/>
                    <w:bottom w:val="single" w:color="000000" w:sz="4" w:space="0"/>
                    <w:right w:val="single" w:color="000000" w:sz="4" w:space="0"/>
                  </w:tcBorders>
                  <w:vAlign w:val="center"/>
                </w:tcPr>
                <w:p w14:paraId="0310FAA6">
                  <w:pPr>
                    <w:autoSpaceDE w:val="0"/>
                    <w:autoSpaceDN w:val="0"/>
                    <w:spacing w:line="276" w:lineRule="auto"/>
                    <w:jc w:val="center"/>
                    <w:rPr>
                      <w:b/>
                      <w:sz w:val="21"/>
                      <w:szCs w:val="21"/>
                    </w:rPr>
                  </w:pPr>
                  <w:r>
                    <w:rPr>
                      <w:b/>
                      <w:sz w:val="21"/>
                      <w:szCs w:val="21"/>
                    </w:rPr>
                    <w:t>管控要求</w:t>
                  </w:r>
                </w:p>
              </w:tc>
              <w:tc>
                <w:tcPr>
                  <w:tcW w:w="1155" w:type="pct"/>
                  <w:tcBorders>
                    <w:top w:val="single" w:color="000000" w:sz="12" w:space="0"/>
                    <w:left w:val="single" w:color="000000" w:sz="4" w:space="0"/>
                    <w:bottom w:val="single" w:color="000000" w:sz="4" w:space="0"/>
                    <w:right w:val="single" w:color="000000" w:sz="4" w:space="0"/>
                  </w:tcBorders>
                  <w:vAlign w:val="center"/>
                </w:tcPr>
                <w:p w14:paraId="2FF47CFF">
                  <w:pPr>
                    <w:autoSpaceDE w:val="0"/>
                    <w:autoSpaceDN w:val="0"/>
                    <w:spacing w:line="276" w:lineRule="auto"/>
                    <w:jc w:val="center"/>
                    <w:rPr>
                      <w:b/>
                      <w:sz w:val="21"/>
                      <w:szCs w:val="21"/>
                    </w:rPr>
                  </w:pPr>
                  <w:r>
                    <w:rPr>
                      <w:b/>
                      <w:sz w:val="21"/>
                      <w:szCs w:val="21"/>
                    </w:rPr>
                    <w:t>协调性分析</w:t>
                  </w:r>
                </w:p>
              </w:tc>
              <w:tc>
                <w:tcPr>
                  <w:tcW w:w="411" w:type="pct"/>
                  <w:tcBorders>
                    <w:top w:val="single" w:color="000000" w:sz="12" w:space="0"/>
                    <w:left w:val="single" w:color="000000" w:sz="4" w:space="0"/>
                    <w:bottom w:val="single" w:color="000000" w:sz="4" w:space="0"/>
                    <w:right w:val="nil"/>
                  </w:tcBorders>
                  <w:vAlign w:val="center"/>
                </w:tcPr>
                <w:p w14:paraId="660A3099">
                  <w:pPr>
                    <w:autoSpaceDE w:val="0"/>
                    <w:autoSpaceDN w:val="0"/>
                    <w:spacing w:line="276" w:lineRule="auto"/>
                    <w:jc w:val="center"/>
                    <w:rPr>
                      <w:b/>
                      <w:sz w:val="21"/>
                      <w:szCs w:val="21"/>
                    </w:rPr>
                  </w:pPr>
                  <w:r>
                    <w:rPr>
                      <w:b/>
                      <w:sz w:val="21"/>
                      <w:szCs w:val="21"/>
                    </w:rPr>
                    <w:t>符合性分析</w:t>
                  </w:r>
                </w:p>
              </w:tc>
            </w:tr>
            <w:tr w14:paraId="5C8DEC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pct"/>
                  <w:vMerge w:val="restart"/>
                  <w:tcBorders>
                    <w:top w:val="single" w:color="000000" w:sz="4" w:space="0"/>
                    <w:left w:val="nil"/>
                    <w:bottom w:val="single" w:color="000000" w:sz="4" w:space="0"/>
                    <w:right w:val="single" w:color="000000" w:sz="4" w:space="0"/>
                  </w:tcBorders>
                  <w:vAlign w:val="center"/>
                </w:tcPr>
                <w:p w14:paraId="76DA164E">
                  <w:pPr>
                    <w:autoSpaceDE w:val="0"/>
                    <w:autoSpaceDN w:val="0"/>
                    <w:spacing w:line="276" w:lineRule="auto"/>
                    <w:jc w:val="center"/>
                    <w:rPr>
                      <w:sz w:val="21"/>
                      <w:szCs w:val="21"/>
                    </w:rPr>
                  </w:pPr>
                  <w:r>
                    <w:rPr>
                      <w:sz w:val="21"/>
                      <w:szCs w:val="21"/>
                    </w:rPr>
                    <w:t>重点管控单元</w:t>
                  </w:r>
                </w:p>
              </w:tc>
              <w:tc>
                <w:tcPr>
                  <w:tcW w:w="365" w:type="pct"/>
                  <w:vMerge w:val="restart"/>
                  <w:tcBorders>
                    <w:top w:val="single" w:color="000000" w:sz="4" w:space="0"/>
                    <w:left w:val="single" w:color="000000" w:sz="4" w:space="0"/>
                    <w:bottom w:val="single" w:color="000000" w:sz="4" w:space="0"/>
                    <w:right w:val="single" w:color="000000" w:sz="4" w:space="0"/>
                  </w:tcBorders>
                  <w:vAlign w:val="center"/>
                </w:tcPr>
                <w:p w14:paraId="7F63F2AF">
                  <w:pPr>
                    <w:autoSpaceDE w:val="0"/>
                    <w:autoSpaceDN w:val="0"/>
                    <w:spacing w:line="276" w:lineRule="auto"/>
                    <w:jc w:val="center"/>
                    <w:rPr>
                      <w:sz w:val="21"/>
                      <w:szCs w:val="21"/>
                    </w:rPr>
                  </w:pPr>
                  <w:r>
                    <w:rPr>
                      <w:sz w:val="21"/>
                      <w:szCs w:val="21"/>
                    </w:rPr>
                    <w:t>无</w:t>
                  </w:r>
                </w:p>
              </w:tc>
              <w:tc>
                <w:tcPr>
                  <w:tcW w:w="304" w:type="pct"/>
                  <w:tcBorders>
                    <w:top w:val="single" w:color="000000" w:sz="4" w:space="0"/>
                    <w:left w:val="single" w:color="000000" w:sz="4" w:space="0"/>
                    <w:bottom w:val="single" w:color="auto" w:sz="4" w:space="0"/>
                    <w:right w:val="single" w:color="000000" w:sz="4" w:space="0"/>
                  </w:tcBorders>
                  <w:vAlign w:val="center"/>
                </w:tcPr>
                <w:p w14:paraId="108DEF9A">
                  <w:pPr>
                    <w:autoSpaceDE w:val="0"/>
                    <w:autoSpaceDN w:val="0"/>
                    <w:spacing w:line="276" w:lineRule="auto"/>
                    <w:jc w:val="center"/>
                    <w:rPr>
                      <w:sz w:val="21"/>
                      <w:szCs w:val="21"/>
                    </w:rPr>
                  </w:pPr>
                  <w:r>
                    <w:rPr>
                      <w:sz w:val="21"/>
                      <w:szCs w:val="21"/>
                    </w:rPr>
                    <w:t>空间布局约束</w:t>
                  </w:r>
                </w:p>
              </w:tc>
              <w:tc>
                <w:tcPr>
                  <w:tcW w:w="2249" w:type="pct"/>
                  <w:tcBorders>
                    <w:top w:val="single" w:color="000000" w:sz="4" w:space="0"/>
                    <w:left w:val="single" w:color="000000" w:sz="4" w:space="0"/>
                    <w:bottom w:val="single" w:color="000000" w:sz="4" w:space="0"/>
                    <w:right w:val="single" w:color="000000" w:sz="4" w:space="0"/>
                  </w:tcBorders>
                  <w:vAlign w:val="center"/>
                </w:tcPr>
                <w:p w14:paraId="0DA12C2F">
                  <w:pPr>
                    <w:autoSpaceDE w:val="0"/>
                    <w:autoSpaceDN w:val="0"/>
                    <w:spacing w:line="276" w:lineRule="auto"/>
                    <w:jc w:val="center"/>
                    <w:rPr>
                      <w:sz w:val="21"/>
                      <w:szCs w:val="21"/>
                    </w:rPr>
                  </w:pPr>
                  <w:r>
                    <w:rPr>
                      <w:sz w:val="21"/>
                      <w:szCs w:val="21"/>
                    </w:rPr>
                    <w:t>1.在城市城区及其近郊禁止新建、扩建钢铁、有色、石化、水泥、化工等重污染企业。2.禁止新建燃料类煤气发生炉（园区现有企业统一建设的清洁煤制气中心除外）。3.严禁新增钢铁、焦化、电解铝、铸造、水泥和平板玻璃等产能；严格执行钢铁、水泥、平板玻璃等行业产能置换实施办法。4.严格执行国家关</w:t>
                  </w:r>
                  <w:r>
                    <w:rPr>
                      <w:rFonts w:ascii="宋体" w:hAnsi="宋体"/>
                      <w:sz w:val="21"/>
                      <w:szCs w:val="21"/>
                    </w:rPr>
                    <w:t>于“两高”产</w:t>
                  </w:r>
                  <w:r>
                    <w:rPr>
                      <w:sz w:val="21"/>
                      <w:szCs w:val="21"/>
                    </w:rPr>
                    <w:t>业准入目录和产能总量控制政策措施。严禁新增钢铁、焦化、电解铝、铸造、水泥和平板玻璃等产能；新、改、扩建涉及大宗物料运输的建设项目，原则上不得采用公路运输。5.非电行业新建项目，禁止配套建设自备纯凝、抽凝燃煤电站。6.在城市建成区及居民区、医院、学校等环境敏感区域，严禁现场露天灰土拌合。7.严格控制新</w:t>
                  </w:r>
                  <w:r>
                    <w:rPr>
                      <w:rFonts w:hint="eastAsia" w:ascii="宋体" w:hAnsi="宋体" w:cs="宋体"/>
                      <w:sz w:val="21"/>
                      <w:szCs w:val="21"/>
                    </w:rPr>
                    <w:t>增“两高”项目审</w:t>
                  </w:r>
                  <w:r>
                    <w:rPr>
                      <w:sz w:val="21"/>
                      <w:szCs w:val="21"/>
                    </w:rPr>
                    <w:t>批，认真分析评估拟建项目必要性、可行性和对产业高质量发展、能耗双控、碳排放和环境质量的影响，严格审查项目是否符合产业政策、产业规划、</w:t>
                  </w:r>
                  <w:r>
                    <w:rPr>
                      <w:rFonts w:ascii="宋体" w:hAnsi="宋体"/>
                      <w:sz w:val="21"/>
                      <w:szCs w:val="21"/>
                    </w:rPr>
                    <w:t>“三线一单”、</w:t>
                  </w:r>
                  <w:r>
                    <w:rPr>
                      <w:sz w:val="21"/>
                      <w:szCs w:val="21"/>
                    </w:rPr>
                    <w:t>规划环评要求，是否依法依规落实产能置换、能耗置换、煤炭消费减量替代、污染物排放区域削减等要求。对已建成投产的存</w:t>
                  </w:r>
                  <w:r>
                    <w:rPr>
                      <w:rFonts w:hint="eastAsia" w:ascii="宋体" w:hAnsi="宋体" w:cs="宋体"/>
                      <w:sz w:val="21"/>
                      <w:szCs w:val="21"/>
                    </w:rPr>
                    <w:t>量“两高”项目，</w:t>
                  </w:r>
                  <w:r>
                    <w:rPr>
                      <w:sz w:val="21"/>
                      <w:szCs w:val="21"/>
                    </w:rPr>
                    <w:t>有节能减排潜力的加快改造升级，属于落后产能的加快淘汰。8.禁止建设生产和使用高挥发性有机物含量涂料、油墨、胶粘剂、清洗剂等项目。9.禁止新建不符合国家规定的燃煤发电机组、燃油发电机组和燃煤热电机组。10.禁止新建、扩建分散燃煤供热锅炉。11.在城市规划区内禁止新建、扩建大气污染严重的建设项目。12.禁止高灰分、高硫分煤炭进入市场。新建煤矿应当同步建设煤炭洗选设施，已建成的煤矿所采煤炭属于高灰分、高硫分的，应当在国家和省规定的期限内建成配套的煤炭洗选设施，使煤炭中的灰分、硫分达到规定的标准</w:t>
                  </w:r>
                </w:p>
              </w:tc>
              <w:tc>
                <w:tcPr>
                  <w:tcW w:w="1155" w:type="pct"/>
                  <w:tcBorders>
                    <w:top w:val="single" w:color="000000" w:sz="4" w:space="0"/>
                    <w:left w:val="single" w:color="000000" w:sz="4" w:space="0"/>
                    <w:bottom w:val="single" w:color="000000" w:sz="4" w:space="0"/>
                    <w:right w:val="single" w:color="000000" w:sz="4" w:space="0"/>
                  </w:tcBorders>
                  <w:vAlign w:val="center"/>
                </w:tcPr>
                <w:p w14:paraId="1FC47D8F">
                  <w:pPr>
                    <w:autoSpaceDE w:val="0"/>
                    <w:autoSpaceDN w:val="0"/>
                    <w:spacing w:line="276" w:lineRule="auto"/>
                    <w:jc w:val="center"/>
                    <w:rPr>
                      <w:sz w:val="21"/>
                      <w:szCs w:val="21"/>
                    </w:rPr>
                  </w:pPr>
                  <w:r>
                    <w:rPr>
                      <w:sz w:val="21"/>
                      <w:szCs w:val="21"/>
                    </w:rPr>
                    <w:t>本项目属于</w:t>
                  </w:r>
                  <w:r>
                    <w:rPr>
                      <w:rFonts w:hint="eastAsia"/>
                      <w:sz w:val="21"/>
                      <w:szCs w:val="21"/>
                    </w:rPr>
                    <w:t>C3670 汽车零部件及配件制造</w:t>
                  </w:r>
                  <w:r>
                    <w:rPr>
                      <w:sz w:val="21"/>
                      <w:szCs w:val="21"/>
                    </w:rPr>
                    <w:t>，查阅《产业结构调整指导目录（2024年本）》，</w:t>
                  </w:r>
                  <w:r>
                    <w:rPr>
                      <w:rFonts w:hint="eastAsia"/>
                      <w:sz w:val="21"/>
                      <w:szCs w:val="21"/>
                    </w:rPr>
                    <w:t>本项目不属于其中的鼓励类、限制类或淘汰类，视为允许建设项目，符合国家产业政策要求</w:t>
                  </w:r>
                  <w:r>
                    <w:rPr>
                      <w:sz w:val="21"/>
                      <w:szCs w:val="21"/>
                    </w:rPr>
                    <w:t>。对照《安徽</w:t>
                  </w:r>
                  <w:r>
                    <w:rPr>
                      <w:rFonts w:ascii="宋体" w:hAnsi="宋体"/>
                      <w:sz w:val="21"/>
                      <w:szCs w:val="21"/>
                    </w:rPr>
                    <w:t>省“两高”项</w:t>
                  </w:r>
                  <w:r>
                    <w:rPr>
                      <w:sz w:val="21"/>
                      <w:szCs w:val="21"/>
                    </w:rPr>
                    <w:t>目管理目录（试行）》，本项目不属于高耗能、高排放项目。本项目不属于钢铁、有色、石化、水泥、化工等重污染企业。项目满足空间布局约束要求</w:t>
                  </w:r>
                </w:p>
              </w:tc>
              <w:tc>
                <w:tcPr>
                  <w:tcW w:w="411" w:type="pct"/>
                  <w:tcBorders>
                    <w:top w:val="single" w:color="000000" w:sz="4" w:space="0"/>
                    <w:left w:val="single" w:color="000000" w:sz="4" w:space="0"/>
                    <w:bottom w:val="single" w:color="000000" w:sz="4" w:space="0"/>
                    <w:right w:val="nil"/>
                  </w:tcBorders>
                  <w:vAlign w:val="center"/>
                </w:tcPr>
                <w:p w14:paraId="3B35A005">
                  <w:pPr>
                    <w:autoSpaceDE w:val="0"/>
                    <w:autoSpaceDN w:val="0"/>
                    <w:spacing w:line="276" w:lineRule="auto"/>
                    <w:jc w:val="center"/>
                    <w:rPr>
                      <w:sz w:val="21"/>
                      <w:szCs w:val="21"/>
                    </w:rPr>
                  </w:pPr>
                  <w:r>
                    <w:rPr>
                      <w:sz w:val="21"/>
                      <w:szCs w:val="21"/>
                    </w:rPr>
                    <w:t>符合</w:t>
                  </w:r>
                </w:p>
              </w:tc>
            </w:tr>
            <w:tr w14:paraId="37F205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pct"/>
                  <w:vMerge w:val="continue"/>
                  <w:tcBorders>
                    <w:top w:val="single" w:color="000000" w:sz="4" w:space="0"/>
                    <w:left w:val="nil"/>
                    <w:bottom w:val="single" w:color="000000" w:sz="4" w:space="0"/>
                    <w:right w:val="single" w:color="000000" w:sz="4" w:space="0"/>
                  </w:tcBorders>
                  <w:vAlign w:val="center"/>
                </w:tcPr>
                <w:p w14:paraId="77660B67">
                  <w:pPr>
                    <w:widowControl/>
                    <w:spacing w:line="276" w:lineRule="auto"/>
                    <w:jc w:val="left"/>
                    <w:rPr>
                      <w:sz w:val="21"/>
                      <w:szCs w:val="21"/>
                    </w:rPr>
                  </w:pPr>
                </w:p>
              </w:tc>
              <w:tc>
                <w:tcPr>
                  <w:tcW w:w="365" w:type="pct"/>
                  <w:vMerge w:val="continue"/>
                  <w:tcBorders>
                    <w:top w:val="single" w:color="000000" w:sz="4" w:space="0"/>
                    <w:left w:val="single" w:color="000000" w:sz="4" w:space="0"/>
                    <w:bottom w:val="single" w:color="000000" w:sz="4" w:space="0"/>
                    <w:right w:val="single" w:color="000000" w:sz="4" w:space="0"/>
                  </w:tcBorders>
                  <w:vAlign w:val="center"/>
                </w:tcPr>
                <w:p w14:paraId="6A3C2912">
                  <w:pPr>
                    <w:widowControl/>
                    <w:spacing w:line="276" w:lineRule="auto"/>
                    <w:jc w:val="left"/>
                    <w:rPr>
                      <w:sz w:val="21"/>
                      <w:szCs w:val="21"/>
                    </w:rPr>
                  </w:pPr>
                </w:p>
              </w:tc>
              <w:tc>
                <w:tcPr>
                  <w:tcW w:w="304" w:type="pct"/>
                  <w:tcBorders>
                    <w:top w:val="single" w:color="auto" w:sz="4" w:space="0"/>
                    <w:left w:val="single" w:color="000000" w:sz="4" w:space="0"/>
                    <w:bottom w:val="single" w:color="auto" w:sz="12" w:space="0"/>
                    <w:right w:val="single" w:color="000000" w:sz="4" w:space="0"/>
                  </w:tcBorders>
                  <w:vAlign w:val="center"/>
                </w:tcPr>
                <w:p w14:paraId="24E9631F">
                  <w:pPr>
                    <w:autoSpaceDE w:val="0"/>
                    <w:autoSpaceDN w:val="0"/>
                    <w:spacing w:line="276" w:lineRule="auto"/>
                    <w:jc w:val="center"/>
                    <w:rPr>
                      <w:sz w:val="21"/>
                      <w:szCs w:val="21"/>
                    </w:rPr>
                  </w:pPr>
                  <w:r>
                    <w:rPr>
                      <w:sz w:val="21"/>
                      <w:szCs w:val="21"/>
                    </w:rPr>
                    <w:t>资源开发效率要求</w:t>
                  </w:r>
                </w:p>
              </w:tc>
              <w:tc>
                <w:tcPr>
                  <w:tcW w:w="2249" w:type="pct"/>
                  <w:tcBorders>
                    <w:top w:val="single" w:color="auto" w:sz="4" w:space="0"/>
                    <w:left w:val="single" w:color="000000" w:sz="4" w:space="0"/>
                    <w:bottom w:val="single" w:color="auto" w:sz="12" w:space="0"/>
                    <w:right w:val="single" w:color="000000" w:sz="4" w:space="0"/>
                  </w:tcBorders>
                  <w:vAlign w:val="center"/>
                </w:tcPr>
                <w:p w14:paraId="711B6344">
                  <w:pPr>
                    <w:autoSpaceDE w:val="0"/>
                    <w:autoSpaceDN w:val="0"/>
                    <w:spacing w:line="276" w:lineRule="auto"/>
                    <w:jc w:val="center"/>
                    <w:rPr>
                      <w:sz w:val="21"/>
                      <w:szCs w:val="21"/>
                    </w:rPr>
                  </w:pPr>
                  <w:r>
                    <w:rPr>
                      <w:sz w:val="21"/>
                      <w:szCs w:val="21"/>
                    </w:rPr>
                    <w:t>1.推动煤电行业实施节能降耗改造、供热改造和灵活性</w:t>
                  </w:r>
                  <w:r>
                    <w:rPr>
                      <w:rFonts w:hint="eastAsia" w:ascii="宋体" w:hAnsi="宋体" w:cs="宋体"/>
                      <w:sz w:val="21"/>
                      <w:szCs w:val="21"/>
                    </w:rPr>
                    <w:t>改造“三改联动”</w:t>
                  </w:r>
                  <w:r>
                    <w:rPr>
                      <w:sz w:val="21"/>
                      <w:szCs w:val="21"/>
                    </w:rPr>
                    <w:t>。加快供热管网建设，淘汰管网覆盖范围内的燃煤锅炉和散煤。到2025年，火电平均供电煤耗降至295克标煤/千瓦时，散煤基本清零。2.实</w:t>
                  </w:r>
                  <w:r>
                    <w:rPr>
                      <w:rFonts w:hint="eastAsia" w:ascii="宋体" w:hAnsi="宋体" w:cs="宋体"/>
                      <w:sz w:val="21"/>
                      <w:szCs w:val="21"/>
                    </w:rPr>
                    <w:t>施“煤改气”和“以电代煤”。</w:t>
                  </w:r>
                  <w:r>
                    <w:rPr>
                      <w:sz w:val="21"/>
                      <w:szCs w:val="21"/>
                    </w:rPr>
                    <w:t>在陶瓷、玻璃、铸造等行业积极推进天然气替代煤气化工程，有序实施燃煤设施煤改气。结合区域和行业用能特点，积极推进工业生产、建筑供暖供冷、交通运输、农业生产、居民生活五大领域</w:t>
                  </w:r>
                  <w:r>
                    <w:rPr>
                      <w:rFonts w:hint="eastAsia" w:ascii="宋体" w:hAnsi="宋体" w:cs="宋体"/>
                      <w:sz w:val="21"/>
                      <w:szCs w:val="21"/>
                    </w:rPr>
                    <w:t>实施“以电代煤”，</w:t>
                  </w:r>
                  <w:r>
                    <w:rPr>
                      <w:sz w:val="21"/>
                      <w:szCs w:val="21"/>
                    </w:rPr>
                    <w:t>着力提高电能占终端能源消费比重</w:t>
                  </w:r>
                </w:p>
              </w:tc>
              <w:tc>
                <w:tcPr>
                  <w:tcW w:w="1155" w:type="pct"/>
                  <w:tcBorders>
                    <w:top w:val="single" w:color="000000" w:sz="4" w:space="0"/>
                    <w:left w:val="single" w:color="000000" w:sz="4" w:space="0"/>
                    <w:bottom w:val="single" w:color="auto" w:sz="12" w:space="0"/>
                    <w:right w:val="single" w:color="000000" w:sz="4" w:space="0"/>
                  </w:tcBorders>
                  <w:vAlign w:val="center"/>
                </w:tcPr>
                <w:p w14:paraId="19E17689">
                  <w:pPr>
                    <w:autoSpaceDE w:val="0"/>
                    <w:autoSpaceDN w:val="0"/>
                    <w:spacing w:line="276" w:lineRule="auto"/>
                    <w:jc w:val="center"/>
                    <w:rPr>
                      <w:sz w:val="21"/>
                      <w:szCs w:val="21"/>
                    </w:rPr>
                  </w:pPr>
                  <w:r>
                    <w:rPr>
                      <w:sz w:val="21"/>
                      <w:szCs w:val="21"/>
                    </w:rPr>
                    <w:t>项目采用清洁能源电能，项目用水来自市政给水管网，用电由市政供电系统供给。项目满足资源开发效率要求</w:t>
                  </w:r>
                </w:p>
              </w:tc>
              <w:tc>
                <w:tcPr>
                  <w:tcW w:w="411" w:type="pct"/>
                  <w:tcBorders>
                    <w:top w:val="single" w:color="000000" w:sz="4" w:space="0"/>
                    <w:left w:val="single" w:color="000000" w:sz="4" w:space="0"/>
                    <w:bottom w:val="single" w:color="auto" w:sz="12" w:space="0"/>
                    <w:right w:val="nil"/>
                  </w:tcBorders>
                  <w:vAlign w:val="center"/>
                </w:tcPr>
                <w:p w14:paraId="4ED6B2AF">
                  <w:pPr>
                    <w:autoSpaceDE w:val="0"/>
                    <w:autoSpaceDN w:val="0"/>
                    <w:spacing w:line="276" w:lineRule="auto"/>
                    <w:jc w:val="center"/>
                    <w:rPr>
                      <w:sz w:val="21"/>
                      <w:szCs w:val="21"/>
                    </w:rPr>
                  </w:pPr>
                  <w:r>
                    <w:rPr>
                      <w:sz w:val="21"/>
                      <w:szCs w:val="21"/>
                    </w:rPr>
                    <w:t>符合</w:t>
                  </w:r>
                </w:p>
              </w:tc>
            </w:tr>
          </w:tbl>
          <w:p w14:paraId="0E3640C6">
            <w:pPr>
              <w:spacing w:line="360" w:lineRule="auto"/>
              <w:ind w:firstLine="482" w:firstLineChars="200"/>
              <w:jc w:val="center"/>
              <w:rPr>
                <w:b/>
              </w:rPr>
            </w:pPr>
          </w:p>
        </w:tc>
      </w:tr>
    </w:tbl>
    <w:p w14:paraId="0328884F">
      <w:pPr>
        <w:spacing w:line="360" w:lineRule="auto"/>
        <w:sectPr>
          <w:pgSz w:w="16838" w:h="11906" w:orient="landscape"/>
          <w:pgMar w:top="1800" w:right="1440" w:bottom="1800" w:left="1440" w:header="851" w:footer="992" w:gutter="0"/>
          <w:cols w:space="425" w:num="1"/>
          <w:docGrid w:type="lines" w:linePitch="326" w:charSpace="0"/>
        </w:sectPr>
      </w:pPr>
    </w:p>
    <w:p w14:paraId="68088112">
      <w:pPr>
        <w:spacing w:line="360" w:lineRule="auto"/>
        <w:sectPr>
          <w:pgSz w:w="11906" w:h="16838"/>
          <w:pgMar w:top="1440" w:right="1800" w:bottom="1440" w:left="1800" w:header="851" w:footer="992" w:gutter="0"/>
          <w:cols w:space="425" w:num="1"/>
          <w:docGrid w:type="lines" w:linePitch="326" w:charSpace="0"/>
        </w:sect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65"/>
      </w:tblGrid>
      <w:tr w14:paraId="7149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1" w:hRule="atLeast"/>
          <w:jc w:val="center"/>
        </w:trPr>
        <w:tc>
          <w:tcPr>
            <w:tcW w:w="268" w:type="pct"/>
            <w:vAlign w:val="center"/>
          </w:tcPr>
          <w:p w14:paraId="32FF121A">
            <w:pPr>
              <w:spacing w:line="360" w:lineRule="auto"/>
            </w:pPr>
            <w:r>
              <w:t>其他符合性分析</w:t>
            </w:r>
          </w:p>
        </w:tc>
        <w:tc>
          <w:tcPr>
            <w:tcW w:w="4732" w:type="pct"/>
          </w:tcPr>
          <w:p w14:paraId="0E6BB21F">
            <w:pPr>
              <w:spacing w:line="360" w:lineRule="auto"/>
              <w:ind w:firstLine="482" w:firstLineChars="200"/>
            </w:pPr>
            <w:r>
              <w:rPr>
                <w:rFonts w:hint="eastAsia"/>
                <w:b/>
              </w:rPr>
              <w:t>14</w:t>
            </w:r>
            <w:r>
              <w:rPr>
                <w:b/>
              </w:rPr>
              <w:t>、项目与排污许可联动内容分析</w:t>
            </w:r>
          </w:p>
          <w:p w14:paraId="0A685FDC">
            <w:pPr>
              <w:spacing w:line="360" w:lineRule="auto"/>
              <w:ind w:firstLine="480" w:firstLineChars="200"/>
            </w:pPr>
            <w:r>
              <w:t>本项目国民经济行业类别为</w:t>
            </w:r>
            <w:r>
              <w:rPr>
                <w:rFonts w:hint="eastAsia"/>
              </w:rPr>
              <w:t>C3670 汽车零部件及配件制造</w:t>
            </w:r>
            <w:r>
              <w:t>，对照《固定污染源排污许可分类管理名录》（2019年版），本项目属于</w:t>
            </w:r>
            <w:r>
              <w:rPr>
                <w:rFonts w:hint="eastAsia"/>
              </w:rPr>
              <w:t>简化</w:t>
            </w:r>
            <w:r>
              <w:t>管理。</w:t>
            </w:r>
            <w:r>
              <w:rPr>
                <w:spacing w:val="-2"/>
              </w:rPr>
              <w:t>具体分类见下表。</w:t>
            </w:r>
          </w:p>
          <w:p w14:paraId="2456CE6F">
            <w:pPr>
              <w:spacing w:line="360" w:lineRule="auto"/>
              <w:jc w:val="center"/>
              <w:rPr>
                <w:rFonts w:eastAsia="黑体"/>
                <w:spacing w:val="-2"/>
              </w:rPr>
            </w:pPr>
            <w:r>
              <w:rPr>
                <w:rFonts w:eastAsia="黑体"/>
                <w:spacing w:val="-2"/>
              </w:rPr>
              <w:t>表</w:t>
            </w:r>
            <w:r>
              <w:rPr>
                <w:rFonts w:hint="eastAsia" w:eastAsia="黑体"/>
                <w:spacing w:val="-2"/>
              </w:rPr>
              <w:t>1-15</w:t>
            </w:r>
            <w:r>
              <w:rPr>
                <w:rFonts w:eastAsia="黑体"/>
                <w:spacing w:val="-2"/>
              </w:rPr>
              <w:t xml:space="preserve"> 固定污染源排污许可分类管理名录</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497"/>
              <w:gridCol w:w="3412"/>
              <w:gridCol w:w="1148"/>
            </w:tblGrid>
            <w:tr w14:paraId="392DB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Align w:val="center"/>
                </w:tcPr>
                <w:p w14:paraId="40E5CCBA">
                  <w:pPr>
                    <w:spacing w:line="276" w:lineRule="auto"/>
                    <w:jc w:val="center"/>
                    <w:rPr>
                      <w:b/>
                      <w:sz w:val="21"/>
                      <w:szCs w:val="21"/>
                    </w:rPr>
                  </w:pPr>
                  <w:r>
                    <w:rPr>
                      <w:b/>
                      <w:sz w:val="21"/>
                      <w:szCs w:val="21"/>
                    </w:rPr>
                    <w:t>行业类别</w:t>
                  </w:r>
                </w:p>
              </w:tc>
              <w:tc>
                <w:tcPr>
                  <w:tcW w:w="1497" w:type="dxa"/>
                  <w:vAlign w:val="center"/>
                </w:tcPr>
                <w:p w14:paraId="2B6BEC1D">
                  <w:pPr>
                    <w:spacing w:line="276" w:lineRule="auto"/>
                    <w:jc w:val="center"/>
                    <w:rPr>
                      <w:b/>
                      <w:sz w:val="21"/>
                      <w:szCs w:val="21"/>
                    </w:rPr>
                  </w:pPr>
                  <w:r>
                    <w:rPr>
                      <w:b/>
                      <w:sz w:val="21"/>
                      <w:szCs w:val="21"/>
                    </w:rPr>
                    <w:t>重点管理</w:t>
                  </w:r>
                </w:p>
              </w:tc>
              <w:tc>
                <w:tcPr>
                  <w:tcW w:w="3412" w:type="dxa"/>
                  <w:vAlign w:val="center"/>
                </w:tcPr>
                <w:p w14:paraId="490AB89F">
                  <w:pPr>
                    <w:spacing w:line="276" w:lineRule="auto"/>
                    <w:jc w:val="center"/>
                    <w:rPr>
                      <w:b/>
                      <w:sz w:val="21"/>
                      <w:szCs w:val="21"/>
                    </w:rPr>
                  </w:pPr>
                  <w:r>
                    <w:rPr>
                      <w:b/>
                      <w:sz w:val="21"/>
                      <w:szCs w:val="21"/>
                    </w:rPr>
                    <w:t>简化管理</w:t>
                  </w:r>
                </w:p>
              </w:tc>
              <w:tc>
                <w:tcPr>
                  <w:tcW w:w="1148" w:type="dxa"/>
                  <w:vAlign w:val="center"/>
                </w:tcPr>
                <w:p w14:paraId="11725BFF">
                  <w:pPr>
                    <w:spacing w:line="276" w:lineRule="auto"/>
                    <w:jc w:val="center"/>
                    <w:rPr>
                      <w:b/>
                      <w:sz w:val="21"/>
                      <w:szCs w:val="21"/>
                    </w:rPr>
                  </w:pPr>
                  <w:r>
                    <w:rPr>
                      <w:b/>
                      <w:sz w:val="21"/>
                      <w:szCs w:val="21"/>
                    </w:rPr>
                    <w:t>登记管理</w:t>
                  </w:r>
                </w:p>
              </w:tc>
            </w:tr>
            <w:tr w14:paraId="2B55C8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42" w:type="dxa"/>
                  <w:gridSpan w:val="4"/>
                  <w:vAlign w:val="center"/>
                </w:tcPr>
                <w:p w14:paraId="2521BA31">
                  <w:pPr>
                    <w:spacing w:line="276" w:lineRule="auto"/>
                    <w:rPr>
                      <w:bCs/>
                      <w:sz w:val="21"/>
                      <w:szCs w:val="21"/>
                    </w:rPr>
                  </w:pPr>
                  <w:r>
                    <w:rPr>
                      <w:rFonts w:hint="eastAsia"/>
                      <w:bCs/>
                      <w:sz w:val="21"/>
                      <w:szCs w:val="21"/>
                    </w:rPr>
                    <w:t>三十一、汽车制造</w:t>
                  </w:r>
                  <w:r>
                    <w:rPr>
                      <w:bCs/>
                      <w:sz w:val="21"/>
                      <w:szCs w:val="21"/>
                    </w:rPr>
                    <w:t>业</w:t>
                  </w:r>
                  <w:r>
                    <w:rPr>
                      <w:rFonts w:hint="eastAsia"/>
                      <w:bCs/>
                      <w:sz w:val="21"/>
                      <w:szCs w:val="21"/>
                    </w:rPr>
                    <w:t>36</w:t>
                  </w:r>
                </w:p>
              </w:tc>
            </w:tr>
            <w:tr w14:paraId="386A9F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Align w:val="center"/>
                </w:tcPr>
                <w:p w14:paraId="1E101C08">
                  <w:pPr>
                    <w:spacing w:line="276" w:lineRule="auto"/>
                    <w:jc w:val="center"/>
                    <w:rPr>
                      <w:bCs/>
                      <w:sz w:val="21"/>
                      <w:szCs w:val="21"/>
                    </w:rPr>
                  </w:pPr>
                  <w:r>
                    <w:rPr>
                      <w:bCs/>
                      <w:sz w:val="21"/>
                      <w:szCs w:val="21"/>
                    </w:rPr>
                    <w:t>汽车整车制造361，汽车用发动机制造362，改装汽车制造363，低速汽车制造364，电车制造365，汽车车身、挂车制造366，汽车零部件及配件制造367</w:t>
                  </w:r>
                </w:p>
              </w:tc>
              <w:tc>
                <w:tcPr>
                  <w:tcW w:w="1497" w:type="dxa"/>
                  <w:vAlign w:val="center"/>
                </w:tcPr>
                <w:p w14:paraId="3CC3F4E2">
                  <w:pPr>
                    <w:spacing w:line="276" w:lineRule="auto"/>
                    <w:jc w:val="center"/>
                    <w:rPr>
                      <w:bCs/>
                      <w:sz w:val="21"/>
                      <w:szCs w:val="21"/>
                    </w:rPr>
                  </w:pPr>
                  <w:r>
                    <w:rPr>
                      <w:bCs/>
                      <w:sz w:val="21"/>
                      <w:szCs w:val="21"/>
                    </w:rPr>
                    <w:t>纳入重点排污单位名录的</w:t>
                  </w:r>
                </w:p>
              </w:tc>
              <w:tc>
                <w:tcPr>
                  <w:tcW w:w="3412" w:type="dxa"/>
                  <w:shd w:val="clear" w:color="auto" w:fill="D8D8D8" w:themeFill="background1" w:themeFillShade="D9"/>
                  <w:vAlign w:val="center"/>
                </w:tcPr>
                <w:p w14:paraId="2FE0E63B">
                  <w:pPr>
                    <w:spacing w:line="276" w:lineRule="auto"/>
                    <w:jc w:val="center"/>
                    <w:rPr>
                      <w:bCs/>
                      <w:sz w:val="21"/>
                      <w:szCs w:val="21"/>
                    </w:rPr>
                  </w:pPr>
                  <w:r>
                    <w:rPr>
                      <w:bCs/>
                      <w:sz w:val="21"/>
                      <w:szCs w:val="21"/>
                    </w:rPr>
                    <w:t>除重点管理以外的汽车整车制造361，除重点管理以外的年使用10吨及以上溶剂型涂料或者胶粘剂（含稀释剂、固化剂、清洗溶剂）的汽车用发动机制造362、改装汽车制造363、低速汽车制造364、电车制造365、汽车车身、挂车制造366、汽车零部件及配件制造367</w:t>
                  </w:r>
                </w:p>
              </w:tc>
              <w:tc>
                <w:tcPr>
                  <w:tcW w:w="1148" w:type="dxa"/>
                  <w:shd w:val="clear" w:color="auto" w:fill="FFFFFF" w:themeFill="background1"/>
                  <w:vAlign w:val="center"/>
                </w:tcPr>
                <w:p w14:paraId="19265844">
                  <w:pPr>
                    <w:spacing w:line="276" w:lineRule="auto"/>
                    <w:jc w:val="center"/>
                    <w:rPr>
                      <w:bCs/>
                      <w:sz w:val="21"/>
                      <w:szCs w:val="21"/>
                    </w:rPr>
                  </w:pPr>
                  <w:r>
                    <w:rPr>
                      <w:bCs/>
                      <w:sz w:val="21"/>
                      <w:szCs w:val="21"/>
                    </w:rPr>
                    <w:t>其他</w:t>
                  </w:r>
                </w:p>
              </w:tc>
            </w:tr>
          </w:tbl>
          <w:p w14:paraId="01F92BFA">
            <w:pPr>
              <w:spacing w:line="360" w:lineRule="auto"/>
              <w:ind w:firstLine="472" w:firstLineChars="200"/>
              <w:rPr>
                <w:spacing w:val="-2"/>
              </w:rPr>
            </w:pPr>
          </w:p>
          <w:p w14:paraId="2296FDCA">
            <w:pPr>
              <w:spacing w:line="360" w:lineRule="auto"/>
              <w:rPr>
                <w:spacing w:val="-2"/>
              </w:rPr>
            </w:pPr>
          </w:p>
          <w:p w14:paraId="7AB471DB">
            <w:pPr>
              <w:spacing w:line="360" w:lineRule="auto"/>
              <w:ind w:firstLine="472" w:firstLineChars="200"/>
              <w:rPr>
                <w:spacing w:val="-2"/>
              </w:rPr>
            </w:pPr>
          </w:p>
          <w:p w14:paraId="7B6B5B2C">
            <w:pPr>
              <w:spacing w:line="360" w:lineRule="auto"/>
              <w:ind w:firstLine="472" w:firstLineChars="200"/>
              <w:rPr>
                <w:spacing w:val="-2"/>
              </w:rPr>
            </w:pPr>
          </w:p>
          <w:p w14:paraId="6DBF0E5A">
            <w:pPr>
              <w:spacing w:line="360" w:lineRule="auto"/>
              <w:ind w:firstLine="472" w:firstLineChars="200"/>
              <w:rPr>
                <w:spacing w:val="-2"/>
              </w:rPr>
            </w:pPr>
          </w:p>
          <w:p w14:paraId="7EDAB38C">
            <w:pPr>
              <w:spacing w:line="360" w:lineRule="auto"/>
              <w:ind w:firstLine="472" w:firstLineChars="200"/>
              <w:rPr>
                <w:spacing w:val="-2"/>
              </w:rPr>
            </w:pPr>
          </w:p>
          <w:p w14:paraId="6739F741">
            <w:pPr>
              <w:spacing w:line="360" w:lineRule="auto"/>
              <w:ind w:firstLine="472" w:firstLineChars="200"/>
              <w:rPr>
                <w:spacing w:val="-2"/>
              </w:rPr>
            </w:pPr>
          </w:p>
          <w:p w14:paraId="5D99D432">
            <w:pPr>
              <w:spacing w:line="360" w:lineRule="auto"/>
              <w:rPr>
                <w:spacing w:val="-2"/>
              </w:rPr>
            </w:pPr>
          </w:p>
          <w:p w14:paraId="12C49736">
            <w:pPr>
              <w:spacing w:line="360" w:lineRule="auto"/>
              <w:rPr>
                <w:spacing w:val="-2"/>
              </w:rPr>
            </w:pPr>
          </w:p>
          <w:p w14:paraId="78EE27EC">
            <w:pPr>
              <w:spacing w:line="360" w:lineRule="auto"/>
              <w:rPr>
                <w:spacing w:val="-2"/>
              </w:rPr>
            </w:pPr>
          </w:p>
          <w:p w14:paraId="64315F64">
            <w:pPr>
              <w:spacing w:line="360" w:lineRule="auto"/>
              <w:rPr>
                <w:spacing w:val="-2"/>
              </w:rPr>
            </w:pPr>
          </w:p>
          <w:p w14:paraId="0850830F">
            <w:pPr>
              <w:spacing w:line="360" w:lineRule="auto"/>
              <w:rPr>
                <w:spacing w:val="-2"/>
              </w:rPr>
            </w:pPr>
          </w:p>
        </w:tc>
      </w:tr>
    </w:tbl>
    <w:p w14:paraId="5D884EE4">
      <w:pPr>
        <w:widowControl/>
        <w:jc w:val="left"/>
        <w:rPr>
          <w:rFonts w:ascii="黑体" w:hAnsi="黑体" w:eastAsia="黑体"/>
          <w:sz w:val="32"/>
          <w:szCs w:val="32"/>
        </w:rPr>
        <w:sectPr>
          <w:type w:val="continuous"/>
          <w:pgSz w:w="11906" w:h="16838"/>
          <w:pgMar w:top="1440" w:right="1800" w:bottom="1440" w:left="1800" w:header="851" w:footer="992" w:gutter="0"/>
          <w:cols w:space="425" w:num="1"/>
          <w:docGrid w:type="lines" w:linePitch="326" w:charSpace="0"/>
        </w:sectPr>
      </w:pPr>
    </w:p>
    <w:p w14:paraId="54492FC1">
      <w:pPr>
        <w:jc w:val="center"/>
        <w:rPr>
          <w:rFonts w:ascii="黑体" w:hAnsi="黑体" w:eastAsia="黑体"/>
          <w:sz w:val="32"/>
          <w:szCs w:val="32"/>
        </w:rPr>
      </w:pPr>
      <w:r>
        <w:rPr>
          <w:rFonts w:hint="eastAsia" w:ascii="黑体" w:hAnsi="黑体" w:eastAsia="黑体"/>
          <w:sz w:val="32"/>
          <w:szCs w:val="32"/>
        </w:rPr>
        <w:t>二、建设项目工程分析</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0AD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51A5F68">
            <w:r>
              <w:rPr>
                <w:rFonts w:hint="eastAsia"/>
              </w:rPr>
              <w:t>建设内容</w:t>
            </w:r>
          </w:p>
        </w:tc>
        <w:tc>
          <w:tcPr>
            <w:tcW w:w="7988" w:type="dxa"/>
            <w:vAlign w:val="center"/>
          </w:tcPr>
          <w:p w14:paraId="32696327">
            <w:pPr>
              <w:spacing w:line="360" w:lineRule="auto"/>
              <w:ind w:firstLine="482" w:firstLineChars="200"/>
            </w:pPr>
            <w:r>
              <w:rPr>
                <w:b/>
              </w:rPr>
              <w:t>1、项目</w:t>
            </w:r>
            <w:r>
              <w:rPr>
                <w:rFonts w:hint="eastAsia"/>
                <w:b/>
              </w:rPr>
              <w:t>背景</w:t>
            </w:r>
          </w:p>
          <w:p w14:paraId="0989FA72">
            <w:pPr>
              <w:wordWrap w:val="0"/>
              <w:spacing w:line="360" w:lineRule="auto"/>
              <w:ind w:firstLine="480" w:firstLineChars="200"/>
              <w:jc w:val="left"/>
            </w:pPr>
            <w:r>
              <w:rPr>
                <w:rFonts w:hint="eastAsia"/>
              </w:rPr>
              <w:t>安徽集杰汽车零部件制造有限公司拟投资12000万元</w:t>
            </w:r>
            <w:r>
              <w:t>建设汽车悬挂系统及支臂总成制造基地项目</w:t>
            </w:r>
            <w:r>
              <w:rPr>
                <w:rFonts w:hint="eastAsia"/>
              </w:rPr>
              <w:t>。企业租赁淮南经济技术开发区绿色智造产业园6#厂房（占地面积12093.73m</w:t>
            </w:r>
            <w:r>
              <w:rPr>
                <w:rFonts w:hint="eastAsia"/>
                <w:vertAlign w:val="superscript"/>
              </w:rPr>
              <w:t>2</w:t>
            </w:r>
            <w:r>
              <w:rPr>
                <w:rFonts w:hint="eastAsia"/>
              </w:rPr>
              <w:t>），建设汽车悬挂系统及支臂总成制造生产基地，改造面积约12000平方米。购置冲压机，数控机床，焊接机器人，硫化机等设备，建设汽车悬挂系支臂、衬套生产线。项目建成后最终</w:t>
            </w:r>
            <w:r>
              <w:t>形成年产100万只控制臂总成</w:t>
            </w:r>
            <w:r>
              <w:rPr>
                <w:rFonts w:hint="eastAsia"/>
              </w:rPr>
              <w:t>和</w:t>
            </w:r>
            <w:r>
              <w:t>300万只衬套</w:t>
            </w:r>
            <w:r>
              <w:rPr>
                <w:rFonts w:hint="eastAsia"/>
              </w:rPr>
              <w:t>的生产规模</w:t>
            </w:r>
            <w:r>
              <w:t>。</w:t>
            </w:r>
            <w:r>
              <w:rPr>
                <w:rFonts w:hint="eastAsia"/>
              </w:rPr>
              <w:t>该项目于2025年10月22日取得淮南经开区经济发展局备案，项目代码为2510-340461-04-01-898280。</w:t>
            </w:r>
          </w:p>
          <w:p w14:paraId="2598340E">
            <w:pPr>
              <w:spacing w:line="360" w:lineRule="auto"/>
              <w:ind w:firstLine="480" w:firstLineChars="200"/>
              <w:jc w:val="left"/>
            </w:pPr>
            <w:r>
              <w:t>根据《中华人民共和国环境保护法》（主席令2014年第9号）、《中华人民共和国环境影响评价法》（2018年12月29日修订）、《建设项目环境保护管理条例》（2017年10月1日施行）</w:t>
            </w:r>
            <w:r>
              <w:rPr>
                <w:rFonts w:hint="eastAsia"/>
              </w:rPr>
              <w:t>等相关要求，建设项目需履行环境影响评价手续。对照国民经济行业分类（GB/T 4754-2017），项目属于C3670汽车零部件制造业，且项目不涉及电镀工艺亦不使用溶剂型涂料，对照</w:t>
            </w:r>
            <w:r>
              <w:t>《建设项目环境影响评价分类管理名录》（2021年版）</w:t>
            </w:r>
            <w:r>
              <w:rPr>
                <w:rFonts w:hint="eastAsia"/>
              </w:rPr>
              <w:t>，本项目</w:t>
            </w:r>
            <w:r>
              <w:t>属于</w:t>
            </w:r>
            <w:r>
              <w:rPr>
                <w:rFonts w:hint="eastAsia"/>
              </w:rPr>
              <w:t>“三十三汽车制造业中的“其他””，需要</w:t>
            </w:r>
            <w:r>
              <w:t>编制环境影响报告表</w:t>
            </w:r>
            <w:r>
              <w:rPr>
                <w:rFonts w:hint="eastAsia"/>
              </w:rPr>
              <w:t>。报告类别详细判定过程见下表。</w:t>
            </w:r>
          </w:p>
          <w:p w14:paraId="0EDBBC5D">
            <w:pPr>
              <w:spacing w:line="360" w:lineRule="auto"/>
              <w:jc w:val="center"/>
              <w:rPr>
                <w:rFonts w:eastAsia="黑体"/>
              </w:rPr>
            </w:pPr>
            <w:r>
              <w:rPr>
                <w:rFonts w:eastAsia="黑体"/>
              </w:rPr>
              <w:t>表</w:t>
            </w:r>
            <w:r>
              <w:t xml:space="preserve">2-1  </w:t>
            </w:r>
            <w:r>
              <w:rPr>
                <w:rFonts w:eastAsia="黑体"/>
              </w:rPr>
              <w:t>建设项目环境影响评价分类管理名录</w:t>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2086"/>
              <w:gridCol w:w="2248"/>
              <w:gridCol w:w="663"/>
            </w:tblGrid>
            <w:tr w14:paraId="4346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pct"/>
                  <w:tcBorders>
                    <w:top w:val="single" w:color="auto" w:sz="12" w:space="0"/>
                    <w:left w:val="nil"/>
                    <w:tl2br w:val="single" w:color="auto" w:sz="4" w:space="0"/>
                  </w:tcBorders>
                  <w:vAlign w:val="center"/>
                </w:tcPr>
                <w:p w14:paraId="17E94494">
                  <w:pPr>
                    <w:spacing w:line="276" w:lineRule="auto"/>
                    <w:ind w:firstLine="1476" w:firstLineChars="700"/>
                    <w:rPr>
                      <w:b/>
                      <w:sz w:val="21"/>
                      <w:szCs w:val="21"/>
                    </w:rPr>
                  </w:pPr>
                  <w:r>
                    <w:rPr>
                      <w:b/>
                      <w:sz w:val="21"/>
                      <w:szCs w:val="21"/>
                    </w:rPr>
                    <w:t>环评类别</w:t>
                  </w:r>
                </w:p>
                <w:p w14:paraId="594AC965">
                  <w:pPr>
                    <w:spacing w:line="276" w:lineRule="auto"/>
                    <w:ind w:left="-1966" w:leftChars="-819"/>
                    <w:jc w:val="center"/>
                    <w:rPr>
                      <w:b/>
                      <w:sz w:val="21"/>
                      <w:szCs w:val="21"/>
                    </w:rPr>
                  </w:pPr>
                  <w:r>
                    <w:rPr>
                      <w:b/>
                      <w:sz w:val="21"/>
                      <w:szCs w:val="21"/>
                    </w:rPr>
                    <w:t xml:space="preserve"> 项目类别</w:t>
                  </w:r>
                </w:p>
              </w:tc>
              <w:tc>
                <w:tcPr>
                  <w:tcW w:w="1346" w:type="pct"/>
                  <w:tcBorders>
                    <w:top w:val="single" w:color="auto" w:sz="12" w:space="0"/>
                  </w:tcBorders>
                  <w:vAlign w:val="center"/>
                </w:tcPr>
                <w:p w14:paraId="16962015">
                  <w:pPr>
                    <w:spacing w:line="276" w:lineRule="auto"/>
                    <w:jc w:val="center"/>
                    <w:rPr>
                      <w:b/>
                      <w:sz w:val="21"/>
                      <w:szCs w:val="21"/>
                    </w:rPr>
                  </w:pPr>
                  <w:r>
                    <w:rPr>
                      <w:b/>
                      <w:sz w:val="21"/>
                      <w:szCs w:val="21"/>
                    </w:rPr>
                    <w:t>报告书</w:t>
                  </w:r>
                </w:p>
              </w:tc>
              <w:tc>
                <w:tcPr>
                  <w:tcW w:w="1450" w:type="pct"/>
                  <w:tcBorders>
                    <w:top w:val="single" w:color="auto" w:sz="12" w:space="0"/>
                  </w:tcBorders>
                  <w:vAlign w:val="center"/>
                </w:tcPr>
                <w:p w14:paraId="16286A2B">
                  <w:pPr>
                    <w:spacing w:line="276" w:lineRule="auto"/>
                    <w:jc w:val="center"/>
                    <w:rPr>
                      <w:b/>
                      <w:sz w:val="21"/>
                      <w:szCs w:val="21"/>
                    </w:rPr>
                  </w:pPr>
                  <w:r>
                    <w:rPr>
                      <w:b/>
                      <w:sz w:val="21"/>
                      <w:szCs w:val="21"/>
                    </w:rPr>
                    <w:t>报告表</w:t>
                  </w:r>
                </w:p>
              </w:tc>
              <w:tc>
                <w:tcPr>
                  <w:tcW w:w="425" w:type="pct"/>
                  <w:tcBorders>
                    <w:top w:val="single" w:color="auto" w:sz="12" w:space="0"/>
                    <w:right w:val="nil"/>
                  </w:tcBorders>
                  <w:vAlign w:val="center"/>
                </w:tcPr>
                <w:p w14:paraId="2854B745">
                  <w:pPr>
                    <w:spacing w:line="276" w:lineRule="auto"/>
                    <w:jc w:val="center"/>
                    <w:rPr>
                      <w:b/>
                      <w:sz w:val="21"/>
                      <w:szCs w:val="21"/>
                    </w:rPr>
                  </w:pPr>
                  <w:r>
                    <w:rPr>
                      <w:b/>
                      <w:sz w:val="21"/>
                      <w:szCs w:val="21"/>
                    </w:rPr>
                    <w:t>登记表</w:t>
                  </w:r>
                </w:p>
              </w:tc>
            </w:tr>
            <w:tr w14:paraId="26B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left w:val="nil"/>
                    <w:right w:val="nil"/>
                  </w:tcBorders>
                  <w:vAlign w:val="center"/>
                </w:tcPr>
                <w:p w14:paraId="216D23B8">
                  <w:pPr>
                    <w:spacing w:line="276" w:lineRule="auto"/>
                    <w:jc w:val="center"/>
                    <w:rPr>
                      <w:sz w:val="21"/>
                      <w:szCs w:val="21"/>
                    </w:rPr>
                  </w:pPr>
                  <w:r>
                    <w:rPr>
                      <w:rFonts w:hint="eastAsia"/>
                      <w:sz w:val="21"/>
                      <w:szCs w:val="21"/>
                    </w:rPr>
                    <w:t>三十三、汽车制造业 36</w:t>
                  </w:r>
                </w:p>
              </w:tc>
            </w:tr>
            <w:tr w14:paraId="3C7B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1" w:type="dxa"/>
                  <w:tcBorders>
                    <w:left w:val="nil"/>
                    <w:bottom w:val="single" w:color="auto" w:sz="12" w:space="0"/>
                  </w:tcBorders>
                  <w:vAlign w:val="center"/>
                </w:tcPr>
                <w:p w14:paraId="0F51376E">
                  <w:pPr>
                    <w:spacing w:line="276" w:lineRule="auto"/>
                    <w:jc w:val="center"/>
                    <w:rPr>
                      <w:sz w:val="21"/>
                      <w:szCs w:val="21"/>
                    </w:rPr>
                  </w:pPr>
                  <w:r>
                    <w:rPr>
                      <w:sz w:val="21"/>
                      <w:szCs w:val="21"/>
                    </w:rPr>
                    <w:t>汽车整车制造361；汽车用发动机制造362；改装汽车制造363；低速汽车制造364；电车制造365；汽车车身、挂车制造366；汽车零部件及配件制造367</w:t>
                  </w:r>
                </w:p>
              </w:tc>
              <w:tc>
                <w:tcPr>
                  <w:tcW w:w="2109" w:type="dxa"/>
                  <w:tcBorders>
                    <w:bottom w:val="single" w:color="auto" w:sz="12" w:space="0"/>
                  </w:tcBorders>
                  <w:vAlign w:val="center"/>
                </w:tcPr>
                <w:p w14:paraId="397D1068">
                  <w:pPr>
                    <w:spacing w:line="276" w:lineRule="auto"/>
                    <w:jc w:val="center"/>
                    <w:rPr>
                      <w:sz w:val="21"/>
                      <w:szCs w:val="21"/>
                    </w:rPr>
                  </w:pPr>
                  <w:r>
                    <w:rPr>
                      <w:sz w:val="21"/>
                      <w:szCs w:val="21"/>
                    </w:rPr>
                    <w:t>汽车整车制造（仅组装的除外）；汽车用发动机制造（仅组装的除外）；有电镀工艺的；年用溶剂型涂料（含稀释剂）10吨及以上的</w:t>
                  </w:r>
                </w:p>
              </w:tc>
              <w:tc>
                <w:tcPr>
                  <w:tcW w:w="2272" w:type="dxa"/>
                  <w:tcBorders>
                    <w:bottom w:val="single" w:color="auto" w:sz="12" w:space="0"/>
                  </w:tcBorders>
                  <w:shd w:val="clear" w:color="auto" w:fill="BEBEBE" w:themeFill="background1" w:themeFillShade="BF"/>
                  <w:vAlign w:val="center"/>
                </w:tcPr>
                <w:p w14:paraId="064F850D">
                  <w:pPr>
                    <w:spacing w:line="276" w:lineRule="auto"/>
                    <w:jc w:val="center"/>
                    <w:rPr>
                      <w:sz w:val="21"/>
                      <w:szCs w:val="21"/>
                    </w:rPr>
                  </w:pPr>
                  <w:r>
                    <w:rPr>
                      <w:sz w:val="21"/>
                      <w:szCs w:val="21"/>
                    </w:rPr>
                    <w:t>其他（年用非溶剂型低VOCs含量涂料10吨以下的除外）</w:t>
                  </w:r>
                </w:p>
              </w:tc>
              <w:tc>
                <w:tcPr>
                  <w:tcW w:w="671" w:type="dxa"/>
                  <w:tcBorders>
                    <w:bottom w:val="single" w:color="auto" w:sz="12" w:space="0"/>
                    <w:right w:val="nil"/>
                  </w:tcBorders>
                  <w:vAlign w:val="center"/>
                </w:tcPr>
                <w:p w14:paraId="1FFC7730">
                  <w:pPr>
                    <w:spacing w:line="276" w:lineRule="auto"/>
                    <w:jc w:val="center"/>
                    <w:rPr>
                      <w:sz w:val="21"/>
                      <w:szCs w:val="21"/>
                    </w:rPr>
                  </w:pPr>
                  <w:r>
                    <w:rPr>
                      <w:sz w:val="21"/>
                      <w:szCs w:val="21"/>
                    </w:rPr>
                    <w:t>/</w:t>
                  </w:r>
                </w:p>
              </w:tc>
            </w:tr>
          </w:tbl>
          <w:p w14:paraId="4CC643F5">
            <w:pPr>
              <w:spacing w:line="360" w:lineRule="auto"/>
              <w:ind w:firstLine="480" w:firstLineChars="200"/>
            </w:pPr>
            <w:r>
              <w:rPr>
                <w:rFonts w:hint="eastAsia"/>
              </w:rPr>
              <w:t>安徽集杰汽车零部件制造有限公司于2025年11月</w:t>
            </w:r>
            <w:r>
              <w:t>委托我单位为</w:t>
            </w:r>
            <w:r>
              <w:rPr>
                <w:rFonts w:hint="eastAsia"/>
              </w:rPr>
              <w:t>该</w:t>
            </w:r>
            <w:r>
              <w:t>项目进行环境影响评价。我</w:t>
            </w:r>
            <w:r>
              <w:rPr>
                <w:rFonts w:hint="eastAsia"/>
              </w:rPr>
              <w:t>单位</w:t>
            </w:r>
            <w:r>
              <w:t>接受委托后，立即进行了现场踏勘，认真了解项目所在区域的周边环境情况，收集了有关资料，于同年</w:t>
            </w:r>
            <w:r>
              <w:rPr>
                <w:rFonts w:hint="eastAsia"/>
              </w:rPr>
              <w:t>12月</w:t>
            </w:r>
            <w:r>
              <w:t>编写完成本项目的环境影响报告表，现呈报生态环境主管部门审批。</w:t>
            </w:r>
          </w:p>
          <w:p w14:paraId="6A33305D">
            <w:pPr>
              <w:spacing w:line="360" w:lineRule="auto"/>
              <w:ind w:firstLine="480" w:firstLineChars="200"/>
            </w:pPr>
            <w:r>
              <w:t>（2）项目基本情况</w:t>
            </w:r>
          </w:p>
          <w:p w14:paraId="7889D27F">
            <w:pPr>
              <w:spacing w:line="360" w:lineRule="auto"/>
              <w:ind w:firstLine="480" w:firstLineChars="200"/>
            </w:pPr>
            <w:r>
              <w:t>项目名称：</w:t>
            </w:r>
            <w:r>
              <w:rPr>
                <w:rFonts w:hint="eastAsia"/>
              </w:rPr>
              <w:t>安徽集杰汽车零部件制造有限公司汽车悬挂系统及支臂总成制造基地项目</w:t>
            </w:r>
            <w:r>
              <w:t>；</w:t>
            </w:r>
          </w:p>
          <w:p w14:paraId="244BC672">
            <w:pPr>
              <w:spacing w:line="360" w:lineRule="auto"/>
              <w:ind w:firstLine="480" w:firstLineChars="200"/>
            </w:pPr>
            <w:r>
              <w:t>建设单位：</w:t>
            </w:r>
            <w:r>
              <w:rPr>
                <w:rFonts w:hint="eastAsia"/>
              </w:rPr>
              <w:t>安徽集杰汽车零部件制造有限公司</w:t>
            </w:r>
            <w:r>
              <w:t>；</w:t>
            </w:r>
          </w:p>
          <w:p w14:paraId="7122EDE3">
            <w:pPr>
              <w:spacing w:line="360" w:lineRule="auto"/>
              <w:ind w:firstLine="480" w:firstLineChars="200"/>
            </w:pPr>
            <w:r>
              <w:t>建设性质：新建；</w:t>
            </w:r>
          </w:p>
          <w:p w14:paraId="290EBA68">
            <w:pPr>
              <w:spacing w:line="360" w:lineRule="auto"/>
              <w:ind w:firstLine="480" w:firstLineChars="200"/>
            </w:pPr>
            <w:r>
              <w:t>项目总投资：</w:t>
            </w:r>
            <w:r>
              <w:rPr>
                <w:rFonts w:hint="eastAsia"/>
              </w:rPr>
              <w:t>12000</w:t>
            </w:r>
            <w:r>
              <w:t>万元，其中环保投资约</w:t>
            </w:r>
            <w:r>
              <w:rPr>
                <w:rFonts w:hint="eastAsia"/>
              </w:rPr>
              <w:t>40</w:t>
            </w:r>
            <w:r>
              <w:t>万元</w:t>
            </w:r>
            <w:r>
              <w:rPr>
                <w:rFonts w:hint="eastAsia"/>
              </w:rPr>
              <w:t>；</w:t>
            </w:r>
          </w:p>
          <w:p w14:paraId="5E50FA8D">
            <w:pPr>
              <w:spacing w:line="360" w:lineRule="auto"/>
              <w:ind w:firstLine="480" w:firstLineChars="200"/>
            </w:pPr>
            <w:r>
              <w:t>建设地点：</w:t>
            </w:r>
            <w:r>
              <w:rPr>
                <w:rFonts w:hint="eastAsia"/>
              </w:rPr>
              <w:t>安微省淮南市淮南经济技术开发区东部工业区绿色智造产业园6#厂房（项目区域地块中心地理坐标</w:t>
            </w:r>
            <w:r>
              <w:t>为E：117°5′32.151″，N：32°37′58.796″）</w:t>
            </w:r>
            <w:r>
              <w:rPr>
                <w:rFonts w:hint="eastAsia"/>
              </w:rPr>
              <w:t>。</w:t>
            </w:r>
          </w:p>
          <w:p w14:paraId="11241055">
            <w:pPr>
              <w:spacing w:line="360" w:lineRule="auto"/>
              <w:ind w:firstLine="480" w:firstLineChars="200"/>
              <w:jc w:val="left"/>
              <w:rPr>
                <w:rFonts w:eastAsia="黑体"/>
              </w:rPr>
            </w:pPr>
            <w:r>
              <w:t>项目主要工程内容详见</w:t>
            </w:r>
            <w:r>
              <w:rPr>
                <w:rFonts w:hint="eastAsia"/>
              </w:rPr>
              <w:t>下表。</w:t>
            </w:r>
          </w:p>
          <w:p w14:paraId="7BAF50FB">
            <w:pPr>
              <w:spacing w:line="360" w:lineRule="auto"/>
              <w:jc w:val="center"/>
              <w:rPr>
                <w:rFonts w:eastAsia="黑体"/>
              </w:rPr>
            </w:pPr>
            <w:r>
              <w:rPr>
                <w:rFonts w:eastAsia="黑体"/>
              </w:rPr>
              <w:t>表</w:t>
            </w:r>
            <w:r>
              <w:rPr>
                <w:rFonts w:hint="eastAsia" w:eastAsia="黑体"/>
              </w:rPr>
              <w:t xml:space="preserve">2-2 </w:t>
            </w:r>
            <w:r>
              <w:rPr>
                <w:rFonts w:eastAsia="黑体"/>
              </w:rPr>
              <w:t xml:space="preserve"> 本项目组成及建设内容一览表</w:t>
            </w:r>
          </w:p>
          <w:tbl>
            <w:tblPr>
              <w:tblStyle w:val="7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Layout w:type="fixed"/>
              <w:tblCellMar>
                <w:top w:w="57" w:type="dxa"/>
                <w:left w:w="57" w:type="dxa"/>
                <w:bottom w:w="57" w:type="dxa"/>
                <w:right w:w="57" w:type="dxa"/>
              </w:tblCellMar>
            </w:tblPr>
            <w:tblGrid>
              <w:gridCol w:w="600"/>
              <w:gridCol w:w="850"/>
              <w:gridCol w:w="645"/>
              <w:gridCol w:w="4602"/>
              <w:gridCol w:w="1072"/>
            </w:tblGrid>
            <w:tr w14:paraId="7476E399">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01" w:hRule="atLeast"/>
                <w:jc w:val="center"/>
              </w:trPr>
              <w:tc>
                <w:tcPr>
                  <w:tcW w:w="386" w:type="pct"/>
                  <w:tcBorders>
                    <w:tl2br w:val="nil"/>
                    <w:tr2bl w:val="nil"/>
                  </w:tcBorders>
                  <w:vAlign w:val="center"/>
                </w:tcPr>
                <w:p w14:paraId="23BA4534">
                  <w:pPr>
                    <w:spacing w:line="276" w:lineRule="auto"/>
                    <w:jc w:val="center"/>
                    <w:rPr>
                      <w:rFonts w:hint="default" w:ascii="Times New Roman" w:hAnsi="Times New Roman" w:eastAsia="宋体" w:cs="Times New Roman"/>
                      <w:b/>
                      <w:spacing w:val="-2"/>
                      <w:position w:val="4"/>
                      <w:sz w:val="21"/>
                      <w:szCs w:val="21"/>
                    </w:rPr>
                  </w:pPr>
                  <w:r>
                    <w:rPr>
                      <w:rFonts w:hint="default" w:ascii="Times New Roman" w:hAnsi="Times New Roman" w:eastAsia="宋体" w:cs="Times New Roman"/>
                      <w:b/>
                      <w:spacing w:val="-3"/>
                      <w:position w:val="4"/>
                      <w:sz w:val="21"/>
                      <w:szCs w:val="21"/>
                    </w:rPr>
                    <w:t>工</w:t>
                  </w:r>
                  <w:r>
                    <w:rPr>
                      <w:rFonts w:hint="default" w:ascii="Times New Roman" w:hAnsi="Times New Roman" w:eastAsia="宋体" w:cs="Times New Roman"/>
                      <w:b/>
                      <w:spacing w:val="-2"/>
                      <w:position w:val="4"/>
                      <w:sz w:val="21"/>
                      <w:szCs w:val="21"/>
                    </w:rPr>
                    <w:t>程</w:t>
                  </w:r>
                </w:p>
                <w:p w14:paraId="6C25C921">
                  <w:pPr>
                    <w:spacing w:line="276"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pacing w:val="-2"/>
                      <w:sz w:val="21"/>
                      <w:szCs w:val="21"/>
                    </w:rPr>
                    <w:t>类别</w:t>
                  </w:r>
                </w:p>
              </w:tc>
              <w:tc>
                <w:tcPr>
                  <w:tcW w:w="962" w:type="pct"/>
                  <w:gridSpan w:val="2"/>
                  <w:tcBorders>
                    <w:tl2br w:val="nil"/>
                    <w:tr2bl w:val="nil"/>
                  </w:tcBorders>
                  <w:vAlign w:val="center"/>
                </w:tcPr>
                <w:p w14:paraId="116DFD08">
                  <w:pPr>
                    <w:spacing w:line="276"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pacing w:val="-2"/>
                      <w:sz w:val="21"/>
                      <w:szCs w:val="21"/>
                    </w:rPr>
                    <w:t>工程名</w:t>
                  </w:r>
                  <w:r>
                    <w:rPr>
                      <w:rFonts w:hint="default" w:ascii="Times New Roman" w:hAnsi="Times New Roman" w:eastAsia="宋体" w:cs="Times New Roman"/>
                      <w:b/>
                      <w:spacing w:val="-1"/>
                      <w:sz w:val="21"/>
                      <w:szCs w:val="21"/>
                    </w:rPr>
                    <w:t>称</w:t>
                  </w:r>
                </w:p>
              </w:tc>
              <w:tc>
                <w:tcPr>
                  <w:tcW w:w="2961" w:type="pct"/>
                  <w:tcBorders>
                    <w:tl2br w:val="nil"/>
                    <w:tr2bl w:val="nil"/>
                  </w:tcBorders>
                  <w:vAlign w:val="center"/>
                </w:tcPr>
                <w:p w14:paraId="660B43B6">
                  <w:pPr>
                    <w:spacing w:line="276"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pacing w:val="-2"/>
                      <w:sz w:val="21"/>
                      <w:szCs w:val="21"/>
                    </w:rPr>
                    <w:t>工程</w:t>
                  </w:r>
                  <w:r>
                    <w:rPr>
                      <w:rFonts w:hint="default" w:ascii="Times New Roman" w:hAnsi="Times New Roman" w:eastAsia="宋体" w:cs="Times New Roman"/>
                      <w:b/>
                      <w:spacing w:val="-1"/>
                      <w:sz w:val="21"/>
                      <w:szCs w:val="21"/>
                    </w:rPr>
                    <w:t>内容</w:t>
                  </w:r>
                </w:p>
              </w:tc>
              <w:tc>
                <w:tcPr>
                  <w:tcW w:w="689" w:type="pct"/>
                  <w:tcBorders>
                    <w:tl2br w:val="nil"/>
                    <w:tr2bl w:val="nil"/>
                  </w:tcBorders>
                  <w:vAlign w:val="center"/>
                </w:tcPr>
                <w:p w14:paraId="16BDD3E1">
                  <w:pPr>
                    <w:spacing w:line="276" w:lineRule="auto"/>
                    <w:jc w:val="center"/>
                    <w:rPr>
                      <w:rFonts w:hint="default" w:ascii="Times New Roman" w:hAnsi="Times New Roman" w:eastAsia="宋体" w:cs="Times New Roman"/>
                      <w:b/>
                      <w:spacing w:val="-2"/>
                      <w:sz w:val="21"/>
                      <w:szCs w:val="21"/>
                    </w:rPr>
                  </w:pPr>
                  <w:r>
                    <w:rPr>
                      <w:rFonts w:hint="default" w:ascii="Times New Roman" w:hAnsi="Times New Roman" w:eastAsia="宋体" w:cs="Times New Roman"/>
                      <w:b/>
                      <w:spacing w:val="-2"/>
                      <w:sz w:val="21"/>
                      <w:szCs w:val="21"/>
                    </w:rPr>
                    <w:t>工程规模</w:t>
                  </w:r>
                </w:p>
              </w:tc>
            </w:tr>
            <w:tr w14:paraId="05A18BD7">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restart"/>
                  <w:tcBorders>
                    <w:tl2br w:val="nil"/>
                    <w:tr2bl w:val="nil"/>
                  </w:tcBorders>
                  <w:vAlign w:val="center"/>
                </w:tcPr>
                <w:p w14:paraId="10D315CF">
                  <w:pPr>
                    <w:spacing w:line="276" w:lineRule="auto"/>
                    <w:jc w:val="center"/>
                    <w:rPr>
                      <w:rFonts w:hint="default" w:ascii="Times New Roman" w:hAnsi="Times New Roman" w:eastAsia="宋体" w:cs="Times New Roman"/>
                      <w:spacing w:val="-2"/>
                      <w:position w:val="4"/>
                      <w:sz w:val="21"/>
                      <w:szCs w:val="21"/>
                    </w:rPr>
                  </w:pPr>
                  <w:r>
                    <w:rPr>
                      <w:rFonts w:hint="default" w:ascii="Times New Roman" w:hAnsi="Times New Roman" w:eastAsia="宋体" w:cs="Times New Roman"/>
                      <w:spacing w:val="-3"/>
                      <w:position w:val="4"/>
                      <w:sz w:val="21"/>
                      <w:szCs w:val="21"/>
                    </w:rPr>
                    <w:t>主</w:t>
                  </w:r>
                  <w:r>
                    <w:rPr>
                      <w:rFonts w:hint="default" w:ascii="Times New Roman" w:hAnsi="Times New Roman" w:eastAsia="宋体" w:cs="Times New Roman"/>
                      <w:spacing w:val="-2"/>
                      <w:position w:val="4"/>
                      <w:sz w:val="21"/>
                      <w:szCs w:val="21"/>
                    </w:rPr>
                    <w:t>体</w:t>
                  </w:r>
                </w:p>
                <w:p w14:paraId="6A022F6E">
                  <w:pPr>
                    <w:spacing w:line="276"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pacing w:val="-3"/>
                      <w:sz w:val="21"/>
                      <w:szCs w:val="21"/>
                    </w:rPr>
                    <w:t>工</w:t>
                  </w:r>
                  <w:r>
                    <w:rPr>
                      <w:rFonts w:hint="default" w:ascii="Times New Roman" w:hAnsi="Times New Roman" w:eastAsia="宋体" w:cs="Times New Roman"/>
                      <w:spacing w:val="-2"/>
                      <w:sz w:val="21"/>
                      <w:szCs w:val="21"/>
                    </w:rPr>
                    <w:t>程</w:t>
                  </w:r>
                </w:p>
              </w:tc>
              <w:tc>
                <w:tcPr>
                  <w:tcW w:w="547" w:type="pct"/>
                  <w:vMerge w:val="restart"/>
                  <w:tcBorders>
                    <w:tl2br w:val="nil"/>
                    <w:tr2bl w:val="nil"/>
                  </w:tcBorders>
                  <w:vAlign w:val="center"/>
                </w:tcPr>
                <w:p w14:paraId="54AF95BE">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6#厂房</w:t>
                  </w:r>
                  <w:r>
                    <w:rPr>
                      <w:rFonts w:hint="default" w:ascii="Times New Roman" w:hAnsi="Times New Roman" w:eastAsia="宋体" w:cs="Times New Roman"/>
                      <w:color w:val="auto"/>
                      <w:sz w:val="21"/>
                      <w:szCs w:val="21"/>
                    </w:rPr>
                    <w:t>1F（钢构，高5m）</w:t>
                  </w:r>
                </w:p>
              </w:tc>
              <w:tc>
                <w:tcPr>
                  <w:tcW w:w="415" w:type="pct"/>
                  <w:tcBorders>
                    <w:tl2br w:val="nil"/>
                    <w:tr2bl w:val="nil"/>
                  </w:tcBorders>
                  <w:vAlign w:val="center"/>
                </w:tcPr>
                <w:p w14:paraId="4E4ED635">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切割区</w:t>
                  </w:r>
                </w:p>
              </w:tc>
              <w:tc>
                <w:tcPr>
                  <w:tcW w:w="2961" w:type="pct"/>
                  <w:tcBorders>
                    <w:tl2br w:val="nil"/>
                    <w:tr2bl w:val="nil"/>
                  </w:tcBorders>
                  <w:vAlign w:val="center"/>
                </w:tcPr>
                <w:p w14:paraId="0F2D292A">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位于厂区西南部，占地面积约466m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，设置光纤激光切割机、裁板机、退火机，主要用于控制臂总成生产线原材料切割</w:t>
                  </w:r>
                </w:p>
              </w:tc>
              <w:tc>
                <w:tcPr>
                  <w:tcW w:w="689" w:type="pct"/>
                  <w:vMerge w:val="restart"/>
                  <w:tcBorders>
                    <w:tl2br w:val="nil"/>
                    <w:tr2bl w:val="nil"/>
                  </w:tcBorders>
                  <w:vAlign w:val="center"/>
                </w:tcPr>
                <w:p w14:paraId="59DB7120">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年产100万只控制臂总成</w:t>
                  </w:r>
                </w:p>
              </w:tc>
            </w:tr>
            <w:tr w14:paraId="1F737C4C">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0135A7B9">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0EC0DFBB">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1DB75242">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冲压区</w:t>
                  </w:r>
                </w:p>
              </w:tc>
              <w:tc>
                <w:tcPr>
                  <w:tcW w:w="2961" w:type="pct"/>
                  <w:tcBorders>
                    <w:tl2br w:val="nil"/>
                    <w:tr2bl w:val="nil"/>
                  </w:tcBorders>
                  <w:vAlign w:val="center"/>
                </w:tcPr>
                <w:p w14:paraId="32BD47D5">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位于厂区东南部，占地面积约1028m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，设置单柱液压机、气动冲床、四工位伺服换模成型机、单头液压弯管机、单柱液压机、切管机，主要用于控制臂总成零部件冲压、成型</w:t>
                  </w:r>
                </w:p>
              </w:tc>
              <w:tc>
                <w:tcPr>
                  <w:tcW w:w="689" w:type="pct"/>
                  <w:vMerge w:val="continue"/>
                  <w:tcBorders>
                    <w:tl2br w:val="nil"/>
                    <w:tr2bl w:val="nil"/>
                  </w:tcBorders>
                  <w:vAlign w:val="center"/>
                </w:tcPr>
                <w:p w14:paraId="66350C5E">
                  <w:pPr>
                    <w:spacing w:line="276" w:lineRule="auto"/>
                    <w:jc w:val="center"/>
                    <w:rPr>
                      <w:rFonts w:hint="default" w:ascii="Times New Roman" w:hAnsi="Times New Roman" w:eastAsia="宋体" w:cs="Times New Roman"/>
                      <w:sz w:val="21"/>
                      <w:szCs w:val="21"/>
                    </w:rPr>
                  </w:pPr>
                </w:p>
              </w:tc>
            </w:tr>
            <w:tr w14:paraId="772F0DF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4B2956E7">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27A0A922">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39DDBE09">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焊接区</w:t>
                  </w:r>
                </w:p>
              </w:tc>
              <w:tc>
                <w:tcPr>
                  <w:tcW w:w="2961" w:type="pct"/>
                  <w:tcBorders>
                    <w:tl2br w:val="nil"/>
                    <w:tr2bl w:val="nil"/>
                  </w:tcBorders>
                  <w:vAlign w:val="center"/>
                </w:tcPr>
                <w:p w14:paraId="464262F5">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位于厂区东侧中部区域，占地面积约1680m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，设置松下工业机器人、点焊机、金清单柱液压机、电动攻丝机，主要用于控制臂总成零部件焊接</w:t>
                  </w:r>
                </w:p>
              </w:tc>
              <w:tc>
                <w:tcPr>
                  <w:tcW w:w="689" w:type="pct"/>
                  <w:vMerge w:val="continue"/>
                  <w:tcBorders>
                    <w:tl2br w:val="nil"/>
                    <w:tr2bl w:val="nil"/>
                  </w:tcBorders>
                  <w:vAlign w:val="center"/>
                </w:tcPr>
                <w:p w14:paraId="6127C7ED">
                  <w:pPr>
                    <w:spacing w:line="276" w:lineRule="auto"/>
                    <w:jc w:val="center"/>
                    <w:rPr>
                      <w:rFonts w:hint="default" w:ascii="Times New Roman" w:hAnsi="Times New Roman" w:eastAsia="宋体" w:cs="Times New Roman"/>
                      <w:sz w:val="21"/>
                      <w:szCs w:val="21"/>
                    </w:rPr>
                  </w:pPr>
                </w:p>
              </w:tc>
            </w:tr>
            <w:tr w14:paraId="04EA1B15">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67C7352C">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38A385D0">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1563C38E">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抛丸区</w:t>
                  </w:r>
                </w:p>
              </w:tc>
              <w:tc>
                <w:tcPr>
                  <w:tcW w:w="2961" w:type="pct"/>
                  <w:tcBorders>
                    <w:tl2br w:val="nil"/>
                    <w:tr2bl w:val="nil"/>
                  </w:tcBorders>
                  <w:vAlign w:val="center"/>
                </w:tcPr>
                <w:p w14:paraId="1975EEC0">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位于厂区东侧中部，焊接区和涂胶区中间区域，占地面积约112m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，设置自动抛边机、振光机，主要用于衬套零部件打磨</w:t>
                  </w:r>
                </w:p>
              </w:tc>
              <w:tc>
                <w:tcPr>
                  <w:tcW w:w="689" w:type="pct"/>
                  <w:vMerge w:val="restart"/>
                  <w:tcBorders>
                    <w:tl2br w:val="nil"/>
                    <w:tr2bl w:val="nil"/>
                  </w:tcBorders>
                  <w:vAlign w:val="center"/>
                </w:tcPr>
                <w:p w14:paraId="6032C6D9">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年产300万只衬套</w:t>
                  </w:r>
                </w:p>
              </w:tc>
            </w:tr>
            <w:tr w14:paraId="60546D53">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262E2F39">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57C518B5">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69796CC1">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清洗区</w:t>
                  </w:r>
                </w:p>
              </w:tc>
              <w:tc>
                <w:tcPr>
                  <w:tcW w:w="2961" w:type="pct"/>
                  <w:tcBorders>
                    <w:tl2br w:val="nil"/>
                    <w:tr2bl w:val="nil"/>
                  </w:tcBorders>
                  <w:vAlign w:val="center"/>
                </w:tcPr>
                <w:p w14:paraId="79A7EC99">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位于厂区东侧中部，焊接区和涂胶区中间区域，占地面积约113m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，设置超声波清洗机，主要用于衬套零部件清洗</w:t>
                  </w:r>
                </w:p>
              </w:tc>
              <w:tc>
                <w:tcPr>
                  <w:tcW w:w="689" w:type="pct"/>
                  <w:vMerge w:val="continue"/>
                  <w:tcBorders>
                    <w:tl2br w:val="nil"/>
                    <w:tr2bl w:val="nil"/>
                  </w:tcBorders>
                  <w:vAlign w:val="center"/>
                </w:tcPr>
                <w:p w14:paraId="0ACF15CE">
                  <w:pPr>
                    <w:spacing w:line="276" w:lineRule="auto"/>
                    <w:jc w:val="center"/>
                    <w:rPr>
                      <w:rFonts w:hint="default" w:ascii="Times New Roman" w:hAnsi="Times New Roman" w:eastAsia="宋体" w:cs="Times New Roman"/>
                      <w:sz w:val="21"/>
                      <w:szCs w:val="21"/>
                    </w:rPr>
                  </w:pPr>
                </w:p>
              </w:tc>
            </w:tr>
            <w:tr w14:paraId="5AA8B1F4">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610D81ED">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32EB71ED">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1C794018">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涂胶区</w:t>
                  </w:r>
                </w:p>
              </w:tc>
              <w:tc>
                <w:tcPr>
                  <w:tcW w:w="2961" w:type="pct"/>
                  <w:tcBorders>
                    <w:tl2br w:val="nil"/>
                    <w:tr2bl w:val="nil"/>
                  </w:tcBorders>
                  <w:vAlign w:val="center"/>
                </w:tcPr>
                <w:p w14:paraId="5FD70D11">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位于厂区东北部，占地面积约385m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，设置涂胶机（芯子涂胶）、涂胶机（外管涂黑胶）、涂胶机（外管涂灰胶），主要用于控制臂总成零部件涂胶</w:t>
                  </w:r>
                </w:p>
              </w:tc>
              <w:tc>
                <w:tcPr>
                  <w:tcW w:w="689" w:type="pct"/>
                  <w:vMerge w:val="continue"/>
                  <w:tcBorders>
                    <w:tl2br w:val="nil"/>
                    <w:tr2bl w:val="nil"/>
                  </w:tcBorders>
                  <w:vAlign w:val="center"/>
                </w:tcPr>
                <w:p w14:paraId="65791480">
                  <w:pPr>
                    <w:spacing w:line="276" w:lineRule="auto"/>
                    <w:jc w:val="center"/>
                    <w:rPr>
                      <w:rFonts w:hint="default" w:ascii="Times New Roman" w:hAnsi="Times New Roman" w:eastAsia="宋体" w:cs="Times New Roman"/>
                      <w:sz w:val="21"/>
                      <w:szCs w:val="21"/>
                    </w:rPr>
                  </w:pPr>
                </w:p>
              </w:tc>
            </w:tr>
            <w:tr w14:paraId="07F27DB4">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6B6E23C5">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11460610">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02F71C36">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硫化注胶区</w:t>
                  </w:r>
                </w:p>
              </w:tc>
              <w:tc>
                <w:tcPr>
                  <w:tcW w:w="2961" w:type="pct"/>
                  <w:tcBorders>
                    <w:tl2br w:val="nil"/>
                    <w:tr2bl w:val="nil"/>
                  </w:tcBorders>
                  <w:vAlign w:val="center"/>
                </w:tcPr>
                <w:p w14:paraId="5B6DA047">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位于厂区东北部，占地面积约602m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，设置硫化立式注射机、硫化卧式注射机、硫化立式注压机、硫化平板机，主要用天然橡胶熔化，后对控制臂总成零部件进行注胶</w:t>
                  </w:r>
                </w:p>
              </w:tc>
              <w:tc>
                <w:tcPr>
                  <w:tcW w:w="689" w:type="pct"/>
                  <w:vMerge w:val="continue"/>
                  <w:tcBorders>
                    <w:tl2br w:val="nil"/>
                    <w:tr2bl w:val="nil"/>
                  </w:tcBorders>
                  <w:vAlign w:val="center"/>
                </w:tcPr>
                <w:p w14:paraId="683E89DF">
                  <w:pPr>
                    <w:spacing w:line="276" w:lineRule="auto"/>
                    <w:jc w:val="center"/>
                    <w:rPr>
                      <w:rFonts w:hint="default" w:ascii="Times New Roman" w:hAnsi="Times New Roman" w:eastAsia="宋体" w:cs="Times New Roman"/>
                      <w:sz w:val="21"/>
                      <w:szCs w:val="21"/>
                    </w:rPr>
                  </w:pPr>
                </w:p>
              </w:tc>
            </w:tr>
            <w:tr w14:paraId="1E6D6FDC">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4FC38A57">
                  <w:pPr>
                    <w:spacing w:line="276" w:lineRule="auto"/>
                    <w:jc w:val="center"/>
                    <w:rPr>
                      <w:rFonts w:hint="default" w:ascii="Times New Roman" w:hAnsi="Times New Roman" w:eastAsia="宋体" w:cs="Times New Roman"/>
                      <w:sz w:val="21"/>
                      <w:szCs w:val="21"/>
                    </w:rPr>
                  </w:pPr>
                </w:p>
              </w:tc>
              <w:tc>
                <w:tcPr>
                  <w:tcW w:w="547" w:type="pct"/>
                  <w:vMerge w:val="continue"/>
                  <w:tcBorders>
                    <w:tl2br w:val="nil"/>
                    <w:tr2bl w:val="nil"/>
                  </w:tcBorders>
                  <w:vAlign w:val="center"/>
                </w:tcPr>
                <w:p w14:paraId="4CD9D60D">
                  <w:pPr>
                    <w:spacing w:line="276" w:lineRule="auto"/>
                    <w:jc w:val="center"/>
                    <w:rPr>
                      <w:rFonts w:hint="default" w:ascii="Times New Roman" w:hAnsi="Times New Roman" w:eastAsia="宋体" w:cs="Times New Roman"/>
                      <w:sz w:val="21"/>
                      <w:szCs w:val="21"/>
                    </w:rPr>
                  </w:pPr>
                </w:p>
              </w:tc>
              <w:tc>
                <w:tcPr>
                  <w:tcW w:w="415" w:type="pct"/>
                  <w:tcBorders>
                    <w:tl2br w:val="nil"/>
                    <w:tr2bl w:val="nil"/>
                  </w:tcBorders>
                  <w:vAlign w:val="center"/>
                </w:tcPr>
                <w:p w14:paraId="414EC5BC">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抛边区</w:t>
                  </w:r>
                </w:p>
              </w:tc>
              <w:tc>
                <w:tcPr>
                  <w:tcW w:w="2961" w:type="pct"/>
                  <w:tcBorders>
                    <w:tl2br w:val="nil"/>
                    <w:tr2bl w:val="nil"/>
                  </w:tcBorders>
                  <w:vAlign w:val="center"/>
                </w:tcPr>
                <w:p w14:paraId="483B4572">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位于厂区西北部，占地面积约234m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，设置自动抛边机、自动扣管机，主要用于衬套产品修边及锁紧</w:t>
                  </w:r>
                </w:p>
              </w:tc>
              <w:tc>
                <w:tcPr>
                  <w:tcW w:w="689" w:type="pct"/>
                  <w:vMerge w:val="continue"/>
                  <w:tcBorders>
                    <w:tl2br w:val="nil"/>
                    <w:tr2bl w:val="nil"/>
                  </w:tcBorders>
                  <w:vAlign w:val="center"/>
                </w:tcPr>
                <w:p w14:paraId="58048F1A">
                  <w:pPr>
                    <w:spacing w:line="276" w:lineRule="auto"/>
                    <w:jc w:val="center"/>
                    <w:rPr>
                      <w:rFonts w:hint="default" w:ascii="Times New Roman" w:hAnsi="Times New Roman" w:eastAsia="宋体" w:cs="Times New Roman"/>
                      <w:sz w:val="21"/>
                      <w:szCs w:val="21"/>
                    </w:rPr>
                  </w:pPr>
                </w:p>
              </w:tc>
            </w:tr>
            <w:tr w14:paraId="612EAEE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683" w:hRule="atLeast"/>
                <w:jc w:val="center"/>
              </w:trPr>
              <w:tc>
                <w:tcPr>
                  <w:tcW w:w="386" w:type="pct"/>
                  <w:vMerge w:val="continue"/>
                  <w:tcBorders>
                    <w:tl2br w:val="nil"/>
                    <w:tr2bl w:val="nil"/>
                  </w:tcBorders>
                  <w:vAlign w:val="center"/>
                </w:tcPr>
                <w:p w14:paraId="0CBEE174">
                  <w:pPr>
                    <w:spacing w:line="276" w:lineRule="auto"/>
                    <w:jc w:val="center"/>
                    <w:rPr>
                      <w:rFonts w:hint="default" w:ascii="Times New Roman" w:hAnsi="Times New Roman" w:eastAsia="宋体" w:cs="Times New Roman"/>
                      <w:sz w:val="21"/>
                      <w:szCs w:val="21"/>
                    </w:rPr>
                  </w:pPr>
                </w:p>
              </w:tc>
              <w:tc>
                <w:tcPr>
                  <w:tcW w:w="547" w:type="pct"/>
                  <w:tcBorders>
                    <w:tl2br w:val="nil"/>
                    <w:tr2bl w:val="nil"/>
                  </w:tcBorders>
                  <w:vAlign w:val="center"/>
                </w:tcPr>
                <w:p w14:paraId="04E13162">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6#厂房</w:t>
                  </w:r>
                  <w:r>
                    <w:rPr>
                      <w:rFonts w:hint="eastAsia" w:cs="Times New Roman"/>
                      <w:sz w:val="21"/>
                      <w:szCs w:val="21"/>
                      <w:lang w:val="en-US" w:eastAsia="zh-CN"/>
                    </w:rPr>
                    <w:t>2</w:t>
                  </w:r>
                  <w:r>
                    <w:rPr>
                      <w:rFonts w:hint="default" w:ascii="Times New Roman" w:hAnsi="Times New Roman" w:eastAsia="宋体" w:cs="Times New Roman"/>
                      <w:sz w:val="21"/>
                      <w:szCs w:val="21"/>
                    </w:rPr>
                    <w:t>F（钢构，高</w:t>
                  </w:r>
                  <w:r>
                    <w:rPr>
                      <w:rFonts w:hint="eastAsia" w:cs="Times New Roman"/>
                      <w:sz w:val="21"/>
                      <w:szCs w:val="21"/>
                      <w:lang w:val="en-US" w:eastAsia="zh-CN"/>
                    </w:rPr>
                    <w:t>7.1</w:t>
                  </w:r>
                  <w:r>
                    <w:rPr>
                      <w:rFonts w:hint="default" w:ascii="Times New Roman" w:hAnsi="Times New Roman" w:eastAsia="宋体" w:cs="Times New Roman"/>
                      <w:sz w:val="21"/>
                      <w:szCs w:val="21"/>
                    </w:rPr>
                    <w:t>m）</w:t>
                  </w:r>
                </w:p>
              </w:tc>
              <w:tc>
                <w:tcPr>
                  <w:tcW w:w="415" w:type="pct"/>
                  <w:tcBorders>
                    <w:tl2br w:val="nil"/>
                    <w:tr2bl w:val="nil"/>
                  </w:tcBorders>
                  <w:vAlign w:val="center"/>
                </w:tcPr>
                <w:p w14:paraId="0B539E25">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装配区</w:t>
                  </w:r>
                </w:p>
              </w:tc>
              <w:tc>
                <w:tcPr>
                  <w:tcW w:w="2961" w:type="pct"/>
                  <w:tcBorders>
                    <w:tl2br w:val="nil"/>
                    <w:tr2bl w:val="nil"/>
                  </w:tcBorders>
                  <w:vAlign w:val="center"/>
                </w:tcPr>
                <w:p w14:paraId="326E42BF">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位于厂区东南部，占地面积约1428m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，设置金清单柱液压机、英田单柱液压机、英田液压旋铆机、英田球头装配机、英田卡簧机、小兵液压机、装配流水线，主要用于衬套和控制臂总成装配</w:t>
                  </w:r>
                </w:p>
              </w:tc>
              <w:tc>
                <w:tcPr>
                  <w:tcW w:w="689" w:type="pct"/>
                  <w:tcBorders>
                    <w:tl2br w:val="nil"/>
                    <w:tr2bl w:val="nil"/>
                  </w:tcBorders>
                  <w:vAlign w:val="center"/>
                </w:tcPr>
                <w:p w14:paraId="28EF36A3">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29DB4BE">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restart"/>
                  <w:tcBorders>
                    <w:tl2br w:val="nil"/>
                    <w:tr2bl w:val="nil"/>
                  </w:tcBorders>
                  <w:vAlign w:val="center"/>
                </w:tcPr>
                <w:p w14:paraId="293736A5">
                  <w:pPr>
                    <w:spacing w:line="276" w:lineRule="auto"/>
                    <w:jc w:val="center"/>
                    <w:rPr>
                      <w:rFonts w:hint="default" w:ascii="Times New Roman" w:hAnsi="Times New Roman" w:eastAsia="宋体" w:cs="Times New Roman"/>
                      <w:spacing w:val="-2"/>
                      <w:position w:val="4"/>
                      <w:sz w:val="21"/>
                      <w:szCs w:val="21"/>
                    </w:rPr>
                  </w:pPr>
                  <w:r>
                    <w:rPr>
                      <w:rFonts w:hint="default" w:ascii="Times New Roman" w:hAnsi="Times New Roman" w:eastAsia="宋体" w:cs="Times New Roman"/>
                      <w:spacing w:val="-2"/>
                      <w:position w:val="4"/>
                      <w:sz w:val="21"/>
                      <w:szCs w:val="21"/>
                    </w:rPr>
                    <w:t>储运</w:t>
                  </w:r>
                </w:p>
                <w:p w14:paraId="603737B5">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工</w:t>
                  </w:r>
                  <w:r>
                    <w:rPr>
                      <w:rFonts w:hint="default" w:ascii="Times New Roman" w:hAnsi="Times New Roman" w:eastAsia="宋体" w:cs="Times New Roman"/>
                      <w:spacing w:val="-2"/>
                      <w:sz w:val="21"/>
                      <w:szCs w:val="21"/>
                    </w:rPr>
                    <w:t>程</w:t>
                  </w:r>
                </w:p>
              </w:tc>
              <w:tc>
                <w:tcPr>
                  <w:tcW w:w="962" w:type="pct"/>
                  <w:gridSpan w:val="2"/>
                  <w:tcBorders>
                    <w:tl2br w:val="nil"/>
                    <w:tr2bl w:val="nil"/>
                  </w:tcBorders>
                  <w:vAlign w:val="center"/>
                </w:tcPr>
                <w:p w14:paraId="2E3C7C4C">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原料区</w:t>
                  </w:r>
                </w:p>
              </w:tc>
              <w:tc>
                <w:tcPr>
                  <w:tcW w:w="3651" w:type="pct"/>
                  <w:gridSpan w:val="2"/>
                  <w:tcBorders>
                    <w:tl2br w:val="nil"/>
                    <w:tr2bl w:val="nil"/>
                  </w:tcBorders>
                  <w:vAlign w:val="center"/>
                </w:tcPr>
                <w:p w14:paraId="0017D521">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z w:val="21"/>
                      <w:szCs w:val="21"/>
                    </w:rPr>
                    <w:t>位于6#厂房1F西南部，占地面积约410m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，用于项目原料堆放</w:t>
                  </w:r>
                </w:p>
              </w:tc>
            </w:tr>
            <w:tr w14:paraId="30F67E6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continue"/>
                  <w:tcBorders>
                    <w:tl2br w:val="nil"/>
                    <w:tr2bl w:val="nil"/>
                  </w:tcBorders>
                  <w:vAlign w:val="center"/>
                </w:tcPr>
                <w:p w14:paraId="786F85E4">
                  <w:pPr>
                    <w:spacing w:line="276" w:lineRule="auto"/>
                    <w:jc w:val="center"/>
                    <w:rPr>
                      <w:rFonts w:hint="default" w:ascii="Times New Roman" w:hAnsi="Times New Roman" w:eastAsia="宋体" w:cs="Times New Roman"/>
                      <w:spacing w:val="-3"/>
                      <w:sz w:val="21"/>
                      <w:szCs w:val="21"/>
                      <w:highlight w:val="yellow"/>
                    </w:rPr>
                  </w:pPr>
                </w:p>
              </w:tc>
              <w:tc>
                <w:tcPr>
                  <w:tcW w:w="962" w:type="pct"/>
                  <w:gridSpan w:val="2"/>
                  <w:tcBorders>
                    <w:tl2br w:val="nil"/>
                    <w:tr2bl w:val="nil"/>
                  </w:tcBorders>
                  <w:vAlign w:val="center"/>
                </w:tcPr>
                <w:p w14:paraId="1084E531">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冲压模具库区</w:t>
                  </w:r>
                </w:p>
              </w:tc>
              <w:tc>
                <w:tcPr>
                  <w:tcW w:w="3651" w:type="pct"/>
                  <w:gridSpan w:val="2"/>
                  <w:tcBorders>
                    <w:tl2br w:val="nil"/>
                    <w:tr2bl w:val="nil"/>
                  </w:tcBorders>
                  <w:vAlign w:val="center"/>
                </w:tcPr>
                <w:p w14:paraId="37D1445F">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位于6#厂房1F西侧中部区域，占地面积约1072m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，用于冲压后零部件堆放</w:t>
                  </w:r>
                </w:p>
              </w:tc>
            </w:tr>
            <w:tr w14:paraId="169FD6DF">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continue"/>
                  <w:tcBorders>
                    <w:tl2br w:val="nil"/>
                    <w:tr2bl w:val="nil"/>
                  </w:tcBorders>
                  <w:vAlign w:val="center"/>
                </w:tcPr>
                <w:p w14:paraId="67F89DF0">
                  <w:pPr>
                    <w:spacing w:line="276" w:lineRule="auto"/>
                    <w:jc w:val="center"/>
                    <w:rPr>
                      <w:rFonts w:hint="default" w:ascii="Times New Roman" w:hAnsi="Times New Roman" w:eastAsia="宋体" w:cs="Times New Roman"/>
                      <w:spacing w:val="-3"/>
                      <w:sz w:val="21"/>
                      <w:szCs w:val="21"/>
                      <w:highlight w:val="yellow"/>
                    </w:rPr>
                  </w:pPr>
                </w:p>
              </w:tc>
              <w:tc>
                <w:tcPr>
                  <w:tcW w:w="962" w:type="pct"/>
                  <w:gridSpan w:val="2"/>
                  <w:tcBorders>
                    <w:tl2br w:val="nil"/>
                    <w:tr2bl w:val="nil"/>
                  </w:tcBorders>
                  <w:vAlign w:val="center"/>
                </w:tcPr>
                <w:p w14:paraId="6A5FE5D4">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焊接配件堆放区</w:t>
                  </w:r>
                </w:p>
              </w:tc>
              <w:tc>
                <w:tcPr>
                  <w:tcW w:w="3651" w:type="pct"/>
                  <w:gridSpan w:val="2"/>
                  <w:tcBorders>
                    <w:tl2br w:val="nil"/>
                    <w:tr2bl w:val="nil"/>
                  </w:tcBorders>
                  <w:vAlign w:val="center"/>
                </w:tcPr>
                <w:p w14:paraId="674A4A8A">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位于6#厂房1F西侧中部区域，占地面积约1400m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，用于外购零部件堆放</w:t>
                  </w:r>
                </w:p>
              </w:tc>
            </w:tr>
            <w:tr w14:paraId="1D52912F">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continue"/>
                  <w:tcBorders>
                    <w:tl2br w:val="nil"/>
                    <w:tr2bl w:val="nil"/>
                  </w:tcBorders>
                  <w:vAlign w:val="center"/>
                </w:tcPr>
                <w:p w14:paraId="44B46570">
                  <w:pPr>
                    <w:spacing w:line="276" w:lineRule="auto"/>
                    <w:jc w:val="center"/>
                    <w:rPr>
                      <w:rFonts w:hint="default" w:ascii="Times New Roman" w:hAnsi="Times New Roman" w:eastAsia="宋体" w:cs="Times New Roman"/>
                      <w:spacing w:val="-3"/>
                      <w:sz w:val="21"/>
                      <w:szCs w:val="21"/>
                      <w:highlight w:val="yellow"/>
                    </w:rPr>
                  </w:pPr>
                </w:p>
              </w:tc>
              <w:tc>
                <w:tcPr>
                  <w:tcW w:w="962" w:type="pct"/>
                  <w:gridSpan w:val="2"/>
                  <w:tcBorders>
                    <w:tl2br w:val="nil"/>
                    <w:tr2bl w:val="nil"/>
                  </w:tcBorders>
                  <w:vAlign w:val="center"/>
                </w:tcPr>
                <w:p w14:paraId="221FA00C">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硫化配件区</w:t>
                  </w:r>
                </w:p>
              </w:tc>
              <w:tc>
                <w:tcPr>
                  <w:tcW w:w="3651" w:type="pct"/>
                  <w:gridSpan w:val="2"/>
                  <w:tcBorders>
                    <w:tl2br w:val="nil"/>
                    <w:tr2bl w:val="nil"/>
                  </w:tcBorders>
                  <w:vAlign w:val="center"/>
                </w:tcPr>
                <w:p w14:paraId="6ED4FE8E">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位于6#厂房1F西北部，占地面积约1200m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，用于硫化后半成品堆放及天然橡胶等堆放</w:t>
                  </w:r>
                </w:p>
              </w:tc>
            </w:tr>
            <w:tr w14:paraId="65ADB22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continue"/>
                  <w:tcBorders>
                    <w:tl2br w:val="nil"/>
                    <w:tr2bl w:val="nil"/>
                  </w:tcBorders>
                  <w:vAlign w:val="center"/>
                </w:tcPr>
                <w:p w14:paraId="35C10EE8">
                  <w:pPr>
                    <w:spacing w:line="276" w:lineRule="auto"/>
                    <w:jc w:val="center"/>
                    <w:rPr>
                      <w:rFonts w:hint="default" w:ascii="Times New Roman" w:hAnsi="Times New Roman" w:eastAsia="宋体" w:cs="Times New Roman"/>
                      <w:spacing w:val="-3"/>
                      <w:sz w:val="21"/>
                      <w:szCs w:val="21"/>
                      <w:highlight w:val="yellow"/>
                    </w:rPr>
                  </w:pPr>
                </w:p>
              </w:tc>
              <w:tc>
                <w:tcPr>
                  <w:tcW w:w="962" w:type="pct"/>
                  <w:gridSpan w:val="2"/>
                  <w:tcBorders>
                    <w:tl2br w:val="nil"/>
                    <w:tr2bl w:val="nil"/>
                  </w:tcBorders>
                  <w:vAlign w:val="center"/>
                </w:tcPr>
                <w:p w14:paraId="68BE29D6">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配件区</w:t>
                  </w:r>
                </w:p>
              </w:tc>
              <w:tc>
                <w:tcPr>
                  <w:tcW w:w="3651" w:type="pct"/>
                  <w:gridSpan w:val="2"/>
                  <w:tcBorders>
                    <w:tl2br w:val="nil"/>
                    <w:tr2bl w:val="nil"/>
                  </w:tcBorders>
                  <w:vAlign w:val="center"/>
                </w:tcPr>
                <w:p w14:paraId="3002764A">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w:t>
                  </w:r>
                  <w:r>
                    <w:rPr>
                      <w:rFonts w:hint="eastAsia" w:cs="Times New Roman"/>
                      <w:sz w:val="21"/>
                      <w:szCs w:val="21"/>
                      <w:lang w:val="en-US" w:eastAsia="zh-CN"/>
                    </w:rPr>
                    <w:t>2</w:t>
                  </w:r>
                  <w:r>
                    <w:rPr>
                      <w:rFonts w:hint="default" w:ascii="Times New Roman" w:hAnsi="Times New Roman" w:eastAsia="宋体" w:cs="Times New Roman"/>
                      <w:sz w:val="21"/>
                      <w:szCs w:val="21"/>
                    </w:rPr>
                    <w:t>F西南部，占地面积约2139m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，用于衬套成品和控制臂总成成品堆放</w:t>
                  </w:r>
                </w:p>
              </w:tc>
            </w:tr>
            <w:tr w14:paraId="50717B12">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561" w:hRule="atLeast"/>
                <w:jc w:val="center"/>
              </w:trPr>
              <w:tc>
                <w:tcPr>
                  <w:tcW w:w="386" w:type="pct"/>
                  <w:vMerge w:val="continue"/>
                  <w:tcBorders>
                    <w:tl2br w:val="nil"/>
                    <w:tr2bl w:val="nil"/>
                  </w:tcBorders>
                  <w:vAlign w:val="center"/>
                </w:tcPr>
                <w:p w14:paraId="77333025">
                  <w:pPr>
                    <w:spacing w:line="276" w:lineRule="auto"/>
                    <w:jc w:val="center"/>
                    <w:rPr>
                      <w:rFonts w:hint="default" w:ascii="Times New Roman" w:hAnsi="Times New Roman" w:eastAsia="宋体" w:cs="Times New Roman"/>
                      <w:spacing w:val="-3"/>
                      <w:sz w:val="21"/>
                      <w:szCs w:val="21"/>
                      <w:highlight w:val="yellow"/>
                    </w:rPr>
                  </w:pPr>
                </w:p>
              </w:tc>
              <w:tc>
                <w:tcPr>
                  <w:tcW w:w="962" w:type="pct"/>
                  <w:gridSpan w:val="2"/>
                  <w:tcBorders>
                    <w:tl2br w:val="nil"/>
                    <w:tr2bl w:val="nil"/>
                  </w:tcBorders>
                  <w:vAlign w:val="center"/>
                </w:tcPr>
                <w:p w14:paraId="400704C6">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成品库区</w:t>
                  </w:r>
                </w:p>
              </w:tc>
              <w:tc>
                <w:tcPr>
                  <w:tcW w:w="3651" w:type="pct"/>
                  <w:gridSpan w:val="2"/>
                  <w:tcBorders>
                    <w:tl2br w:val="nil"/>
                    <w:tr2bl w:val="nil"/>
                  </w:tcBorders>
                  <w:vAlign w:val="center"/>
                </w:tcPr>
                <w:p w14:paraId="563280C3">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w:t>
                  </w:r>
                  <w:r>
                    <w:rPr>
                      <w:rFonts w:hint="eastAsia" w:cs="Times New Roman"/>
                      <w:sz w:val="21"/>
                      <w:szCs w:val="21"/>
                      <w:lang w:val="en-US" w:eastAsia="zh-CN"/>
                    </w:rPr>
                    <w:t>2</w:t>
                  </w:r>
                  <w:r>
                    <w:rPr>
                      <w:rFonts w:hint="default" w:ascii="Times New Roman" w:hAnsi="Times New Roman" w:eastAsia="宋体" w:cs="Times New Roman"/>
                      <w:sz w:val="21"/>
                      <w:szCs w:val="21"/>
                    </w:rPr>
                    <w:t>F西侧中部区域，占地面积约2620m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，用于装配打包后成品堆放</w:t>
                  </w:r>
                </w:p>
              </w:tc>
            </w:tr>
            <w:tr w14:paraId="4EBB5AE1">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jc w:val="center"/>
              </w:trPr>
              <w:tc>
                <w:tcPr>
                  <w:tcW w:w="386" w:type="pct"/>
                  <w:tcBorders>
                    <w:tl2br w:val="nil"/>
                    <w:tr2bl w:val="nil"/>
                  </w:tcBorders>
                  <w:vAlign w:val="center"/>
                </w:tcPr>
                <w:p w14:paraId="015211E0">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辅助</w:t>
                  </w:r>
                </w:p>
                <w:p w14:paraId="0177C697">
                  <w:pPr>
                    <w:spacing w:line="276"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rPr>
                    <w:t>工程</w:t>
                  </w:r>
                </w:p>
              </w:tc>
              <w:tc>
                <w:tcPr>
                  <w:tcW w:w="962" w:type="pct"/>
                  <w:gridSpan w:val="2"/>
                  <w:tcBorders>
                    <w:tl2br w:val="nil"/>
                    <w:tr2bl w:val="nil"/>
                  </w:tcBorders>
                  <w:vAlign w:val="center"/>
                </w:tcPr>
                <w:p w14:paraId="7C404589">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办公区</w:t>
                  </w:r>
                </w:p>
              </w:tc>
              <w:tc>
                <w:tcPr>
                  <w:tcW w:w="3651" w:type="pct"/>
                  <w:gridSpan w:val="2"/>
                  <w:tcBorders>
                    <w:tl2br w:val="nil"/>
                    <w:tr2bl w:val="nil"/>
                  </w:tcBorders>
                  <w:vAlign w:val="center"/>
                </w:tcPr>
                <w:p w14:paraId="74B06BC0">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位于6#厂房1F西北部，占地面积约183m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，用于人员办公</w:t>
                  </w:r>
                </w:p>
              </w:tc>
            </w:tr>
            <w:tr w14:paraId="215F3FD2">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48" w:hRule="atLeast"/>
                <w:jc w:val="center"/>
              </w:trPr>
              <w:tc>
                <w:tcPr>
                  <w:tcW w:w="386" w:type="pct"/>
                  <w:vMerge w:val="restart"/>
                  <w:tcBorders>
                    <w:tl2br w:val="nil"/>
                    <w:tr2bl w:val="nil"/>
                  </w:tcBorders>
                  <w:vAlign w:val="center"/>
                </w:tcPr>
                <w:p w14:paraId="17119FCB">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公用</w:t>
                  </w:r>
                </w:p>
                <w:p w14:paraId="04E098D7">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tc>
              <w:tc>
                <w:tcPr>
                  <w:tcW w:w="962" w:type="pct"/>
                  <w:gridSpan w:val="2"/>
                  <w:tcBorders>
                    <w:tl2br w:val="nil"/>
                    <w:tr2bl w:val="nil"/>
                  </w:tcBorders>
                  <w:vAlign w:val="center"/>
                </w:tcPr>
                <w:p w14:paraId="0446C71B">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供电工程</w:t>
                  </w:r>
                </w:p>
              </w:tc>
              <w:tc>
                <w:tcPr>
                  <w:tcW w:w="3651" w:type="pct"/>
                  <w:gridSpan w:val="2"/>
                  <w:tcBorders>
                    <w:tl2br w:val="nil"/>
                    <w:tr2bl w:val="nil"/>
                  </w:tcBorders>
                  <w:vAlign w:val="center"/>
                </w:tcPr>
                <w:p w14:paraId="62F06645">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z w:val="21"/>
                      <w:szCs w:val="21"/>
                    </w:rPr>
                    <w:t>由市政供电管网提供，</w:t>
                  </w:r>
                  <w:r>
                    <w:rPr>
                      <w:rFonts w:hint="default" w:ascii="Times New Roman" w:hAnsi="Times New Roman" w:eastAsia="宋体" w:cs="Times New Roman"/>
                      <w:spacing w:val="-2"/>
                      <w:sz w:val="21"/>
                      <w:szCs w:val="21"/>
                    </w:rPr>
                    <w:t>年用电量约200万kWh</w:t>
                  </w:r>
                </w:p>
              </w:tc>
            </w:tr>
            <w:tr w14:paraId="3AB6A917">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4BEC58F1">
                  <w:pPr>
                    <w:spacing w:line="276" w:lineRule="auto"/>
                    <w:ind w:firstLine="42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232CDF13">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供水工程</w:t>
                  </w:r>
                </w:p>
              </w:tc>
              <w:tc>
                <w:tcPr>
                  <w:tcW w:w="3651" w:type="pct"/>
                  <w:gridSpan w:val="2"/>
                  <w:tcBorders>
                    <w:tl2br w:val="nil"/>
                    <w:tr2bl w:val="nil"/>
                  </w:tcBorders>
                  <w:vAlign w:val="center"/>
                </w:tcPr>
                <w:p w14:paraId="509E6147">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z w:val="21"/>
                      <w:szCs w:val="21"/>
                    </w:rPr>
                    <w:t>由市政供</w:t>
                  </w:r>
                  <w:r>
                    <w:rPr>
                      <w:rFonts w:hint="default" w:ascii="Times New Roman" w:hAnsi="Times New Roman" w:eastAsia="宋体" w:cs="Times New Roman"/>
                      <w:color w:val="000000" w:themeColor="text1"/>
                      <w:sz w:val="21"/>
                      <w:szCs w:val="21"/>
                    </w:rPr>
                    <w:t>水管网提供，</w:t>
                  </w:r>
                  <w:r>
                    <w:rPr>
                      <w:rFonts w:hint="default" w:ascii="Times New Roman" w:hAnsi="Times New Roman" w:eastAsia="宋体" w:cs="Times New Roman"/>
                      <w:color w:val="000000" w:themeColor="text1"/>
                      <w:spacing w:val="-2"/>
                      <w:sz w:val="21"/>
                      <w:szCs w:val="21"/>
                    </w:rPr>
                    <w:t>年用水量约573.168m</w:t>
                  </w:r>
                  <w:r>
                    <w:rPr>
                      <w:rFonts w:hint="default" w:ascii="Times New Roman" w:hAnsi="Times New Roman" w:eastAsia="宋体" w:cs="Times New Roman"/>
                      <w:color w:val="000000" w:themeColor="text1"/>
                      <w:spacing w:val="-2"/>
                      <w:sz w:val="21"/>
                      <w:szCs w:val="21"/>
                      <w:vertAlign w:val="superscript"/>
                    </w:rPr>
                    <w:t>3</w:t>
                  </w:r>
                </w:p>
              </w:tc>
            </w:tr>
            <w:tr w14:paraId="740122A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0CFDE938">
                  <w:pPr>
                    <w:spacing w:line="276" w:lineRule="auto"/>
                    <w:ind w:firstLine="48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03604178">
                  <w:pPr>
                    <w:spacing w:line="276"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rPr>
                    <w:t>排水系统</w:t>
                  </w:r>
                </w:p>
              </w:tc>
              <w:tc>
                <w:tcPr>
                  <w:tcW w:w="3651" w:type="pct"/>
                  <w:gridSpan w:val="2"/>
                  <w:tcBorders>
                    <w:tl2br w:val="nil"/>
                    <w:tr2bl w:val="nil"/>
                  </w:tcBorders>
                  <w:vAlign w:val="center"/>
                </w:tcPr>
                <w:p w14:paraId="2CC078B6">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bCs/>
                      <w:sz w:val="21"/>
                      <w:szCs w:val="21"/>
                    </w:rPr>
                    <w:t>本项目实施雨污分流。生活污水经化粪池处理后，排入市政污水管网，最终进入淮南经济技术开发区工业污水处理厂处理</w:t>
                  </w:r>
                </w:p>
              </w:tc>
            </w:tr>
            <w:tr w14:paraId="7917EEE2">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jc w:val="center"/>
              </w:trPr>
              <w:tc>
                <w:tcPr>
                  <w:tcW w:w="386" w:type="pct"/>
                  <w:vMerge w:val="restart"/>
                  <w:tcBorders>
                    <w:tl2br w:val="nil"/>
                    <w:tr2bl w:val="nil"/>
                  </w:tcBorders>
                  <w:vAlign w:val="center"/>
                </w:tcPr>
                <w:p w14:paraId="3BB76D2B">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w:t>
                  </w:r>
                </w:p>
                <w:p w14:paraId="3B7EB5FA">
                  <w:pPr>
                    <w:spacing w:line="27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tc>
              <w:tc>
                <w:tcPr>
                  <w:tcW w:w="962" w:type="pct"/>
                  <w:gridSpan w:val="2"/>
                  <w:vMerge w:val="restart"/>
                  <w:tcBorders>
                    <w:tl2br w:val="nil"/>
                    <w:tr2bl w:val="nil"/>
                  </w:tcBorders>
                  <w:vAlign w:val="center"/>
                </w:tcPr>
                <w:p w14:paraId="42BDA6F1">
                  <w:pPr>
                    <w:spacing w:line="276" w:lineRule="auto"/>
                    <w:jc w:val="center"/>
                    <w:rPr>
                      <w:rFonts w:hint="default" w:ascii="Times New Roman" w:hAnsi="Times New Roman" w:eastAsia="宋体" w:cs="Times New Roman"/>
                      <w:spacing w:val="-2"/>
                      <w:sz w:val="21"/>
                      <w:szCs w:val="21"/>
                      <w:highlight w:val="yellow"/>
                    </w:rPr>
                  </w:pPr>
                  <w:r>
                    <w:rPr>
                      <w:rFonts w:hint="default" w:ascii="Times New Roman" w:hAnsi="Times New Roman" w:eastAsia="宋体" w:cs="Times New Roman"/>
                      <w:spacing w:val="-2"/>
                      <w:sz w:val="21"/>
                      <w:szCs w:val="21"/>
                    </w:rPr>
                    <w:t>废气治理</w:t>
                  </w:r>
                </w:p>
              </w:tc>
              <w:tc>
                <w:tcPr>
                  <w:tcW w:w="3651" w:type="pct"/>
                  <w:gridSpan w:val="2"/>
                  <w:tcBorders>
                    <w:tl2br w:val="nil"/>
                    <w:tr2bl w:val="nil"/>
                  </w:tcBorders>
                  <w:vAlign w:val="center"/>
                </w:tcPr>
                <w:p w14:paraId="72158768">
                  <w:pPr>
                    <w:spacing w:line="276" w:lineRule="auto"/>
                    <w:jc w:val="center"/>
                    <w:rPr>
                      <w:rFonts w:hint="default" w:ascii="Times New Roman" w:hAnsi="Times New Roman" w:eastAsia="宋体" w:cs="Times New Roman"/>
                      <w:bCs/>
                      <w:spacing w:val="-2"/>
                      <w:sz w:val="21"/>
                      <w:szCs w:val="21"/>
                      <w:highlight w:val="yellow"/>
                    </w:rPr>
                  </w:pPr>
                  <w:r>
                    <w:rPr>
                      <w:rFonts w:hint="default" w:ascii="Times New Roman" w:hAnsi="Times New Roman" w:eastAsia="宋体" w:cs="Times New Roman"/>
                      <w:b/>
                      <w:bCs/>
                      <w:spacing w:val="-2"/>
                      <w:sz w:val="21"/>
                      <w:szCs w:val="21"/>
                    </w:rPr>
                    <w:t>抛丸粉尘（G</w:t>
                  </w:r>
                  <w:r>
                    <w:rPr>
                      <w:rFonts w:hint="default" w:ascii="Times New Roman" w:hAnsi="Times New Roman" w:eastAsia="宋体" w:cs="Times New Roman"/>
                      <w:b/>
                      <w:bCs/>
                      <w:spacing w:val="-2"/>
                      <w:sz w:val="21"/>
                      <w:szCs w:val="21"/>
                      <w:vertAlign w:val="subscript"/>
                    </w:rPr>
                    <w:t>1-1</w:t>
                  </w:r>
                  <w:r>
                    <w:rPr>
                      <w:rFonts w:hint="default" w:ascii="Times New Roman" w:hAnsi="Times New Roman" w:eastAsia="宋体" w:cs="Times New Roman"/>
                      <w:b/>
                      <w:bCs/>
                      <w:spacing w:val="-2"/>
                      <w:sz w:val="21"/>
                      <w:szCs w:val="21"/>
                    </w:rPr>
                    <w:t>）、切割粉尘（G</w:t>
                  </w:r>
                  <w:r>
                    <w:rPr>
                      <w:rFonts w:hint="default" w:ascii="Times New Roman" w:hAnsi="Times New Roman" w:eastAsia="宋体" w:cs="Times New Roman"/>
                      <w:b/>
                      <w:bCs/>
                      <w:spacing w:val="-2"/>
                      <w:sz w:val="21"/>
                      <w:szCs w:val="21"/>
                      <w:vertAlign w:val="subscript"/>
                    </w:rPr>
                    <w:t>2-1</w:t>
                  </w:r>
                  <w:r>
                    <w:rPr>
                      <w:rFonts w:hint="default" w:ascii="Times New Roman" w:hAnsi="Times New Roman" w:eastAsia="宋体" w:cs="Times New Roman"/>
                      <w:b/>
                      <w:bCs/>
                      <w:spacing w:val="-2"/>
                      <w:sz w:val="21"/>
                      <w:szCs w:val="21"/>
                    </w:rPr>
                    <w:t>）、切割粉尘（G</w:t>
                  </w:r>
                  <w:r>
                    <w:rPr>
                      <w:rFonts w:hint="default" w:ascii="Times New Roman" w:hAnsi="Times New Roman" w:eastAsia="宋体" w:cs="Times New Roman"/>
                      <w:b/>
                      <w:bCs/>
                      <w:spacing w:val="-2"/>
                      <w:sz w:val="21"/>
                      <w:szCs w:val="21"/>
                      <w:vertAlign w:val="subscript"/>
                    </w:rPr>
                    <w:t>2-2</w:t>
                  </w:r>
                  <w:r>
                    <w:rPr>
                      <w:rFonts w:hint="default" w:ascii="Times New Roman" w:hAnsi="Times New Roman" w:eastAsia="宋体" w:cs="Times New Roman"/>
                      <w:b/>
                      <w:bCs/>
                      <w:spacing w:val="-2"/>
                      <w:sz w:val="21"/>
                      <w:szCs w:val="21"/>
                    </w:rPr>
                    <w:t>）、焊接粉尘（G</w:t>
                  </w:r>
                  <w:r>
                    <w:rPr>
                      <w:rFonts w:hint="default" w:ascii="Times New Roman" w:hAnsi="Times New Roman" w:eastAsia="宋体" w:cs="Times New Roman"/>
                      <w:b/>
                      <w:bCs/>
                      <w:spacing w:val="-2"/>
                      <w:sz w:val="21"/>
                      <w:szCs w:val="21"/>
                      <w:vertAlign w:val="subscript"/>
                    </w:rPr>
                    <w:t>2-3</w:t>
                  </w:r>
                  <w:r>
                    <w:rPr>
                      <w:rFonts w:hint="default" w:ascii="Times New Roman" w:hAnsi="Times New Roman" w:eastAsia="宋体" w:cs="Times New Roman"/>
                      <w:b/>
                      <w:bCs/>
                      <w:spacing w:val="-2"/>
                      <w:sz w:val="21"/>
                      <w:szCs w:val="21"/>
                    </w:rPr>
                    <w:t>）</w:t>
                  </w:r>
                  <w:r>
                    <w:rPr>
                      <w:rFonts w:hint="default" w:ascii="Times New Roman" w:hAnsi="Times New Roman" w:eastAsia="宋体" w:cs="Times New Roman"/>
                      <w:bCs/>
                      <w:spacing w:val="-2"/>
                      <w:sz w:val="21"/>
                      <w:szCs w:val="21"/>
                    </w:rPr>
                    <w:t>：经集气罩收集，通过袋式除尘器处理后，最终通过15m高排气筒（DA001）排放</w:t>
                  </w:r>
                </w:p>
              </w:tc>
            </w:tr>
            <w:tr w14:paraId="16042E1B">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jc w:val="center"/>
              </w:trPr>
              <w:tc>
                <w:tcPr>
                  <w:tcW w:w="386" w:type="pct"/>
                  <w:vMerge w:val="continue"/>
                  <w:tcBorders>
                    <w:tl2br w:val="nil"/>
                    <w:tr2bl w:val="nil"/>
                  </w:tcBorders>
                  <w:vAlign w:val="center"/>
                </w:tcPr>
                <w:p w14:paraId="19F76584">
                  <w:pPr>
                    <w:spacing w:line="276" w:lineRule="auto"/>
                    <w:jc w:val="center"/>
                    <w:rPr>
                      <w:rFonts w:hint="default" w:ascii="Times New Roman" w:hAnsi="Times New Roman" w:eastAsia="宋体" w:cs="Times New Roman"/>
                      <w:sz w:val="21"/>
                      <w:szCs w:val="21"/>
                    </w:rPr>
                  </w:pPr>
                </w:p>
              </w:tc>
              <w:tc>
                <w:tcPr>
                  <w:tcW w:w="962" w:type="pct"/>
                  <w:gridSpan w:val="2"/>
                  <w:vMerge w:val="continue"/>
                  <w:tcBorders>
                    <w:tl2br w:val="nil"/>
                    <w:tr2bl w:val="nil"/>
                  </w:tcBorders>
                  <w:vAlign w:val="center"/>
                </w:tcPr>
                <w:p w14:paraId="1271E8C2">
                  <w:pPr>
                    <w:spacing w:line="276" w:lineRule="auto"/>
                    <w:jc w:val="center"/>
                    <w:rPr>
                      <w:rFonts w:hint="default" w:ascii="Times New Roman" w:hAnsi="Times New Roman" w:eastAsia="宋体" w:cs="Times New Roman"/>
                      <w:spacing w:val="-2"/>
                      <w:sz w:val="21"/>
                      <w:szCs w:val="21"/>
                    </w:rPr>
                  </w:pPr>
                </w:p>
              </w:tc>
              <w:tc>
                <w:tcPr>
                  <w:tcW w:w="3651" w:type="pct"/>
                  <w:gridSpan w:val="2"/>
                  <w:tcBorders>
                    <w:tl2br w:val="nil"/>
                    <w:tr2bl w:val="nil"/>
                  </w:tcBorders>
                  <w:vAlign w:val="center"/>
                </w:tcPr>
                <w:p w14:paraId="3836AF04">
                  <w:pPr>
                    <w:spacing w:line="276" w:lineRule="auto"/>
                    <w:jc w:val="center"/>
                    <w:rPr>
                      <w:rFonts w:hint="default" w:ascii="Times New Roman" w:hAnsi="Times New Roman" w:eastAsia="宋体" w:cs="Times New Roman"/>
                      <w:b/>
                      <w:bCs/>
                      <w:spacing w:val="-2"/>
                      <w:sz w:val="21"/>
                      <w:szCs w:val="21"/>
                      <w:highlight w:val="yellow"/>
                    </w:rPr>
                  </w:pPr>
                  <w:r>
                    <w:rPr>
                      <w:rFonts w:hint="default" w:ascii="Times New Roman" w:hAnsi="Times New Roman" w:eastAsia="宋体" w:cs="Times New Roman"/>
                      <w:b/>
                      <w:bCs/>
                      <w:spacing w:val="-2"/>
                      <w:sz w:val="21"/>
                      <w:szCs w:val="21"/>
                    </w:rPr>
                    <w:t>清洗废气（G</w:t>
                  </w:r>
                  <w:r>
                    <w:rPr>
                      <w:rFonts w:hint="default" w:ascii="Times New Roman" w:hAnsi="Times New Roman" w:eastAsia="宋体" w:cs="Times New Roman"/>
                      <w:b/>
                      <w:bCs/>
                      <w:spacing w:val="-2"/>
                      <w:sz w:val="21"/>
                      <w:szCs w:val="21"/>
                      <w:vertAlign w:val="subscript"/>
                    </w:rPr>
                    <w:t>1-2</w:t>
                  </w:r>
                  <w:r>
                    <w:rPr>
                      <w:rFonts w:hint="default" w:ascii="Times New Roman" w:hAnsi="Times New Roman" w:eastAsia="宋体" w:cs="Times New Roman"/>
                      <w:b/>
                      <w:bCs/>
                      <w:spacing w:val="-2"/>
                      <w:sz w:val="21"/>
                      <w:szCs w:val="21"/>
                    </w:rPr>
                    <w:t>）、涂胶废气（G</w:t>
                  </w:r>
                  <w:r>
                    <w:rPr>
                      <w:rFonts w:hint="default" w:ascii="Times New Roman" w:hAnsi="Times New Roman" w:eastAsia="宋体" w:cs="Times New Roman"/>
                      <w:b/>
                      <w:bCs/>
                      <w:spacing w:val="-2"/>
                      <w:sz w:val="21"/>
                      <w:szCs w:val="21"/>
                      <w:vertAlign w:val="subscript"/>
                    </w:rPr>
                    <w:t>1-3</w:t>
                  </w:r>
                  <w:r>
                    <w:rPr>
                      <w:rFonts w:hint="default" w:ascii="Times New Roman" w:hAnsi="Times New Roman" w:eastAsia="宋体" w:cs="Times New Roman"/>
                      <w:b/>
                      <w:bCs/>
                      <w:spacing w:val="-2"/>
                      <w:sz w:val="21"/>
                      <w:szCs w:val="21"/>
                    </w:rPr>
                    <w:t>）、硫化废气（G</w:t>
                  </w:r>
                  <w:r>
                    <w:rPr>
                      <w:rFonts w:hint="default" w:ascii="Times New Roman" w:hAnsi="Times New Roman" w:eastAsia="宋体" w:cs="Times New Roman"/>
                      <w:b/>
                      <w:bCs/>
                      <w:spacing w:val="-2"/>
                      <w:sz w:val="21"/>
                      <w:szCs w:val="21"/>
                      <w:vertAlign w:val="subscript"/>
                    </w:rPr>
                    <w:t>1-4</w:t>
                  </w:r>
                  <w:r>
                    <w:rPr>
                      <w:rFonts w:hint="default" w:ascii="Times New Roman" w:hAnsi="Times New Roman" w:eastAsia="宋体" w:cs="Times New Roman"/>
                      <w:b/>
                      <w:bCs/>
                      <w:spacing w:val="-2"/>
                      <w:sz w:val="21"/>
                      <w:szCs w:val="21"/>
                    </w:rPr>
                    <w:t>）</w:t>
                  </w:r>
                  <w:r>
                    <w:rPr>
                      <w:rFonts w:hint="default" w:ascii="Times New Roman" w:hAnsi="Times New Roman" w:eastAsia="宋体" w:cs="Times New Roman"/>
                      <w:bCs/>
                      <w:spacing w:val="-2"/>
                      <w:sz w:val="21"/>
                      <w:szCs w:val="21"/>
                    </w:rPr>
                    <w:t>：通过集气罩收集，再经过两级活性炭处理后，最终通过15m高排气筒（DA002）排放</w:t>
                  </w:r>
                </w:p>
              </w:tc>
            </w:tr>
            <w:tr w14:paraId="3EB524E1">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907" w:hRule="atLeast"/>
                <w:jc w:val="center"/>
              </w:trPr>
              <w:tc>
                <w:tcPr>
                  <w:tcW w:w="386" w:type="pct"/>
                  <w:vMerge w:val="continue"/>
                  <w:tcBorders>
                    <w:tl2br w:val="nil"/>
                    <w:tr2bl w:val="nil"/>
                  </w:tcBorders>
                  <w:vAlign w:val="center"/>
                </w:tcPr>
                <w:p w14:paraId="2FDB21C6">
                  <w:pPr>
                    <w:spacing w:line="276" w:lineRule="auto"/>
                    <w:ind w:firstLine="42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1D4A6B7A">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废水治理</w:t>
                  </w:r>
                </w:p>
              </w:tc>
              <w:tc>
                <w:tcPr>
                  <w:tcW w:w="3651" w:type="pct"/>
                  <w:gridSpan w:val="2"/>
                  <w:tcBorders>
                    <w:tl2br w:val="nil"/>
                    <w:tr2bl w:val="nil"/>
                  </w:tcBorders>
                  <w:vAlign w:val="center"/>
                </w:tcPr>
                <w:p w14:paraId="123EE6A8">
                  <w:pPr>
                    <w:spacing w:line="276" w:lineRule="auto"/>
                    <w:jc w:val="center"/>
                    <w:rPr>
                      <w:rFonts w:hint="default" w:ascii="Times New Roman" w:hAnsi="Times New Roman" w:eastAsia="宋体" w:cs="Times New Roman"/>
                      <w:b/>
                      <w:spacing w:val="-2"/>
                      <w:sz w:val="21"/>
                      <w:szCs w:val="21"/>
                      <w:highlight w:val="yellow"/>
                    </w:rPr>
                  </w:pPr>
                  <w:r>
                    <w:rPr>
                      <w:rFonts w:hint="default" w:ascii="Times New Roman" w:hAnsi="Times New Roman" w:eastAsia="宋体" w:cs="Times New Roman"/>
                      <w:bCs/>
                      <w:sz w:val="21"/>
                      <w:szCs w:val="21"/>
                    </w:rPr>
                    <w:t>本项目实施雨污分流。生活污水经化粪池处理后，排入市政污水管网，最终进入淮南经济技术开发区工业污水处理厂处理</w:t>
                  </w:r>
                </w:p>
              </w:tc>
            </w:tr>
            <w:tr w14:paraId="0039817A">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03070B6D">
                  <w:pPr>
                    <w:spacing w:line="276" w:lineRule="auto"/>
                    <w:ind w:firstLine="48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33B8F093">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噪声治理</w:t>
                  </w:r>
                </w:p>
              </w:tc>
              <w:tc>
                <w:tcPr>
                  <w:tcW w:w="3651" w:type="pct"/>
                  <w:gridSpan w:val="2"/>
                  <w:tcBorders>
                    <w:tl2br w:val="nil"/>
                    <w:tr2bl w:val="nil"/>
                  </w:tcBorders>
                  <w:vAlign w:val="center"/>
                </w:tcPr>
                <w:p w14:paraId="104FB00F">
                  <w:pPr>
                    <w:spacing w:line="276" w:lineRule="auto"/>
                    <w:jc w:val="center"/>
                    <w:rPr>
                      <w:rFonts w:hint="default" w:ascii="Times New Roman" w:hAnsi="Times New Roman" w:eastAsia="宋体" w:cs="Times New Roman"/>
                      <w:spacing w:val="-2"/>
                      <w:sz w:val="21"/>
                      <w:szCs w:val="21"/>
                      <w:highlight w:val="yellow"/>
                    </w:rPr>
                  </w:pPr>
                  <w:r>
                    <w:rPr>
                      <w:rFonts w:hint="default" w:ascii="Times New Roman" w:hAnsi="Times New Roman" w:eastAsia="宋体" w:cs="Times New Roman"/>
                      <w:sz w:val="21"/>
                      <w:szCs w:val="21"/>
                    </w:rPr>
                    <w:t>高噪声设备分别采取消声、减振、隔声等措施</w:t>
                  </w:r>
                </w:p>
              </w:tc>
            </w:tr>
            <w:tr w14:paraId="5C9EA449">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74993ED2">
                  <w:pPr>
                    <w:spacing w:line="276" w:lineRule="auto"/>
                    <w:ind w:firstLine="48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6C0259C8">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固废治理</w:t>
                  </w:r>
                </w:p>
              </w:tc>
              <w:tc>
                <w:tcPr>
                  <w:tcW w:w="3651" w:type="pct"/>
                  <w:gridSpan w:val="2"/>
                  <w:tcBorders>
                    <w:tl2br w:val="nil"/>
                    <w:tr2bl w:val="nil"/>
                  </w:tcBorders>
                  <w:vAlign w:val="center"/>
                </w:tcPr>
                <w:p w14:paraId="11739E3B">
                  <w:pPr>
                    <w:spacing w:line="276" w:lineRule="auto"/>
                    <w:jc w:val="left"/>
                    <w:rPr>
                      <w:rFonts w:hint="default" w:ascii="Times New Roman" w:hAnsi="Times New Roman" w:eastAsia="宋体" w:cs="Times New Roman"/>
                      <w:spacing w:val="-2"/>
                      <w:sz w:val="21"/>
                      <w:szCs w:val="21"/>
                    </w:rPr>
                  </w:pPr>
                  <w:r>
                    <w:rPr>
                      <w:rFonts w:hint="default" w:ascii="Times New Roman" w:hAnsi="Times New Roman" w:eastAsia="宋体" w:cs="Times New Roman"/>
                      <w:b/>
                      <w:spacing w:val="-2"/>
                      <w:sz w:val="21"/>
                      <w:szCs w:val="21"/>
                    </w:rPr>
                    <w:t>一般工业固体废物：</w:t>
                  </w:r>
                  <w:r>
                    <w:rPr>
                      <w:rFonts w:hint="default" w:ascii="Times New Roman" w:hAnsi="Times New Roman" w:eastAsia="宋体" w:cs="Times New Roman"/>
                      <w:spacing w:val="-2"/>
                      <w:sz w:val="21"/>
                      <w:szCs w:val="21"/>
                    </w:rPr>
                    <w:t>项目设置一座约50m</w:t>
                  </w:r>
                  <w:r>
                    <w:rPr>
                      <w:rFonts w:hint="default" w:ascii="Times New Roman" w:hAnsi="Times New Roman" w:eastAsia="宋体" w:cs="Times New Roman"/>
                      <w:spacing w:val="-2"/>
                      <w:sz w:val="21"/>
                      <w:szCs w:val="21"/>
                      <w:vertAlign w:val="superscript"/>
                    </w:rPr>
                    <w:t>2</w:t>
                  </w:r>
                  <w:r>
                    <w:rPr>
                      <w:rFonts w:hint="default" w:ascii="Times New Roman" w:hAnsi="Times New Roman" w:eastAsia="宋体" w:cs="Times New Roman"/>
                      <w:spacing w:val="-2"/>
                      <w:sz w:val="21"/>
                      <w:szCs w:val="21"/>
                    </w:rPr>
                    <w:t>的一般固废暂存间，位于2楼北侧。废包装材料、金属废边角料、橡胶废边角料、废钢丸和除尘器收集的粉尘收集后储存于一般固废暂存间，定期外售综合利用。</w:t>
                  </w:r>
                </w:p>
                <w:p w14:paraId="77744EBF">
                  <w:pPr>
                    <w:spacing w:line="276" w:lineRule="auto"/>
                    <w:jc w:val="left"/>
                    <w:rPr>
                      <w:rFonts w:hint="default" w:ascii="Times New Roman" w:hAnsi="Times New Roman" w:eastAsia="宋体" w:cs="Times New Roman"/>
                      <w:spacing w:val="-2"/>
                      <w:sz w:val="21"/>
                      <w:szCs w:val="21"/>
                    </w:rPr>
                  </w:pPr>
                  <w:r>
                    <w:rPr>
                      <w:rFonts w:hint="default" w:ascii="Times New Roman" w:hAnsi="Times New Roman" w:eastAsia="宋体" w:cs="Times New Roman"/>
                      <w:b/>
                      <w:spacing w:val="-2"/>
                      <w:sz w:val="21"/>
                      <w:szCs w:val="21"/>
                    </w:rPr>
                    <w:t>危险废物：</w:t>
                  </w:r>
                  <w:r>
                    <w:rPr>
                      <w:rFonts w:hint="default" w:ascii="Times New Roman" w:hAnsi="Times New Roman" w:eastAsia="宋体" w:cs="Times New Roman"/>
                      <w:spacing w:val="-2"/>
                      <w:sz w:val="21"/>
                      <w:szCs w:val="21"/>
                    </w:rPr>
                    <w:t>项目设置一座约50m</w:t>
                  </w:r>
                  <w:r>
                    <w:rPr>
                      <w:rFonts w:hint="default" w:ascii="Times New Roman" w:hAnsi="Times New Roman" w:eastAsia="宋体" w:cs="Times New Roman"/>
                      <w:spacing w:val="-2"/>
                      <w:sz w:val="21"/>
                      <w:szCs w:val="21"/>
                      <w:vertAlign w:val="superscript"/>
                    </w:rPr>
                    <w:t>2</w:t>
                  </w:r>
                  <w:r>
                    <w:rPr>
                      <w:rFonts w:hint="default" w:ascii="Times New Roman" w:hAnsi="Times New Roman" w:eastAsia="宋体" w:cs="Times New Roman"/>
                      <w:spacing w:val="-2"/>
                      <w:sz w:val="21"/>
                      <w:szCs w:val="21"/>
                    </w:rPr>
                    <w:t>的危废暂存间，位于2楼北侧。振光废水、清洗废液和废水、含油抹布、槽渣、废脱模剂、废胶粘剂、废机油、废机油桶、废活性炭、废包装桶收集后暂存于危废暂存间，定期委托有资质的单位处理。</w:t>
                  </w:r>
                </w:p>
                <w:p w14:paraId="56977686">
                  <w:pPr>
                    <w:spacing w:line="276" w:lineRule="auto"/>
                    <w:jc w:val="left"/>
                    <w:rPr>
                      <w:rFonts w:hint="default" w:ascii="Times New Roman" w:hAnsi="Times New Roman" w:eastAsia="宋体" w:cs="Times New Roman"/>
                      <w:spacing w:val="-2"/>
                      <w:sz w:val="21"/>
                      <w:szCs w:val="21"/>
                      <w:highlight w:val="yellow"/>
                    </w:rPr>
                  </w:pPr>
                  <w:r>
                    <w:rPr>
                      <w:rFonts w:hint="default" w:ascii="Times New Roman" w:hAnsi="Times New Roman" w:eastAsia="宋体" w:cs="Times New Roman"/>
                      <w:b/>
                      <w:spacing w:val="-2"/>
                      <w:sz w:val="21"/>
                      <w:szCs w:val="21"/>
                    </w:rPr>
                    <w:t>生活垃圾：</w:t>
                  </w:r>
                  <w:r>
                    <w:rPr>
                      <w:rFonts w:hint="default" w:ascii="Times New Roman" w:hAnsi="Times New Roman" w:eastAsia="宋体" w:cs="Times New Roman"/>
                      <w:spacing w:val="-2"/>
                      <w:sz w:val="21"/>
                      <w:szCs w:val="21"/>
                    </w:rPr>
                    <w:t>企业产生的生活垃圾集中收集后，交由环卫部门清运。</w:t>
                  </w:r>
                </w:p>
              </w:tc>
            </w:tr>
            <w:tr w14:paraId="10B35AF6">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23489DFD">
                  <w:pPr>
                    <w:spacing w:line="276" w:lineRule="auto"/>
                    <w:ind w:firstLine="48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58FC0697">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分区防渗</w:t>
                  </w:r>
                </w:p>
              </w:tc>
              <w:tc>
                <w:tcPr>
                  <w:tcW w:w="3651" w:type="pct"/>
                  <w:gridSpan w:val="2"/>
                  <w:tcBorders>
                    <w:tl2br w:val="nil"/>
                    <w:tr2bl w:val="nil"/>
                  </w:tcBorders>
                  <w:vAlign w:val="center"/>
                </w:tcPr>
                <w:p w14:paraId="2C80DDE8">
                  <w:pPr>
                    <w:spacing w:line="276" w:lineRule="auto"/>
                    <w:jc w:val="left"/>
                    <w:rPr>
                      <w:rFonts w:hint="default" w:ascii="Times New Roman" w:hAnsi="Times New Roman" w:eastAsia="宋体" w:cs="Times New Roman"/>
                      <w:b/>
                      <w:spacing w:val="-2"/>
                      <w:sz w:val="21"/>
                      <w:szCs w:val="21"/>
                      <w:highlight w:val="yellow"/>
                    </w:rPr>
                  </w:pPr>
                  <w:r>
                    <w:rPr>
                      <w:rFonts w:hint="default" w:ascii="Times New Roman" w:hAnsi="Times New Roman" w:eastAsia="宋体" w:cs="Times New Roman"/>
                      <w:sz w:val="21"/>
                      <w:szCs w:val="21"/>
                    </w:rPr>
                    <w:t>本项目危废暂存间、抛丸区、清洗区、涂胶区、硫化注胶区和硫化配件区为重点防渗区；切割区、冲压区、焊接区、抛边区、原料区、冲压模具库区和焊接配件堆放区为一般防渗区；除重点防渗、一般防渗外的其他区</w:t>
                  </w:r>
                </w:p>
              </w:tc>
            </w:tr>
            <w:tr w14:paraId="4CD886CE">
              <w:tblPrEx>
                <w:tblBorders>
                  <w:top w:val="single" w:color="auto" w:sz="12" w:space="0"/>
                  <w:left w:val="none" w:color="auto" w:sz="0" w:space="0"/>
                  <w:bottom w:val="single" w:color="auto" w:sz="12" w:space="0"/>
                  <w:right w:val="none" w:color="auto" w:sz="0" w:space="0"/>
                  <w:insideH w:val="single" w:color="auto" w:sz="4" w:space="0"/>
                  <w:insideV w:val="single" w:color="000000" w:sz="2" w:space="0"/>
                </w:tblBorders>
                <w:tblCellMar>
                  <w:top w:w="57" w:type="dxa"/>
                  <w:left w:w="57" w:type="dxa"/>
                  <w:bottom w:w="57" w:type="dxa"/>
                  <w:right w:w="57" w:type="dxa"/>
                </w:tblCellMar>
              </w:tblPrEx>
              <w:trPr>
                <w:trHeight w:val="451" w:hRule="atLeast"/>
                <w:jc w:val="center"/>
              </w:trPr>
              <w:tc>
                <w:tcPr>
                  <w:tcW w:w="386" w:type="pct"/>
                  <w:vMerge w:val="continue"/>
                  <w:tcBorders>
                    <w:tl2br w:val="nil"/>
                    <w:tr2bl w:val="nil"/>
                  </w:tcBorders>
                  <w:vAlign w:val="center"/>
                </w:tcPr>
                <w:p w14:paraId="1D495369">
                  <w:pPr>
                    <w:spacing w:line="276" w:lineRule="auto"/>
                    <w:ind w:firstLine="480"/>
                    <w:jc w:val="center"/>
                    <w:rPr>
                      <w:rFonts w:hint="default" w:ascii="Times New Roman" w:hAnsi="Times New Roman" w:eastAsia="宋体" w:cs="Times New Roman"/>
                      <w:sz w:val="21"/>
                      <w:szCs w:val="21"/>
                    </w:rPr>
                  </w:pPr>
                </w:p>
              </w:tc>
              <w:tc>
                <w:tcPr>
                  <w:tcW w:w="962" w:type="pct"/>
                  <w:gridSpan w:val="2"/>
                  <w:tcBorders>
                    <w:tl2br w:val="nil"/>
                    <w:tr2bl w:val="nil"/>
                  </w:tcBorders>
                  <w:vAlign w:val="center"/>
                </w:tcPr>
                <w:p w14:paraId="5427CB80">
                  <w:pPr>
                    <w:spacing w:line="276" w:lineRule="auto"/>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环境风险防范</w:t>
                  </w:r>
                </w:p>
              </w:tc>
              <w:tc>
                <w:tcPr>
                  <w:tcW w:w="3651" w:type="pct"/>
                  <w:gridSpan w:val="2"/>
                  <w:tcBorders>
                    <w:tl2br w:val="nil"/>
                    <w:tr2bl w:val="nil"/>
                  </w:tcBorders>
                  <w:vAlign w:val="center"/>
                </w:tcPr>
                <w:p w14:paraId="15E8D49C">
                  <w:pPr>
                    <w:spacing w:line="276" w:lineRule="auto"/>
                    <w:jc w:val="left"/>
                    <w:rPr>
                      <w:rFonts w:hint="default" w:ascii="Times New Roman" w:hAnsi="Times New Roman" w:eastAsia="宋体" w:cs="Times New Roman"/>
                      <w:sz w:val="21"/>
                      <w:szCs w:val="21"/>
                      <w:highlight w:val="yellow"/>
                    </w:rPr>
                  </w:pPr>
                  <w:r>
                    <w:rPr>
                      <w:rFonts w:hint="default" w:ascii="Times New Roman" w:hAnsi="Times New Roman" w:eastAsia="宋体" w:cs="Times New Roman"/>
                      <w:bCs/>
                      <w:sz w:val="21"/>
                      <w:szCs w:val="21"/>
                    </w:rPr>
                    <w:t>危废暂存库内设置多个集液池（每个不小于0.5m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本项目在实施后应尽快启动应急预案的编制工作。</w:t>
                  </w:r>
                </w:p>
              </w:tc>
            </w:tr>
          </w:tbl>
          <w:p w14:paraId="6D731BDA">
            <w:pPr>
              <w:spacing w:line="360" w:lineRule="auto"/>
              <w:ind w:firstLine="482" w:firstLineChars="200"/>
              <w:rPr>
                <w:b/>
              </w:rPr>
            </w:pPr>
            <w:r>
              <w:rPr>
                <w:rFonts w:hint="eastAsia"/>
                <w:b/>
              </w:rPr>
              <w:t>2</w:t>
            </w:r>
            <w:r>
              <w:rPr>
                <w:b/>
              </w:rPr>
              <w:t>、主要产品及产能</w:t>
            </w:r>
          </w:p>
          <w:p w14:paraId="253AB82A">
            <w:pPr>
              <w:spacing w:line="360" w:lineRule="auto"/>
              <w:ind w:firstLine="480" w:firstLineChars="200"/>
              <w:rPr>
                <w:rFonts w:eastAsia="黑体"/>
              </w:rPr>
            </w:pPr>
            <w:r>
              <w:t>本项目建成后可实现新增</w:t>
            </w:r>
            <w:r>
              <w:rPr>
                <w:rFonts w:hint="eastAsia"/>
              </w:rPr>
              <w:t>年产100万只控制臂总成和300万只衬套，本项目产品方案</w:t>
            </w:r>
            <w:r>
              <w:t>见下表。</w:t>
            </w:r>
          </w:p>
          <w:p w14:paraId="206CB501">
            <w:pPr>
              <w:spacing w:line="360" w:lineRule="auto"/>
              <w:jc w:val="center"/>
              <w:rPr>
                <w:rFonts w:eastAsia="黑体"/>
              </w:rPr>
            </w:pPr>
            <w:r>
              <w:rPr>
                <w:rFonts w:eastAsia="黑体"/>
              </w:rPr>
              <w:t>表</w:t>
            </w:r>
            <w:r>
              <w:rPr>
                <w:rFonts w:hint="eastAsia" w:eastAsia="黑体"/>
              </w:rPr>
              <w:t xml:space="preserve">2-3  </w:t>
            </w:r>
            <w:r>
              <w:rPr>
                <w:rFonts w:eastAsia="黑体"/>
              </w:rPr>
              <w:t>项目产品方案</w:t>
            </w:r>
          </w:p>
          <w:tbl>
            <w:tblPr>
              <w:tblStyle w:val="17"/>
              <w:tblW w:w="78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4"/>
              <w:gridCol w:w="1079"/>
              <w:gridCol w:w="875"/>
              <w:gridCol w:w="1413"/>
              <w:gridCol w:w="1012"/>
              <w:gridCol w:w="913"/>
              <w:gridCol w:w="1979"/>
            </w:tblGrid>
            <w:tr w14:paraId="6B947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84" w:type="dxa"/>
                  <w:vAlign w:val="center"/>
                </w:tcPr>
                <w:p w14:paraId="5DAB5B72">
                  <w:pPr>
                    <w:spacing w:line="276" w:lineRule="auto"/>
                    <w:jc w:val="center"/>
                    <w:rPr>
                      <w:b/>
                      <w:sz w:val="21"/>
                      <w:szCs w:val="21"/>
                    </w:rPr>
                  </w:pPr>
                  <w:r>
                    <w:rPr>
                      <w:b/>
                      <w:sz w:val="21"/>
                      <w:szCs w:val="21"/>
                    </w:rPr>
                    <w:t>序号</w:t>
                  </w:r>
                </w:p>
              </w:tc>
              <w:tc>
                <w:tcPr>
                  <w:tcW w:w="1079" w:type="dxa"/>
                  <w:vAlign w:val="center"/>
                </w:tcPr>
                <w:p w14:paraId="5E997E77">
                  <w:pPr>
                    <w:spacing w:line="276" w:lineRule="auto"/>
                    <w:jc w:val="center"/>
                    <w:rPr>
                      <w:b/>
                      <w:sz w:val="21"/>
                      <w:szCs w:val="21"/>
                    </w:rPr>
                  </w:pPr>
                  <w:r>
                    <w:rPr>
                      <w:b/>
                      <w:sz w:val="21"/>
                      <w:szCs w:val="21"/>
                    </w:rPr>
                    <w:t>产品名称</w:t>
                  </w:r>
                </w:p>
              </w:tc>
              <w:tc>
                <w:tcPr>
                  <w:tcW w:w="875" w:type="dxa"/>
                  <w:vAlign w:val="center"/>
                </w:tcPr>
                <w:p w14:paraId="08597241">
                  <w:pPr>
                    <w:spacing w:line="276" w:lineRule="auto"/>
                    <w:jc w:val="center"/>
                    <w:rPr>
                      <w:b/>
                      <w:sz w:val="21"/>
                      <w:szCs w:val="21"/>
                    </w:rPr>
                  </w:pPr>
                  <w:r>
                    <w:rPr>
                      <w:b/>
                      <w:sz w:val="21"/>
                      <w:szCs w:val="21"/>
                    </w:rPr>
                    <w:t>性状</w:t>
                  </w:r>
                </w:p>
              </w:tc>
              <w:tc>
                <w:tcPr>
                  <w:tcW w:w="1413" w:type="dxa"/>
                  <w:vAlign w:val="center"/>
                </w:tcPr>
                <w:p w14:paraId="5F3BCCD5">
                  <w:pPr>
                    <w:spacing w:line="276" w:lineRule="auto"/>
                    <w:jc w:val="center"/>
                    <w:rPr>
                      <w:bCs/>
                      <w:sz w:val="21"/>
                      <w:szCs w:val="21"/>
                    </w:rPr>
                  </w:pPr>
                  <w:r>
                    <w:rPr>
                      <w:rFonts w:hint="eastAsia"/>
                      <w:b/>
                      <w:sz w:val="21"/>
                      <w:szCs w:val="21"/>
                    </w:rPr>
                    <w:t>产品</w:t>
                  </w:r>
                  <w:r>
                    <w:rPr>
                      <w:b/>
                      <w:sz w:val="21"/>
                      <w:szCs w:val="21"/>
                    </w:rPr>
                    <w:t>规格</w:t>
                  </w:r>
                </w:p>
              </w:tc>
              <w:tc>
                <w:tcPr>
                  <w:tcW w:w="1012" w:type="dxa"/>
                  <w:vAlign w:val="center"/>
                </w:tcPr>
                <w:p w14:paraId="27994ED3">
                  <w:pPr>
                    <w:spacing w:line="276" w:lineRule="auto"/>
                    <w:jc w:val="center"/>
                    <w:rPr>
                      <w:b/>
                      <w:sz w:val="21"/>
                      <w:szCs w:val="21"/>
                    </w:rPr>
                  </w:pPr>
                  <w:r>
                    <w:rPr>
                      <w:b/>
                      <w:sz w:val="21"/>
                      <w:szCs w:val="21"/>
                    </w:rPr>
                    <w:t>包装方式</w:t>
                  </w:r>
                </w:p>
              </w:tc>
              <w:tc>
                <w:tcPr>
                  <w:tcW w:w="913" w:type="dxa"/>
                  <w:vAlign w:val="center"/>
                </w:tcPr>
                <w:p w14:paraId="726686DF">
                  <w:pPr>
                    <w:spacing w:line="276" w:lineRule="auto"/>
                    <w:jc w:val="center"/>
                    <w:rPr>
                      <w:b/>
                      <w:sz w:val="21"/>
                      <w:szCs w:val="21"/>
                    </w:rPr>
                  </w:pPr>
                  <w:r>
                    <w:rPr>
                      <w:b/>
                      <w:sz w:val="21"/>
                      <w:szCs w:val="21"/>
                    </w:rPr>
                    <w:t>产能</w:t>
                  </w:r>
                </w:p>
                <w:p w14:paraId="7E1443E3">
                  <w:pPr>
                    <w:spacing w:line="276" w:lineRule="auto"/>
                    <w:jc w:val="center"/>
                    <w:rPr>
                      <w:b/>
                      <w:sz w:val="21"/>
                      <w:szCs w:val="21"/>
                    </w:rPr>
                  </w:pPr>
                  <w:r>
                    <w:rPr>
                      <w:b/>
                      <w:sz w:val="21"/>
                      <w:szCs w:val="21"/>
                    </w:rPr>
                    <w:t>（年产量）</w:t>
                  </w:r>
                </w:p>
              </w:tc>
              <w:tc>
                <w:tcPr>
                  <w:tcW w:w="1979" w:type="dxa"/>
                  <w:vAlign w:val="center"/>
                </w:tcPr>
                <w:p w14:paraId="59FDD2EE">
                  <w:pPr>
                    <w:spacing w:line="276" w:lineRule="auto"/>
                    <w:jc w:val="center"/>
                    <w:rPr>
                      <w:b/>
                      <w:sz w:val="21"/>
                      <w:szCs w:val="21"/>
                    </w:rPr>
                  </w:pPr>
                  <w:r>
                    <w:rPr>
                      <w:rFonts w:hint="eastAsia"/>
                      <w:b/>
                      <w:sz w:val="21"/>
                      <w:szCs w:val="21"/>
                    </w:rPr>
                    <w:t>产品参照图片</w:t>
                  </w:r>
                </w:p>
              </w:tc>
            </w:tr>
            <w:tr w14:paraId="5A138A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84" w:type="dxa"/>
                  <w:vAlign w:val="center"/>
                </w:tcPr>
                <w:p w14:paraId="2D8EA656">
                  <w:pPr>
                    <w:spacing w:line="276" w:lineRule="auto"/>
                    <w:jc w:val="center"/>
                    <w:rPr>
                      <w:sz w:val="21"/>
                      <w:szCs w:val="21"/>
                    </w:rPr>
                  </w:pPr>
                  <w:r>
                    <w:rPr>
                      <w:rFonts w:hint="eastAsia"/>
                      <w:sz w:val="21"/>
                      <w:szCs w:val="21"/>
                    </w:rPr>
                    <w:t>1</w:t>
                  </w:r>
                </w:p>
              </w:tc>
              <w:tc>
                <w:tcPr>
                  <w:tcW w:w="1079" w:type="dxa"/>
                  <w:vAlign w:val="center"/>
                </w:tcPr>
                <w:p w14:paraId="0065DCD0">
                  <w:pPr>
                    <w:spacing w:line="276" w:lineRule="auto"/>
                    <w:jc w:val="center"/>
                    <w:rPr>
                      <w:sz w:val="21"/>
                      <w:szCs w:val="21"/>
                    </w:rPr>
                  </w:pPr>
                  <w:r>
                    <w:rPr>
                      <w:rFonts w:hint="eastAsia"/>
                      <w:sz w:val="21"/>
                      <w:szCs w:val="21"/>
                    </w:rPr>
                    <w:t>控制臂总成1（钢管）</w:t>
                  </w:r>
                </w:p>
              </w:tc>
              <w:tc>
                <w:tcPr>
                  <w:tcW w:w="875" w:type="dxa"/>
                  <w:vAlign w:val="center"/>
                </w:tcPr>
                <w:p w14:paraId="0440F903">
                  <w:pPr>
                    <w:spacing w:line="276" w:lineRule="auto"/>
                    <w:jc w:val="center"/>
                    <w:rPr>
                      <w:sz w:val="21"/>
                      <w:szCs w:val="21"/>
                    </w:rPr>
                  </w:pPr>
                  <w:r>
                    <w:rPr>
                      <w:sz w:val="21"/>
                      <w:szCs w:val="21"/>
                    </w:rPr>
                    <w:t>固体</w:t>
                  </w:r>
                </w:p>
              </w:tc>
              <w:tc>
                <w:tcPr>
                  <w:tcW w:w="1413" w:type="dxa"/>
                  <w:vAlign w:val="center"/>
                </w:tcPr>
                <w:p w14:paraId="2732679F">
                  <w:pPr>
                    <w:spacing w:line="276" w:lineRule="auto"/>
                    <w:jc w:val="center"/>
                    <w:rPr>
                      <w:bCs/>
                      <w:sz w:val="21"/>
                      <w:szCs w:val="21"/>
                    </w:rPr>
                  </w:pPr>
                  <w:r>
                    <w:rPr>
                      <w:rFonts w:hint="eastAsia"/>
                      <w:bCs/>
                      <w:sz w:val="21"/>
                      <w:szCs w:val="21"/>
                    </w:rPr>
                    <w:t>重量4~5kg/只</w:t>
                  </w:r>
                </w:p>
              </w:tc>
              <w:tc>
                <w:tcPr>
                  <w:tcW w:w="1012" w:type="dxa"/>
                  <w:vAlign w:val="center"/>
                </w:tcPr>
                <w:p w14:paraId="60DB8CBB">
                  <w:pPr>
                    <w:spacing w:line="276" w:lineRule="auto"/>
                    <w:jc w:val="center"/>
                    <w:rPr>
                      <w:sz w:val="21"/>
                      <w:szCs w:val="21"/>
                    </w:rPr>
                  </w:pPr>
                  <w:r>
                    <w:rPr>
                      <w:rFonts w:hint="eastAsia"/>
                      <w:sz w:val="21"/>
                      <w:szCs w:val="21"/>
                    </w:rPr>
                    <w:t>纸</w:t>
                  </w:r>
                  <w:r>
                    <w:rPr>
                      <w:sz w:val="21"/>
                      <w:szCs w:val="21"/>
                    </w:rPr>
                    <w:t>箱</w:t>
                  </w:r>
                </w:p>
              </w:tc>
              <w:tc>
                <w:tcPr>
                  <w:tcW w:w="913" w:type="dxa"/>
                  <w:vAlign w:val="center"/>
                </w:tcPr>
                <w:p w14:paraId="5935CE51">
                  <w:pPr>
                    <w:spacing w:line="276" w:lineRule="auto"/>
                    <w:jc w:val="center"/>
                    <w:rPr>
                      <w:sz w:val="21"/>
                      <w:szCs w:val="21"/>
                    </w:rPr>
                  </w:pPr>
                  <w:r>
                    <w:rPr>
                      <w:rFonts w:hint="eastAsia"/>
                      <w:sz w:val="21"/>
                      <w:szCs w:val="21"/>
                    </w:rPr>
                    <w:t>8万只</w:t>
                  </w:r>
                </w:p>
              </w:tc>
              <w:tc>
                <w:tcPr>
                  <w:tcW w:w="1979" w:type="dxa"/>
                  <w:vAlign w:val="center"/>
                </w:tcPr>
                <w:p w14:paraId="5878650D">
                  <w:pPr>
                    <w:spacing w:line="276" w:lineRule="auto"/>
                    <w:jc w:val="center"/>
                    <w:rPr>
                      <w:sz w:val="21"/>
                      <w:szCs w:val="21"/>
                    </w:rPr>
                  </w:pPr>
                  <w:r>
                    <w:rPr>
                      <w:rFonts w:hint="eastAsia"/>
                      <w:sz w:val="21"/>
                      <w:szCs w:val="21"/>
                    </w:rPr>
                    <w:drawing>
                      <wp:inline distT="0" distB="0" distL="114300" distR="114300">
                        <wp:extent cx="665480" cy="1182370"/>
                        <wp:effectExtent l="0" t="0" r="17780" b="1270"/>
                        <wp:docPr id="10" name="图片 10" descr="6a80a769667c3043e99cc9bde597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a80a769667c3043e99cc9bde5970613"/>
                                <pic:cNvPicPr>
                                  <a:picLocks noChangeAspect="1"/>
                                </pic:cNvPicPr>
                              </pic:nvPicPr>
                              <pic:blipFill>
                                <a:blip r:embed="rId5"/>
                                <a:stretch>
                                  <a:fillRect/>
                                </a:stretch>
                              </pic:blipFill>
                              <pic:spPr>
                                <a:xfrm rot="5400000">
                                  <a:off x="0" y="0"/>
                                  <a:ext cx="665480" cy="1182370"/>
                                </a:xfrm>
                                <a:prstGeom prst="rect">
                                  <a:avLst/>
                                </a:prstGeom>
                              </pic:spPr>
                            </pic:pic>
                          </a:graphicData>
                        </a:graphic>
                      </wp:inline>
                    </w:drawing>
                  </w:r>
                </w:p>
              </w:tc>
            </w:tr>
            <w:tr w14:paraId="59DE31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84" w:type="dxa"/>
                  <w:vAlign w:val="center"/>
                </w:tcPr>
                <w:p w14:paraId="52B03B9A">
                  <w:pPr>
                    <w:spacing w:line="276" w:lineRule="auto"/>
                    <w:jc w:val="center"/>
                    <w:rPr>
                      <w:sz w:val="21"/>
                      <w:szCs w:val="21"/>
                    </w:rPr>
                  </w:pPr>
                  <w:r>
                    <w:rPr>
                      <w:rFonts w:hint="eastAsia"/>
                      <w:sz w:val="21"/>
                      <w:szCs w:val="21"/>
                    </w:rPr>
                    <w:t>2</w:t>
                  </w:r>
                </w:p>
              </w:tc>
              <w:tc>
                <w:tcPr>
                  <w:tcW w:w="1079" w:type="dxa"/>
                  <w:vAlign w:val="center"/>
                </w:tcPr>
                <w:p w14:paraId="13748360">
                  <w:pPr>
                    <w:spacing w:line="276" w:lineRule="auto"/>
                    <w:jc w:val="center"/>
                    <w:rPr>
                      <w:sz w:val="21"/>
                      <w:szCs w:val="21"/>
                    </w:rPr>
                  </w:pPr>
                  <w:r>
                    <w:rPr>
                      <w:rFonts w:hint="eastAsia"/>
                      <w:sz w:val="21"/>
                      <w:szCs w:val="21"/>
                    </w:rPr>
                    <w:t>控制臂总成2（钢板）</w:t>
                  </w:r>
                </w:p>
              </w:tc>
              <w:tc>
                <w:tcPr>
                  <w:tcW w:w="875" w:type="dxa"/>
                  <w:vAlign w:val="center"/>
                </w:tcPr>
                <w:p w14:paraId="62431144">
                  <w:pPr>
                    <w:spacing w:line="276" w:lineRule="auto"/>
                    <w:jc w:val="center"/>
                    <w:rPr>
                      <w:sz w:val="21"/>
                      <w:szCs w:val="21"/>
                    </w:rPr>
                  </w:pPr>
                  <w:r>
                    <w:rPr>
                      <w:sz w:val="21"/>
                      <w:szCs w:val="21"/>
                    </w:rPr>
                    <w:t>固体</w:t>
                  </w:r>
                </w:p>
              </w:tc>
              <w:tc>
                <w:tcPr>
                  <w:tcW w:w="1413" w:type="dxa"/>
                  <w:vAlign w:val="center"/>
                </w:tcPr>
                <w:p w14:paraId="6125B417">
                  <w:pPr>
                    <w:spacing w:line="276" w:lineRule="auto"/>
                    <w:jc w:val="center"/>
                    <w:rPr>
                      <w:bCs/>
                      <w:sz w:val="21"/>
                      <w:szCs w:val="21"/>
                    </w:rPr>
                  </w:pPr>
                  <w:r>
                    <w:rPr>
                      <w:rFonts w:hint="eastAsia"/>
                      <w:bCs/>
                      <w:sz w:val="21"/>
                      <w:szCs w:val="21"/>
                    </w:rPr>
                    <w:t>重量2~8kg/只</w:t>
                  </w:r>
                </w:p>
              </w:tc>
              <w:tc>
                <w:tcPr>
                  <w:tcW w:w="1012" w:type="dxa"/>
                  <w:vAlign w:val="center"/>
                </w:tcPr>
                <w:p w14:paraId="24F3E597">
                  <w:pPr>
                    <w:spacing w:line="276" w:lineRule="auto"/>
                    <w:jc w:val="center"/>
                    <w:rPr>
                      <w:sz w:val="21"/>
                      <w:szCs w:val="21"/>
                    </w:rPr>
                  </w:pPr>
                  <w:r>
                    <w:rPr>
                      <w:rFonts w:hint="eastAsia"/>
                      <w:sz w:val="21"/>
                      <w:szCs w:val="21"/>
                    </w:rPr>
                    <w:t>纸</w:t>
                  </w:r>
                  <w:r>
                    <w:rPr>
                      <w:sz w:val="21"/>
                      <w:szCs w:val="21"/>
                    </w:rPr>
                    <w:t>箱</w:t>
                  </w:r>
                </w:p>
              </w:tc>
              <w:tc>
                <w:tcPr>
                  <w:tcW w:w="913" w:type="dxa"/>
                  <w:vAlign w:val="center"/>
                </w:tcPr>
                <w:p w14:paraId="310AEB9A">
                  <w:pPr>
                    <w:spacing w:line="276" w:lineRule="auto"/>
                    <w:jc w:val="center"/>
                    <w:rPr>
                      <w:sz w:val="21"/>
                      <w:szCs w:val="21"/>
                    </w:rPr>
                  </w:pPr>
                  <w:r>
                    <w:rPr>
                      <w:rFonts w:hint="eastAsia"/>
                      <w:sz w:val="21"/>
                      <w:szCs w:val="21"/>
                    </w:rPr>
                    <w:t>92万只</w:t>
                  </w:r>
                </w:p>
              </w:tc>
              <w:tc>
                <w:tcPr>
                  <w:tcW w:w="1979" w:type="dxa"/>
                  <w:vAlign w:val="center"/>
                </w:tcPr>
                <w:p w14:paraId="7FBD3066">
                  <w:pPr>
                    <w:spacing w:line="276" w:lineRule="auto"/>
                    <w:jc w:val="center"/>
                    <w:rPr>
                      <w:sz w:val="21"/>
                      <w:szCs w:val="21"/>
                    </w:rPr>
                  </w:pPr>
                  <w:r>
                    <w:rPr>
                      <w:rFonts w:hint="eastAsia"/>
                      <w:sz w:val="21"/>
                      <w:szCs w:val="21"/>
                    </w:rPr>
                    <w:drawing>
                      <wp:inline distT="0" distB="0" distL="114300" distR="114300">
                        <wp:extent cx="1169670" cy="876935"/>
                        <wp:effectExtent l="0" t="0" r="11430" b="18415"/>
                        <wp:docPr id="3" name="图片 3" descr="0599dd9da61e4ec4595c6d69ec037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99dd9da61e4ec4595c6d69ec0371fb"/>
                                <pic:cNvPicPr>
                                  <a:picLocks noChangeAspect="1"/>
                                </pic:cNvPicPr>
                              </pic:nvPicPr>
                              <pic:blipFill>
                                <a:blip r:embed="rId6"/>
                                <a:stretch>
                                  <a:fillRect/>
                                </a:stretch>
                              </pic:blipFill>
                              <pic:spPr>
                                <a:xfrm>
                                  <a:off x="0" y="0"/>
                                  <a:ext cx="1169670" cy="876935"/>
                                </a:xfrm>
                                <a:prstGeom prst="rect">
                                  <a:avLst/>
                                </a:prstGeom>
                              </pic:spPr>
                            </pic:pic>
                          </a:graphicData>
                        </a:graphic>
                      </wp:inline>
                    </w:drawing>
                  </w:r>
                </w:p>
              </w:tc>
            </w:tr>
            <w:tr w14:paraId="6FF61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84" w:type="dxa"/>
                  <w:vAlign w:val="center"/>
                </w:tcPr>
                <w:p w14:paraId="6F569AB9">
                  <w:pPr>
                    <w:spacing w:line="276" w:lineRule="auto"/>
                    <w:jc w:val="center"/>
                    <w:rPr>
                      <w:sz w:val="21"/>
                      <w:szCs w:val="21"/>
                    </w:rPr>
                  </w:pPr>
                  <w:r>
                    <w:rPr>
                      <w:rFonts w:hint="eastAsia"/>
                      <w:sz w:val="21"/>
                      <w:szCs w:val="21"/>
                    </w:rPr>
                    <w:t>3</w:t>
                  </w:r>
                </w:p>
              </w:tc>
              <w:tc>
                <w:tcPr>
                  <w:tcW w:w="1079" w:type="dxa"/>
                  <w:vAlign w:val="center"/>
                </w:tcPr>
                <w:p w14:paraId="032988B4">
                  <w:pPr>
                    <w:spacing w:line="276" w:lineRule="auto"/>
                    <w:jc w:val="center"/>
                    <w:rPr>
                      <w:sz w:val="21"/>
                      <w:szCs w:val="21"/>
                    </w:rPr>
                  </w:pPr>
                  <w:r>
                    <w:rPr>
                      <w:rFonts w:hint="eastAsia"/>
                      <w:sz w:val="21"/>
                      <w:szCs w:val="21"/>
                    </w:rPr>
                    <w:t>衬套</w:t>
                  </w:r>
                </w:p>
              </w:tc>
              <w:tc>
                <w:tcPr>
                  <w:tcW w:w="875" w:type="dxa"/>
                  <w:vAlign w:val="center"/>
                </w:tcPr>
                <w:p w14:paraId="2C0C528E">
                  <w:pPr>
                    <w:spacing w:line="276" w:lineRule="auto"/>
                    <w:jc w:val="center"/>
                    <w:rPr>
                      <w:sz w:val="21"/>
                      <w:szCs w:val="21"/>
                    </w:rPr>
                  </w:pPr>
                  <w:r>
                    <w:rPr>
                      <w:sz w:val="21"/>
                      <w:szCs w:val="21"/>
                    </w:rPr>
                    <w:t>固体</w:t>
                  </w:r>
                </w:p>
              </w:tc>
              <w:tc>
                <w:tcPr>
                  <w:tcW w:w="1413" w:type="dxa"/>
                  <w:vAlign w:val="center"/>
                </w:tcPr>
                <w:p w14:paraId="3C71992E">
                  <w:pPr>
                    <w:spacing w:line="276" w:lineRule="auto"/>
                    <w:jc w:val="center"/>
                    <w:rPr>
                      <w:bCs/>
                      <w:sz w:val="21"/>
                      <w:szCs w:val="21"/>
                    </w:rPr>
                  </w:pPr>
                  <w:r>
                    <w:rPr>
                      <w:rFonts w:hint="eastAsia"/>
                      <w:bCs/>
                      <w:sz w:val="21"/>
                      <w:szCs w:val="21"/>
                    </w:rPr>
                    <w:t>重量0.2~0.8kg/只</w:t>
                  </w:r>
                </w:p>
              </w:tc>
              <w:tc>
                <w:tcPr>
                  <w:tcW w:w="1012" w:type="dxa"/>
                  <w:vAlign w:val="center"/>
                </w:tcPr>
                <w:p w14:paraId="18840FDC">
                  <w:pPr>
                    <w:spacing w:line="276" w:lineRule="auto"/>
                    <w:jc w:val="center"/>
                    <w:rPr>
                      <w:sz w:val="21"/>
                      <w:szCs w:val="21"/>
                    </w:rPr>
                  </w:pPr>
                  <w:r>
                    <w:rPr>
                      <w:rFonts w:hint="eastAsia"/>
                      <w:sz w:val="21"/>
                      <w:szCs w:val="21"/>
                    </w:rPr>
                    <w:t>纸</w:t>
                  </w:r>
                  <w:r>
                    <w:rPr>
                      <w:sz w:val="21"/>
                      <w:szCs w:val="21"/>
                    </w:rPr>
                    <w:t>箱</w:t>
                  </w:r>
                </w:p>
              </w:tc>
              <w:tc>
                <w:tcPr>
                  <w:tcW w:w="913" w:type="dxa"/>
                  <w:vAlign w:val="center"/>
                </w:tcPr>
                <w:p w14:paraId="46117884">
                  <w:pPr>
                    <w:spacing w:line="276" w:lineRule="auto"/>
                    <w:jc w:val="center"/>
                    <w:rPr>
                      <w:sz w:val="21"/>
                      <w:szCs w:val="21"/>
                    </w:rPr>
                  </w:pPr>
                  <w:r>
                    <w:rPr>
                      <w:rFonts w:hint="eastAsia"/>
                      <w:sz w:val="21"/>
                      <w:szCs w:val="21"/>
                    </w:rPr>
                    <w:t>300万只</w:t>
                  </w:r>
                </w:p>
              </w:tc>
              <w:tc>
                <w:tcPr>
                  <w:tcW w:w="1979" w:type="dxa"/>
                  <w:vAlign w:val="center"/>
                </w:tcPr>
                <w:p w14:paraId="1FB6D74F">
                  <w:pPr>
                    <w:spacing w:line="276" w:lineRule="auto"/>
                    <w:jc w:val="center"/>
                    <w:rPr>
                      <w:sz w:val="21"/>
                      <w:szCs w:val="21"/>
                    </w:rPr>
                  </w:pPr>
                  <w:r>
                    <w:rPr>
                      <w:rFonts w:hint="eastAsia"/>
                      <w:sz w:val="21"/>
                      <w:szCs w:val="21"/>
                    </w:rPr>
                    <w:drawing>
                      <wp:inline distT="0" distB="0" distL="114300" distR="114300">
                        <wp:extent cx="1179195" cy="1279525"/>
                        <wp:effectExtent l="0" t="0" r="1905" b="15875"/>
                        <wp:docPr id="2" name="图片 2" descr="2bedc93a4fc4d1832cb803b4f066a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bedc93a4fc4d1832cb803b4f066a79c"/>
                                <pic:cNvPicPr>
                                  <a:picLocks noChangeAspect="1"/>
                                </pic:cNvPicPr>
                              </pic:nvPicPr>
                              <pic:blipFill>
                                <a:blip r:embed="rId7"/>
                                <a:stretch>
                                  <a:fillRect/>
                                </a:stretch>
                              </pic:blipFill>
                              <pic:spPr>
                                <a:xfrm>
                                  <a:off x="0" y="0"/>
                                  <a:ext cx="1179195" cy="1279525"/>
                                </a:xfrm>
                                <a:prstGeom prst="rect">
                                  <a:avLst/>
                                </a:prstGeom>
                              </pic:spPr>
                            </pic:pic>
                          </a:graphicData>
                        </a:graphic>
                      </wp:inline>
                    </w:drawing>
                  </w:r>
                </w:p>
              </w:tc>
            </w:tr>
          </w:tbl>
          <w:p w14:paraId="124736F4">
            <w:pPr>
              <w:spacing w:line="360" w:lineRule="auto"/>
              <w:ind w:firstLine="482" w:firstLineChars="200"/>
              <w:jc w:val="left"/>
              <w:rPr>
                <w:b/>
              </w:rPr>
            </w:pPr>
            <w:r>
              <w:rPr>
                <w:rFonts w:hint="eastAsia"/>
                <w:b/>
              </w:rPr>
              <w:t>3</w:t>
            </w:r>
            <w:r>
              <w:rPr>
                <w:b/>
              </w:rPr>
              <w:t>、主要生产设备</w:t>
            </w:r>
          </w:p>
          <w:p w14:paraId="683C6177">
            <w:pPr>
              <w:spacing w:line="360" w:lineRule="auto"/>
              <w:ind w:firstLine="480" w:firstLineChars="200"/>
            </w:pPr>
            <w:r>
              <w:t>本项目主要生产设备见下表</w:t>
            </w:r>
            <w:r>
              <w:rPr>
                <w:rFonts w:hint="eastAsia"/>
              </w:rPr>
              <w:t>。</w:t>
            </w:r>
          </w:p>
          <w:p w14:paraId="3D5EEAC0">
            <w:pPr>
              <w:pStyle w:val="3"/>
              <w:spacing w:before="0" w:after="0" w:line="360" w:lineRule="auto"/>
              <w:jc w:val="center"/>
            </w:pPr>
            <w:r>
              <w:rPr>
                <w:rFonts w:ascii="Times New Roman" w:hAnsi="Times New Roman" w:eastAsia="黑体" w:cs="Times New Roman"/>
                <w:b w:val="0"/>
                <w:bCs w:val="0"/>
                <w:sz w:val="24"/>
                <w:szCs w:val="24"/>
              </w:rPr>
              <w:t>表2-4  项目主要生产设备一览表</w:t>
            </w:r>
          </w:p>
          <w:tbl>
            <w:tblPr>
              <w:tblStyle w:val="16"/>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721"/>
              <w:gridCol w:w="674"/>
              <w:gridCol w:w="911"/>
              <w:gridCol w:w="1638"/>
              <w:gridCol w:w="836"/>
              <w:gridCol w:w="1754"/>
              <w:gridCol w:w="723"/>
            </w:tblGrid>
            <w:tr w14:paraId="624D60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1914A61">
                  <w:pPr>
                    <w:spacing w:line="276" w:lineRule="auto"/>
                    <w:jc w:val="center"/>
                    <w:rPr>
                      <w:b/>
                      <w:sz w:val="21"/>
                      <w:szCs w:val="21"/>
                    </w:rPr>
                  </w:pPr>
                  <w:r>
                    <w:rPr>
                      <w:b/>
                      <w:sz w:val="21"/>
                      <w:szCs w:val="21"/>
                    </w:rPr>
                    <w:t>序号</w:t>
                  </w:r>
                </w:p>
              </w:tc>
              <w:tc>
                <w:tcPr>
                  <w:tcW w:w="898" w:type="pct"/>
                  <w:gridSpan w:val="2"/>
                  <w:vAlign w:val="center"/>
                </w:tcPr>
                <w:p w14:paraId="7BFFCDEE">
                  <w:pPr>
                    <w:spacing w:line="276" w:lineRule="auto"/>
                    <w:jc w:val="center"/>
                    <w:rPr>
                      <w:b/>
                      <w:sz w:val="21"/>
                      <w:szCs w:val="21"/>
                    </w:rPr>
                  </w:pPr>
                  <w:r>
                    <w:rPr>
                      <w:rFonts w:hint="eastAsia"/>
                      <w:b/>
                      <w:sz w:val="21"/>
                      <w:szCs w:val="21"/>
                    </w:rPr>
                    <w:t>主要生产单元</w:t>
                  </w:r>
                </w:p>
              </w:tc>
              <w:tc>
                <w:tcPr>
                  <w:tcW w:w="586" w:type="pct"/>
                  <w:vAlign w:val="center"/>
                </w:tcPr>
                <w:p w14:paraId="6AECD378">
                  <w:pPr>
                    <w:spacing w:line="276" w:lineRule="auto"/>
                    <w:jc w:val="center"/>
                    <w:rPr>
                      <w:b/>
                      <w:sz w:val="21"/>
                      <w:szCs w:val="21"/>
                    </w:rPr>
                  </w:pPr>
                  <w:r>
                    <w:rPr>
                      <w:rFonts w:hint="eastAsia"/>
                      <w:b/>
                      <w:sz w:val="21"/>
                      <w:szCs w:val="21"/>
                    </w:rPr>
                    <w:t>主要工艺</w:t>
                  </w:r>
                </w:p>
              </w:tc>
              <w:tc>
                <w:tcPr>
                  <w:tcW w:w="1054" w:type="pct"/>
                  <w:vAlign w:val="center"/>
                </w:tcPr>
                <w:p w14:paraId="3F2407C5">
                  <w:pPr>
                    <w:spacing w:line="276" w:lineRule="auto"/>
                    <w:jc w:val="center"/>
                    <w:rPr>
                      <w:b/>
                      <w:sz w:val="21"/>
                      <w:szCs w:val="21"/>
                    </w:rPr>
                  </w:pPr>
                  <w:r>
                    <w:rPr>
                      <w:b/>
                      <w:sz w:val="21"/>
                      <w:szCs w:val="21"/>
                    </w:rPr>
                    <w:t>生产</w:t>
                  </w:r>
                  <w:r>
                    <w:rPr>
                      <w:rFonts w:hint="eastAsia"/>
                      <w:b/>
                      <w:sz w:val="21"/>
                      <w:szCs w:val="21"/>
                    </w:rPr>
                    <w:t>设备</w:t>
                  </w:r>
                </w:p>
              </w:tc>
              <w:tc>
                <w:tcPr>
                  <w:tcW w:w="538" w:type="pct"/>
                  <w:vAlign w:val="center"/>
                </w:tcPr>
                <w:p w14:paraId="2FC9392F">
                  <w:pPr>
                    <w:spacing w:line="276" w:lineRule="auto"/>
                    <w:jc w:val="center"/>
                    <w:rPr>
                      <w:b/>
                      <w:sz w:val="21"/>
                      <w:szCs w:val="21"/>
                    </w:rPr>
                  </w:pPr>
                  <w:r>
                    <w:rPr>
                      <w:b/>
                      <w:sz w:val="21"/>
                      <w:szCs w:val="21"/>
                    </w:rPr>
                    <w:t>数量（台/</w:t>
                  </w:r>
                  <w:r>
                    <w:rPr>
                      <w:rFonts w:hint="eastAsia"/>
                      <w:b/>
                      <w:sz w:val="21"/>
                      <w:szCs w:val="21"/>
                    </w:rPr>
                    <w:t>套</w:t>
                  </w:r>
                  <w:r>
                    <w:rPr>
                      <w:b/>
                      <w:sz w:val="21"/>
                      <w:szCs w:val="21"/>
                    </w:rPr>
                    <w:t>）</w:t>
                  </w:r>
                </w:p>
              </w:tc>
              <w:tc>
                <w:tcPr>
                  <w:tcW w:w="1129" w:type="pct"/>
                  <w:vAlign w:val="center"/>
                </w:tcPr>
                <w:p w14:paraId="5EC90E54">
                  <w:pPr>
                    <w:spacing w:line="276" w:lineRule="auto"/>
                    <w:jc w:val="center"/>
                    <w:rPr>
                      <w:b/>
                      <w:sz w:val="21"/>
                      <w:szCs w:val="21"/>
                    </w:rPr>
                  </w:pPr>
                  <w:r>
                    <w:rPr>
                      <w:b/>
                      <w:sz w:val="21"/>
                      <w:szCs w:val="21"/>
                    </w:rPr>
                    <w:t>规格型号</w:t>
                  </w:r>
                </w:p>
              </w:tc>
              <w:tc>
                <w:tcPr>
                  <w:tcW w:w="462" w:type="pct"/>
                  <w:vAlign w:val="center"/>
                </w:tcPr>
                <w:p w14:paraId="22A97528">
                  <w:pPr>
                    <w:spacing w:line="276" w:lineRule="auto"/>
                    <w:jc w:val="center"/>
                    <w:rPr>
                      <w:b/>
                      <w:sz w:val="21"/>
                      <w:szCs w:val="21"/>
                    </w:rPr>
                  </w:pPr>
                  <w:r>
                    <w:rPr>
                      <w:rFonts w:hint="eastAsia"/>
                      <w:b/>
                      <w:sz w:val="21"/>
                      <w:szCs w:val="21"/>
                    </w:rPr>
                    <w:t>位置</w:t>
                  </w:r>
                </w:p>
              </w:tc>
            </w:tr>
            <w:tr w14:paraId="19051D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5000" w:type="pct"/>
                  <w:gridSpan w:val="8"/>
                  <w:vAlign w:val="center"/>
                </w:tcPr>
                <w:p w14:paraId="215C9837">
                  <w:pPr>
                    <w:spacing w:line="276" w:lineRule="auto"/>
                    <w:jc w:val="center"/>
                    <w:rPr>
                      <w:b/>
                      <w:sz w:val="21"/>
                      <w:szCs w:val="21"/>
                    </w:rPr>
                  </w:pPr>
                  <w:r>
                    <w:rPr>
                      <w:rFonts w:hint="eastAsia"/>
                      <w:b/>
                      <w:sz w:val="21"/>
                      <w:szCs w:val="21"/>
                    </w:rPr>
                    <w:t>控制臂总成生产线</w:t>
                  </w:r>
                </w:p>
              </w:tc>
            </w:tr>
            <w:tr w14:paraId="1B4F45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8BCF0FD">
                  <w:pPr>
                    <w:spacing w:line="276" w:lineRule="auto"/>
                    <w:jc w:val="center"/>
                    <w:rPr>
                      <w:bCs/>
                      <w:sz w:val="21"/>
                      <w:szCs w:val="21"/>
                    </w:rPr>
                  </w:pPr>
                  <w:r>
                    <w:rPr>
                      <w:rFonts w:hint="eastAsia"/>
                      <w:bCs/>
                      <w:sz w:val="21"/>
                      <w:szCs w:val="21"/>
                    </w:rPr>
                    <w:t>1</w:t>
                  </w:r>
                </w:p>
              </w:tc>
              <w:tc>
                <w:tcPr>
                  <w:tcW w:w="464" w:type="pct"/>
                  <w:vMerge w:val="restart"/>
                  <w:vAlign w:val="center"/>
                </w:tcPr>
                <w:p w14:paraId="1A6F561B">
                  <w:pPr>
                    <w:spacing w:line="276" w:lineRule="auto"/>
                    <w:jc w:val="center"/>
                    <w:rPr>
                      <w:bCs/>
                      <w:sz w:val="21"/>
                      <w:szCs w:val="21"/>
                    </w:rPr>
                  </w:pPr>
                  <w:r>
                    <w:rPr>
                      <w:bCs/>
                      <w:sz w:val="21"/>
                      <w:szCs w:val="21"/>
                    </w:rPr>
                    <w:t>控制臂总成成品</w:t>
                  </w:r>
                  <w:r>
                    <w:rPr>
                      <w:rFonts w:hint="eastAsia"/>
                      <w:bCs/>
                      <w:sz w:val="21"/>
                      <w:szCs w:val="21"/>
                    </w:rPr>
                    <w:t>1</w:t>
                  </w:r>
                </w:p>
              </w:tc>
              <w:tc>
                <w:tcPr>
                  <w:tcW w:w="434" w:type="pct"/>
                  <w:vAlign w:val="center"/>
                </w:tcPr>
                <w:p w14:paraId="3B563D3D">
                  <w:pPr>
                    <w:spacing w:line="276" w:lineRule="auto"/>
                    <w:jc w:val="center"/>
                    <w:rPr>
                      <w:bCs/>
                      <w:sz w:val="21"/>
                      <w:szCs w:val="21"/>
                    </w:rPr>
                  </w:pPr>
                  <w:r>
                    <w:rPr>
                      <w:rFonts w:hint="eastAsia"/>
                      <w:bCs/>
                      <w:sz w:val="21"/>
                      <w:szCs w:val="21"/>
                    </w:rPr>
                    <w:t>成型</w:t>
                  </w:r>
                </w:p>
              </w:tc>
              <w:tc>
                <w:tcPr>
                  <w:tcW w:w="586" w:type="pct"/>
                  <w:vAlign w:val="center"/>
                </w:tcPr>
                <w:p w14:paraId="226F51EB">
                  <w:pPr>
                    <w:spacing w:line="276" w:lineRule="auto"/>
                    <w:jc w:val="center"/>
                    <w:rPr>
                      <w:bCs/>
                      <w:sz w:val="21"/>
                      <w:szCs w:val="21"/>
                    </w:rPr>
                  </w:pPr>
                  <w:r>
                    <w:rPr>
                      <w:rFonts w:hint="eastAsia"/>
                      <w:bCs/>
                      <w:sz w:val="21"/>
                      <w:szCs w:val="21"/>
                    </w:rPr>
                    <w:t>成型</w:t>
                  </w:r>
                </w:p>
              </w:tc>
              <w:tc>
                <w:tcPr>
                  <w:tcW w:w="1054" w:type="pct"/>
                  <w:vAlign w:val="center"/>
                </w:tcPr>
                <w:p w14:paraId="4F77F81D">
                  <w:pPr>
                    <w:spacing w:line="276" w:lineRule="auto"/>
                    <w:jc w:val="center"/>
                    <w:rPr>
                      <w:bCs/>
                      <w:sz w:val="21"/>
                      <w:szCs w:val="21"/>
                    </w:rPr>
                  </w:pPr>
                  <w:r>
                    <w:rPr>
                      <w:rFonts w:hint="eastAsia"/>
                      <w:bCs/>
                      <w:sz w:val="21"/>
                      <w:szCs w:val="21"/>
                    </w:rPr>
                    <w:t>四工位伺服换模成型机</w:t>
                  </w:r>
                </w:p>
              </w:tc>
              <w:tc>
                <w:tcPr>
                  <w:tcW w:w="538" w:type="pct"/>
                  <w:vAlign w:val="center"/>
                </w:tcPr>
                <w:p w14:paraId="7C50C57F">
                  <w:pPr>
                    <w:spacing w:line="276" w:lineRule="auto"/>
                    <w:jc w:val="center"/>
                    <w:rPr>
                      <w:bCs/>
                      <w:sz w:val="21"/>
                      <w:szCs w:val="21"/>
                    </w:rPr>
                  </w:pPr>
                  <w:r>
                    <w:rPr>
                      <w:rFonts w:hint="eastAsia"/>
                      <w:bCs/>
                      <w:sz w:val="21"/>
                      <w:szCs w:val="21"/>
                    </w:rPr>
                    <w:t>1</w:t>
                  </w:r>
                </w:p>
              </w:tc>
              <w:tc>
                <w:tcPr>
                  <w:tcW w:w="1129" w:type="pct"/>
                  <w:vAlign w:val="center"/>
                </w:tcPr>
                <w:p w14:paraId="01EC9603">
                  <w:pPr>
                    <w:spacing w:line="276" w:lineRule="auto"/>
                    <w:jc w:val="center"/>
                    <w:rPr>
                      <w:bCs/>
                      <w:sz w:val="21"/>
                      <w:szCs w:val="21"/>
                    </w:rPr>
                  </w:pPr>
                  <w:r>
                    <w:rPr>
                      <w:rFonts w:hint="eastAsia"/>
                      <w:bCs/>
                      <w:sz w:val="21"/>
                      <w:szCs w:val="21"/>
                    </w:rPr>
                    <w:t>/</w:t>
                  </w:r>
                </w:p>
              </w:tc>
              <w:tc>
                <w:tcPr>
                  <w:tcW w:w="462" w:type="pct"/>
                  <w:vMerge w:val="restart"/>
                  <w:vAlign w:val="center"/>
                </w:tcPr>
                <w:p w14:paraId="61AA961E">
                  <w:pPr>
                    <w:spacing w:line="276" w:lineRule="auto"/>
                    <w:jc w:val="center"/>
                    <w:rPr>
                      <w:bCs/>
                      <w:sz w:val="21"/>
                      <w:szCs w:val="21"/>
                    </w:rPr>
                  </w:pPr>
                  <w:r>
                    <w:rPr>
                      <w:bCs/>
                      <w:sz w:val="21"/>
                      <w:szCs w:val="21"/>
                    </w:rPr>
                    <w:t>冲压</w:t>
                  </w:r>
                  <w:r>
                    <w:rPr>
                      <w:rFonts w:hint="eastAsia"/>
                      <w:bCs/>
                      <w:sz w:val="21"/>
                      <w:szCs w:val="21"/>
                    </w:rPr>
                    <w:t>区</w:t>
                  </w:r>
                </w:p>
              </w:tc>
            </w:tr>
            <w:tr w14:paraId="1EC1B6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B99A8D5">
                  <w:pPr>
                    <w:spacing w:line="276" w:lineRule="auto"/>
                    <w:jc w:val="center"/>
                    <w:rPr>
                      <w:bCs/>
                      <w:sz w:val="21"/>
                      <w:szCs w:val="21"/>
                    </w:rPr>
                  </w:pPr>
                  <w:r>
                    <w:rPr>
                      <w:rFonts w:hint="eastAsia"/>
                      <w:bCs/>
                      <w:sz w:val="21"/>
                      <w:szCs w:val="21"/>
                    </w:rPr>
                    <w:t>2</w:t>
                  </w:r>
                </w:p>
              </w:tc>
              <w:tc>
                <w:tcPr>
                  <w:tcW w:w="464" w:type="pct"/>
                  <w:vMerge w:val="continue"/>
                  <w:vAlign w:val="center"/>
                </w:tcPr>
                <w:p w14:paraId="65D65519">
                  <w:pPr>
                    <w:spacing w:line="276" w:lineRule="auto"/>
                    <w:jc w:val="center"/>
                    <w:rPr>
                      <w:bCs/>
                      <w:sz w:val="21"/>
                      <w:szCs w:val="21"/>
                    </w:rPr>
                  </w:pPr>
                </w:p>
              </w:tc>
              <w:tc>
                <w:tcPr>
                  <w:tcW w:w="434" w:type="pct"/>
                  <w:vAlign w:val="center"/>
                </w:tcPr>
                <w:p w14:paraId="634A2038">
                  <w:pPr>
                    <w:spacing w:line="276" w:lineRule="auto"/>
                    <w:jc w:val="center"/>
                    <w:rPr>
                      <w:bCs/>
                      <w:sz w:val="21"/>
                      <w:szCs w:val="21"/>
                    </w:rPr>
                  </w:pPr>
                  <w:r>
                    <w:rPr>
                      <w:rFonts w:hint="eastAsia"/>
                      <w:bCs/>
                      <w:sz w:val="21"/>
                      <w:szCs w:val="21"/>
                    </w:rPr>
                    <w:t>弯管</w:t>
                  </w:r>
                </w:p>
              </w:tc>
              <w:tc>
                <w:tcPr>
                  <w:tcW w:w="586" w:type="pct"/>
                  <w:vAlign w:val="center"/>
                </w:tcPr>
                <w:p w14:paraId="1F96BD75">
                  <w:pPr>
                    <w:spacing w:line="276" w:lineRule="auto"/>
                    <w:jc w:val="center"/>
                    <w:rPr>
                      <w:bCs/>
                      <w:sz w:val="21"/>
                      <w:szCs w:val="21"/>
                    </w:rPr>
                  </w:pPr>
                  <w:r>
                    <w:rPr>
                      <w:rFonts w:hint="eastAsia"/>
                      <w:bCs/>
                      <w:sz w:val="21"/>
                      <w:szCs w:val="21"/>
                    </w:rPr>
                    <w:t>弯管</w:t>
                  </w:r>
                </w:p>
              </w:tc>
              <w:tc>
                <w:tcPr>
                  <w:tcW w:w="1054" w:type="pct"/>
                  <w:vAlign w:val="center"/>
                </w:tcPr>
                <w:p w14:paraId="62B065E7">
                  <w:pPr>
                    <w:spacing w:line="276" w:lineRule="auto"/>
                    <w:jc w:val="center"/>
                    <w:rPr>
                      <w:bCs/>
                      <w:sz w:val="21"/>
                      <w:szCs w:val="21"/>
                    </w:rPr>
                  </w:pPr>
                  <w:r>
                    <w:rPr>
                      <w:rFonts w:hint="eastAsia"/>
                      <w:bCs/>
                      <w:sz w:val="21"/>
                      <w:szCs w:val="21"/>
                    </w:rPr>
                    <w:t>单头液压弯管机</w:t>
                  </w:r>
                </w:p>
              </w:tc>
              <w:tc>
                <w:tcPr>
                  <w:tcW w:w="538" w:type="pct"/>
                  <w:vAlign w:val="center"/>
                </w:tcPr>
                <w:p w14:paraId="3FF28A7D">
                  <w:pPr>
                    <w:spacing w:line="276" w:lineRule="auto"/>
                    <w:jc w:val="center"/>
                    <w:rPr>
                      <w:bCs/>
                      <w:sz w:val="21"/>
                      <w:szCs w:val="21"/>
                    </w:rPr>
                  </w:pPr>
                  <w:r>
                    <w:rPr>
                      <w:rFonts w:hint="eastAsia"/>
                      <w:bCs/>
                      <w:sz w:val="21"/>
                      <w:szCs w:val="21"/>
                    </w:rPr>
                    <w:t>1</w:t>
                  </w:r>
                </w:p>
              </w:tc>
              <w:tc>
                <w:tcPr>
                  <w:tcW w:w="1129" w:type="pct"/>
                  <w:vAlign w:val="center"/>
                </w:tcPr>
                <w:p w14:paraId="644ADE16">
                  <w:pPr>
                    <w:spacing w:line="276" w:lineRule="auto"/>
                    <w:jc w:val="center"/>
                    <w:rPr>
                      <w:bCs/>
                      <w:sz w:val="21"/>
                      <w:szCs w:val="21"/>
                    </w:rPr>
                  </w:pPr>
                  <w:r>
                    <w:rPr>
                      <w:rFonts w:hint="eastAsia"/>
                      <w:bCs/>
                      <w:sz w:val="21"/>
                      <w:szCs w:val="21"/>
                    </w:rPr>
                    <w:t>/</w:t>
                  </w:r>
                </w:p>
              </w:tc>
              <w:tc>
                <w:tcPr>
                  <w:tcW w:w="462" w:type="pct"/>
                  <w:vMerge w:val="continue"/>
                  <w:vAlign w:val="center"/>
                </w:tcPr>
                <w:p w14:paraId="56A754F0">
                  <w:pPr>
                    <w:spacing w:line="276" w:lineRule="auto"/>
                    <w:jc w:val="center"/>
                    <w:rPr>
                      <w:bCs/>
                      <w:sz w:val="21"/>
                      <w:szCs w:val="21"/>
                    </w:rPr>
                  </w:pPr>
                </w:p>
              </w:tc>
            </w:tr>
            <w:tr w14:paraId="6142A1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E78ED05">
                  <w:pPr>
                    <w:spacing w:line="276" w:lineRule="auto"/>
                    <w:jc w:val="center"/>
                    <w:rPr>
                      <w:bCs/>
                      <w:sz w:val="21"/>
                      <w:szCs w:val="21"/>
                    </w:rPr>
                  </w:pPr>
                  <w:r>
                    <w:rPr>
                      <w:rFonts w:hint="eastAsia"/>
                      <w:bCs/>
                      <w:sz w:val="21"/>
                      <w:szCs w:val="21"/>
                    </w:rPr>
                    <w:t>3</w:t>
                  </w:r>
                </w:p>
              </w:tc>
              <w:tc>
                <w:tcPr>
                  <w:tcW w:w="464" w:type="pct"/>
                  <w:vMerge w:val="continue"/>
                  <w:vAlign w:val="center"/>
                </w:tcPr>
                <w:p w14:paraId="227F725F">
                  <w:pPr>
                    <w:spacing w:line="276" w:lineRule="auto"/>
                    <w:jc w:val="center"/>
                    <w:rPr>
                      <w:bCs/>
                      <w:sz w:val="21"/>
                      <w:szCs w:val="21"/>
                    </w:rPr>
                  </w:pPr>
                </w:p>
              </w:tc>
              <w:tc>
                <w:tcPr>
                  <w:tcW w:w="434" w:type="pct"/>
                  <w:vAlign w:val="center"/>
                </w:tcPr>
                <w:p w14:paraId="16BF251B">
                  <w:pPr>
                    <w:spacing w:line="276" w:lineRule="auto"/>
                    <w:jc w:val="center"/>
                    <w:rPr>
                      <w:bCs/>
                      <w:sz w:val="21"/>
                      <w:szCs w:val="21"/>
                    </w:rPr>
                  </w:pPr>
                  <w:r>
                    <w:rPr>
                      <w:rFonts w:hint="eastAsia"/>
                      <w:bCs/>
                      <w:sz w:val="21"/>
                      <w:szCs w:val="21"/>
                    </w:rPr>
                    <w:t>压机</w:t>
                  </w:r>
                </w:p>
              </w:tc>
              <w:tc>
                <w:tcPr>
                  <w:tcW w:w="586" w:type="pct"/>
                  <w:vAlign w:val="center"/>
                </w:tcPr>
                <w:p w14:paraId="25C3EF22">
                  <w:pPr>
                    <w:spacing w:line="276" w:lineRule="auto"/>
                    <w:jc w:val="center"/>
                    <w:rPr>
                      <w:bCs/>
                      <w:sz w:val="21"/>
                      <w:szCs w:val="21"/>
                    </w:rPr>
                  </w:pPr>
                  <w:r>
                    <w:rPr>
                      <w:rFonts w:hint="eastAsia"/>
                      <w:bCs/>
                      <w:sz w:val="21"/>
                      <w:szCs w:val="21"/>
                    </w:rPr>
                    <w:t>压机</w:t>
                  </w:r>
                </w:p>
              </w:tc>
              <w:tc>
                <w:tcPr>
                  <w:tcW w:w="1054" w:type="pct"/>
                  <w:vAlign w:val="center"/>
                </w:tcPr>
                <w:p w14:paraId="3F6495D8">
                  <w:pPr>
                    <w:spacing w:line="276" w:lineRule="auto"/>
                    <w:jc w:val="center"/>
                    <w:rPr>
                      <w:bCs/>
                      <w:sz w:val="21"/>
                      <w:szCs w:val="21"/>
                    </w:rPr>
                  </w:pPr>
                  <w:r>
                    <w:rPr>
                      <w:rFonts w:hint="eastAsia"/>
                      <w:bCs/>
                      <w:sz w:val="21"/>
                      <w:szCs w:val="21"/>
                    </w:rPr>
                    <w:t>单柱液压机</w:t>
                  </w:r>
                </w:p>
              </w:tc>
              <w:tc>
                <w:tcPr>
                  <w:tcW w:w="538" w:type="pct"/>
                  <w:vAlign w:val="center"/>
                </w:tcPr>
                <w:p w14:paraId="7005B50C">
                  <w:pPr>
                    <w:spacing w:line="276" w:lineRule="auto"/>
                    <w:jc w:val="center"/>
                    <w:rPr>
                      <w:bCs/>
                      <w:sz w:val="21"/>
                      <w:szCs w:val="21"/>
                    </w:rPr>
                  </w:pPr>
                  <w:r>
                    <w:rPr>
                      <w:rFonts w:hint="eastAsia"/>
                      <w:bCs/>
                      <w:sz w:val="21"/>
                      <w:szCs w:val="21"/>
                    </w:rPr>
                    <w:t>1</w:t>
                  </w:r>
                </w:p>
              </w:tc>
              <w:tc>
                <w:tcPr>
                  <w:tcW w:w="1129" w:type="pct"/>
                  <w:vAlign w:val="center"/>
                </w:tcPr>
                <w:p w14:paraId="256E0914">
                  <w:pPr>
                    <w:spacing w:line="276" w:lineRule="auto"/>
                    <w:jc w:val="center"/>
                    <w:rPr>
                      <w:bCs/>
                      <w:sz w:val="21"/>
                      <w:szCs w:val="21"/>
                    </w:rPr>
                  </w:pPr>
                  <w:r>
                    <w:rPr>
                      <w:rFonts w:hint="eastAsia"/>
                      <w:bCs/>
                      <w:sz w:val="21"/>
                      <w:szCs w:val="21"/>
                    </w:rPr>
                    <w:t>500T</w:t>
                  </w:r>
                </w:p>
              </w:tc>
              <w:tc>
                <w:tcPr>
                  <w:tcW w:w="462" w:type="pct"/>
                  <w:vMerge w:val="continue"/>
                  <w:vAlign w:val="center"/>
                </w:tcPr>
                <w:p w14:paraId="789AEF44">
                  <w:pPr>
                    <w:spacing w:line="276" w:lineRule="auto"/>
                    <w:jc w:val="center"/>
                    <w:rPr>
                      <w:bCs/>
                      <w:sz w:val="21"/>
                      <w:szCs w:val="21"/>
                    </w:rPr>
                  </w:pPr>
                </w:p>
              </w:tc>
            </w:tr>
            <w:tr w14:paraId="25116C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17D474E">
                  <w:pPr>
                    <w:spacing w:line="276" w:lineRule="auto"/>
                    <w:jc w:val="center"/>
                    <w:rPr>
                      <w:bCs/>
                      <w:sz w:val="21"/>
                      <w:szCs w:val="21"/>
                    </w:rPr>
                  </w:pPr>
                  <w:r>
                    <w:rPr>
                      <w:rFonts w:hint="eastAsia"/>
                      <w:bCs/>
                      <w:sz w:val="21"/>
                      <w:szCs w:val="21"/>
                    </w:rPr>
                    <w:t>4</w:t>
                  </w:r>
                </w:p>
              </w:tc>
              <w:tc>
                <w:tcPr>
                  <w:tcW w:w="464" w:type="pct"/>
                  <w:vMerge w:val="continue"/>
                  <w:vAlign w:val="center"/>
                </w:tcPr>
                <w:p w14:paraId="52A2D543">
                  <w:pPr>
                    <w:spacing w:line="276" w:lineRule="auto"/>
                    <w:jc w:val="center"/>
                    <w:rPr>
                      <w:bCs/>
                      <w:sz w:val="21"/>
                      <w:szCs w:val="21"/>
                    </w:rPr>
                  </w:pPr>
                </w:p>
              </w:tc>
              <w:tc>
                <w:tcPr>
                  <w:tcW w:w="434" w:type="pct"/>
                  <w:vAlign w:val="center"/>
                </w:tcPr>
                <w:p w14:paraId="304F054D">
                  <w:pPr>
                    <w:spacing w:line="276" w:lineRule="auto"/>
                    <w:jc w:val="center"/>
                    <w:rPr>
                      <w:bCs/>
                      <w:sz w:val="21"/>
                      <w:szCs w:val="21"/>
                    </w:rPr>
                  </w:pPr>
                  <w:r>
                    <w:rPr>
                      <w:rFonts w:hint="eastAsia"/>
                      <w:bCs/>
                      <w:sz w:val="21"/>
                      <w:szCs w:val="21"/>
                    </w:rPr>
                    <w:t>切管</w:t>
                  </w:r>
                </w:p>
              </w:tc>
              <w:tc>
                <w:tcPr>
                  <w:tcW w:w="586" w:type="pct"/>
                  <w:vAlign w:val="center"/>
                </w:tcPr>
                <w:p w14:paraId="711D56D6">
                  <w:pPr>
                    <w:spacing w:line="276" w:lineRule="auto"/>
                    <w:jc w:val="center"/>
                    <w:rPr>
                      <w:bCs/>
                      <w:sz w:val="21"/>
                      <w:szCs w:val="21"/>
                    </w:rPr>
                  </w:pPr>
                  <w:r>
                    <w:rPr>
                      <w:rFonts w:hint="eastAsia"/>
                      <w:bCs/>
                      <w:sz w:val="21"/>
                      <w:szCs w:val="21"/>
                    </w:rPr>
                    <w:t>切管</w:t>
                  </w:r>
                </w:p>
              </w:tc>
              <w:tc>
                <w:tcPr>
                  <w:tcW w:w="1054" w:type="pct"/>
                  <w:vAlign w:val="center"/>
                </w:tcPr>
                <w:p w14:paraId="6A48D65A">
                  <w:pPr>
                    <w:spacing w:line="276" w:lineRule="auto"/>
                    <w:jc w:val="center"/>
                    <w:rPr>
                      <w:bCs/>
                      <w:sz w:val="21"/>
                      <w:szCs w:val="21"/>
                    </w:rPr>
                  </w:pPr>
                  <w:r>
                    <w:rPr>
                      <w:rFonts w:hint="eastAsia"/>
                      <w:bCs/>
                      <w:sz w:val="21"/>
                      <w:szCs w:val="21"/>
                    </w:rPr>
                    <w:t>切管机</w:t>
                  </w:r>
                </w:p>
              </w:tc>
              <w:tc>
                <w:tcPr>
                  <w:tcW w:w="538" w:type="pct"/>
                  <w:vAlign w:val="center"/>
                </w:tcPr>
                <w:p w14:paraId="03A8F142">
                  <w:pPr>
                    <w:spacing w:line="276" w:lineRule="auto"/>
                    <w:jc w:val="center"/>
                    <w:rPr>
                      <w:bCs/>
                      <w:sz w:val="21"/>
                      <w:szCs w:val="21"/>
                    </w:rPr>
                  </w:pPr>
                  <w:r>
                    <w:rPr>
                      <w:rFonts w:hint="eastAsia"/>
                      <w:bCs/>
                      <w:sz w:val="21"/>
                      <w:szCs w:val="21"/>
                    </w:rPr>
                    <w:t>2</w:t>
                  </w:r>
                </w:p>
              </w:tc>
              <w:tc>
                <w:tcPr>
                  <w:tcW w:w="1129" w:type="pct"/>
                  <w:vAlign w:val="center"/>
                </w:tcPr>
                <w:p w14:paraId="366F0077">
                  <w:pPr>
                    <w:spacing w:line="276" w:lineRule="auto"/>
                    <w:jc w:val="center"/>
                    <w:rPr>
                      <w:bCs/>
                      <w:sz w:val="21"/>
                      <w:szCs w:val="21"/>
                    </w:rPr>
                  </w:pPr>
                  <w:r>
                    <w:rPr>
                      <w:rFonts w:hint="eastAsia"/>
                      <w:bCs/>
                      <w:sz w:val="21"/>
                      <w:szCs w:val="21"/>
                    </w:rPr>
                    <w:t>/</w:t>
                  </w:r>
                </w:p>
              </w:tc>
              <w:tc>
                <w:tcPr>
                  <w:tcW w:w="462" w:type="pct"/>
                  <w:vMerge w:val="continue"/>
                  <w:vAlign w:val="center"/>
                </w:tcPr>
                <w:p w14:paraId="2194674E">
                  <w:pPr>
                    <w:spacing w:line="276" w:lineRule="auto"/>
                    <w:jc w:val="center"/>
                    <w:rPr>
                      <w:bCs/>
                      <w:sz w:val="21"/>
                      <w:szCs w:val="21"/>
                    </w:rPr>
                  </w:pPr>
                </w:p>
              </w:tc>
            </w:tr>
            <w:tr w14:paraId="788E7A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7C1F5EA">
                  <w:pPr>
                    <w:spacing w:line="276" w:lineRule="auto"/>
                    <w:jc w:val="center"/>
                    <w:rPr>
                      <w:bCs/>
                      <w:sz w:val="21"/>
                      <w:szCs w:val="21"/>
                    </w:rPr>
                  </w:pPr>
                  <w:r>
                    <w:rPr>
                      <w:rFonts w:hint="eastAsia"/>
                      <w:bCs/>
                      <w:sz w:val="21"/>
                      <w:szCs w:val="21"/>
                    </w:rPr>
                    <w:t>5</w:t>
                  </w:r>
                </w:p>
              </w:tc>
              <w:tc>
                <w:tcPr>
                  <w:tcW w:w="464" w:type="pct"/>
                  <w:vMerge w:val="restart"/>
                  <w:vAlign w:val="center"/>
                </w:tcPr>
                <w:p w14:paraId="16ED8BCB">
                  <w:pPr>
                    <w:spacing w:line="276" w:lineRule="auto"/>
                    <w:jc w:val="center"/>
                    <w:rPr>
                      <w:bCs/>
                      <w:sz w:val="21"/>
                      <w:szCs w:val="21"/>
                    </w:rPr>
                  </w:pPr>
                  <w:r>
                    <w:rPr>
                      <w:rFonts w:hint="eastAsia"/>
                      <w:bCs/>
                      <w:sz w:val="21"/>
                      <w:szCs w:val="21"/>
                    </w:rPr>
                    <w:t>控制臂总成成品2</w:t>
                  </w:r>
                </w:p>
              </w:tc>
              <w:tc>
                <w:tcPr>
                  <w:tcW w:w="434" w:type="pct"/>
                  <w:vMerge w:val="restart"/>
                  <w:vAlign w:val="center"/>
                </w:tcPr>
                <w:p w14:paraId="5CDF7C56">
                  <w:pPr>
                    <w:spacing w:line="276" w:lineRule="auto"/>
                    <w:jc w:val="center"/>
                    <w:rPr>
                      <w:bCs/>
                      <w:sz w:val="21"/>
                      <w:szCs w:val="21"/>
                    </w:rPr>
                  </w:pPr>
                  <w:r>
                    <w:rPr>
                      <w:rFonts w:hint="eastAsia"/>
                      <w:bCs/>
                      <w:sz w:val="21"/>
                      <w:szCs w:val="21"/>
                    </w:rPr>
                    <w:t>下料</w:t>
                  </w:r>
                </w:p>
              </w:tc>
              <w:tc>
                <w:tcPr>
                  <w:tcW w:w="586" w:type="pct"/>
                  <w:vAlign w:val="center"/>
                </w:tcPr>
                <w:p w14:paraId="4E8742F0">
                  <w:pPr>
                    <w:spacing w:line="276" w:lineRule="auto"/>
                    <w:jc w:val="center"/>
                    <w:rPr>
                      <w:bCs/>
                      <w:sz w:val="21"/>
                      <w:szCs w:val="21"/>
                    </w:rPr>
                  </w:pPr>
                  <w:r>
                    <w:rPr>
                      <w:rFonts w:hint="eastAsia"/>
                      <w:bCs/>
                      <w:sz w:val="21"/>
                      <w:szCs w:val="21"/>
                    </w:rPr>
                    <w:t>切割</w:t>
                  </w:r>
                </w:p>
              </w:tc>
              <w:tc>
                <w:tcPr>
                  <w:tcW w:w="1054" w:type="pct"/>
                  <w:vAlign w:val="center"/>
                </w:tcPr>
                <w:p w14:paraId="4649E25B">
                  <w:pPr>
                    <w:spacing w:line="276" w:lineRule="auto"/>
                    <w:jc w:val="center"/>
                    <w:rPr>
                      <w:bCs/>
                      <w:sz w:val="21"/>
                      <w:szCs w:val="21"/>
                    </w:rPr>
                  </w:pPr>
                  <w:r>
                    <w:rPr>
                      <w:rFonts w:hint="eastAsia"/>
                      <w:bCs/>
                      <w:sz w:val="21"/>
                      <w:szCs w:val="21"/>
                    </w:rPr>
                    <w:t>光纤激光切割机</w:t>
                  </w:r>
                </w:p>
              </w:tc>
              <w:tc>
                <w:tcPr>
                  <w:tcW w:w="538" w:type="pct"/>
                  <w:vAlign w:val="center"/>
                </w:tcPr>
                <w:p w14:paraId="611ED0A0">
                  <w:pPr>
                    <w:spacing w:line="276" w:lineRule="auto"/>
                    <w:jc w:val="center"/>
                    <w:rPr>
                      <w:bCs/>
                      <w:sz w:val="21"/>
                      <w:szCs w:val="21"/>
                    </w:rPr>
                  </w:pPr>
                  <w:r>
                    <w:rPr>
                      <w:rFonts w:hint="eastAsia"/>
                      <w:bCs/>
                      <w:sz w:val="21"/>
                      <w:szCs w:val="21"/>
                    </w:rPr>
                    <w:t>3</w:t>
                  </w:r>
                </w:p>
              </w:tc>
              <w:tc>
                <w:tcPr>
                  <w:tcW w:w="1129" w:type="pct"/>
                  <w:vAlign w:val="center"/>
                </w:tcPr>
                <w:p w14:paraId="25277E0F">
                  <w:pPr>
                    <w:spacing w:line="276" w:lineRule="auto"/>
                    <w:jc w:val="center"/>
                    <w:rPr>
                      <w:bCs/>
                      <w:sz w:val="21"/>
                      <w:szCs w:val="21"/>
                    </w:rPr>
                  </w:pPr>
                  <w:r>
                    <w:rPr>
                      <w:rFonts w:hint="eastAsia"/>
                      <w:bCs/>
                      <w:sz w:val="21"/>
                      <w:szCs w:val="21"/>
                    </w:rPr>
                    <w:t>GL3015F-12000/3000</w:t>
                  </w:r>
                </w:p>
              </w:tc>
              <w:tc>
                <w:tcPr>
                  <w:tcW w:w="462" w:type="pct"/>
                  <w:vMerge w:val="restart"/>
                  <w:vAlign w:val="center"/>
                </w:tcPr>
                <w:p w14:paraId="3FA4C6A8">
                  <w:pPr>
                    <w:spacing w:line="276" w:lineRule="auto"/>
                    <w:jc w:val="center"/>
                    <w:rPr>
                      <w:bCs/>
                      <w:sz w:val="21"/>
                      <w:szCs w:val="21"/>
                    </w:rPr>
                  </w:pPr>
                  <w:r>
                    <w:rPr>
                      <w:rFonts w:hint="eastAsia"/>
                      <w:bCs/>
                      <w:sz w:val="21"/>
                      <w:szCs w:val="21"/>
                    </w:rPr>
                    <w:t>切割区</w:t>
                  </w:r>
                </w:p>
              </w:tc>
            </w:tr>
            <w:tr w14:paraId="508211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D679DCA">
                  <w:pPr>
                    <w:spacing w:line="276" w:lineRule="auto"/>
                    <w:jc w:val="center"/>
                    <w:rPr>
                      <w:bCs/>
                      <w:sz w:val="21"/>
                      <w:szCs w:val="21"/>
                    </w:rPr>
                  </w:pPr>
                  <w:r>
                    <w:rPr>
                      <w:rFonts w:hint="eastAsia"/>
                      <w:bCs/>
                      <w:sz w:val="21"/>
                      <w:szCs w:val="21"/>
                    </w:rPr>
                    <w:t>6</w:t>
                  </w:r>
                </w:p>
              </w:tc>
              <w:tc>
                <w:tcPr>
                  <w:tcW w:w="464" w:type="pct"/>
                  <w:vMerge w:val="continue"/>
                  <w:vAlign w:val="center"/>
                </w:tcPr>
                <w:p w14:paraId="148DC542">
                  <w:pPr>
                    <w:spacing w:line="276" w:lineRule="auto"/>
                    <w:jc w:val="center"/>
                    <w:rPr>
                      <w:bCs/>
                      <w:sz w:val="21"/>
                      <w:szCs w:val="21"/>
                    </w:rPr>
                  </w:pPr>
                </w:p>
              </w:tc>
              <w:tc>
                <w:tcPr>
                  <w:tcW w:w="434" w:type="pct"/>
                  <w:vMerge w:val="continue"/>
                  <w:vAlign w:val="center"/>
                </w:tcPr>
                <w:p w14:paraId="42051386">
                  <w:pPr>
                    <w:spacing w:line="276" w:lineRule="auto"/>
                    <w:jc w:val="center"/>
                    <w:rPr>
                      <w:bCs/>
                      <w:sz w:val="21"/>
                      <w:szCs w:val="21"/>
                    </w:rPr>
                  </w:pPr>
                </w:p>
              </w:tc>
              <w:tc>
                <w:tcPr>
                  <w:tcW w:w="586" w:type="pct"/>
                  <w:vAlign w:val="center"/>
                </w:tcPr>
                <w:p w14:paraId="7350D189">
                  <w:pPr>
                    <w:spacing w:line="276" w:lineRule="auto"/>
                    <w:jc w:val="center"/>
                    <w:rPr>
                      <w:bCs/>
                      <w:sz w:val="21"/>
                      <w:szCs w:val="21"/>
                    </w:rPr>
                  </w:pPr>
                  <w:r>
                    <w:rPr>
                      <w:rFonts w:hint="eastAsia"/>
                      <w:bCs/>
                      <w:sz w:val="21"/>
                      <w:szCs w:val="21"/>
                    </w:rPr>
                    <w:t>裁板</w:t>
                  </w:r>
                </w:p>
              </w:tc>
              <w:tc>
                <w:tcPr>
                  <w:tcW w:w="1054" w:type="pct"/>
                  <w:vAlign w:val="center"/>
                </w:tcPr>
                <w:p w14:paraId="4F8346E5">
                  <w:pPr>
                    <w:spacing w:line="276" w:lineRule="auto"/>
                    <w:jc w:val="center"/>
                    <w:rPr>
                      <w:bCs/>
                      <w:sz w:val="21"/>
                      <w:szCs w:val="21"/>
                    </w:rPr>
                  </w:pPr>
                  <w:r>
                    <w:rPr>
                      <w:rFonts w:hint="eastAsia"/>
                      <w:bCs/>
                      <w:sz w:val="21"/>
                      <w:szCs w:val="21"/>
                    </w:rPr>
                    <w:t>裁板机</w:t>
                  </w:r>
                </w:p>
              </w:tc>
              <w:tc>
                <w:tcPr>
                  <w:tcW w:w="538" w:type="pct"/>
                  <w:vAlign w:val="center"/>
                </w:tcPr>
                <w:p w14:paraId="3BD9A5D4">
                  <w:pPr>
                    <w:spacing w:line="276" w:lineRule="auto"/>
                    <w:jc w:val="center"/>
                    <w:rPr>
                      <w:bCs/>
                      <w:sz w:val="21"/>
                      <w:szCs w:val="21"/>
                    </w:rPr>
                  </w:pPr>
                  <w:r>
                    <w:rPr>
                      <w:rFonts w:hint="eastAsia"/>
                      <w:bCs/>
                      <w:sz w:val="21"/>
                      <w:szCs w:val="21"/>
                    </w:rPr>
                    <w:t>2</w:t>
                  </w:r>
                </w:p>
              </w:tc>
              <w:tc>
                <w:tcPr>
                  <w:tcW w:w="1129" w:type="pct"/>
                  <w:vAlign w:val="center"/>
                </w:tcPr>
                <w:p w14:paraId="639377A9">
                  <w:pPr>
                    <w:spacing w:line="276" w:lineRule="auto"/>
                    <w:jc w:val="center"/>
                    <w:rPr>
                      <w:bCs/>
                      <w:sz w:val="21"/>
                      <w:szCs w:val="21"/>
                    </w:rPr>
                  </w:pPr>
                  <w:r>
                    <w:rPr>
                      <w:rFonts w:hint="eastAsia"/>
                      <w:bCs/>
                      <w:sz w:val="21"/>
                      <w:szCs w:val="21"/>
                    </w:rPr>
                    <w:t>QC11Y-6X2000</w:t>
                  </w:r>
                </w:p>
              </w:tc>
              <w:tc>
                <w:tcPr>
                  <w:tcW w:w="462" w:type="pct"/>
                  <w:vMerge w:val="continue"/>
                  <w:vAlign w:val="center"/>
                </w:tcPr>
                <w:p w14:paraId="58FE5D05">
                  <w:pPr>
                    <w:spacing w:line="276" w:lineRule="auto"/>
                    <w:jc w:val="center"/>
                    <w:rPr>
                      <w:bCs/>
                      <w:sz w:val="21"/>
                      <w:szCs w:val="21"/>
                    </w:rPr>
                  </w:pPr>
                </w:p>
              </w:tc>
            </w:tr>
            <w:tr w14:paraId="1284A6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1195F388">
                  <w:pPr>
                    <w:spacing w:line="276" w:lineRule="auto"/>
                    <w:jc w:val="center"/>
                    <w:rPr>
                      <w:bCs/>
                      <w:sz w:val="21"/>
                      <w:szCs w:val="21"/>
                    </w:rPr>
                  </w:pPr>
                  <w:r>
                    <w:rPr>
                      <w:rFonts w:hint="eastAsia"/>
                      <w:bCs/>
                      <w:sz w:val="21"/>
                      <w:szCs w:val="21"/>
                    </w:rPr>
                    <w:t>7</w:t>
                  </w:r>
                </w:p>
              </w:tc>
              <w:tc>
                <w:tcPr>
                  <w:tcW w:w="464" w:type="pct"/>
                  <w:vMerge w:val="continue"/>
                  <w:vAlign w:val="center"/>
                </w:tcPr>
                <w:p w14:paraId="5F146F11">
                  <w:pPr>
                    <w:spacing w:line="276" w:lineRule="auto"/>
                    <w:jc w:val="center"/>
                    <w:rPr>
                      <w:bCs/>
                      <w:sz w:val="21"/>
                      <w:szCs w:val="21"/>
                    </w:rPr>
                  </w:pPr>
                </w:p>
              </w:tc>
              <w:tc>
                <w:tcPr>
                  <w:tcW w:w="434" w:type="pct"/>
                  <w:vAlign w:val="center"/>
                </w:tcPr>
                <w:p w14:paraId="0FEB6E18">
                  <w:pPr>
                    <w:spacing w:line="276" w:lineRule="auto"/>
                    <w:jc w:val="center"/>
                    <w:rPr>
                      <w:bCs/>
                      <w:sz w:val="21"/>
                      <w:szCs w:val="21"/>
                    </w:rPr>
                  </w:pPr>
                  <w:r>
                    <w:rPr>
                      <w:rFonts w:hint="eastAsia"/>
                      <w:bCs/>
                      <w:sz w:val="21"/>
                      <w:szCs w:val="21"/>
                    </w:rPr>
                    <w:t>退火</w:t>
                  </w:r>
                </w:p>
              </w:tc>
              <w:tc>
                <w:tcPr>
                  <w:tcW w:w="586" w:type="pct"/>
                  <w:vAlign w:val="center"/>
                </w:tcPr>
                <w:p w14:paraId="7A53EA3D">
                  <w:pPr>
                    <w:spacing w:line="276" w:lineRule="auto"/>
                    <w:jc w:val="center"/>
                    <w:rPr>
                      <w:bCs/>
                      <w:sz w:val="21"/>
                      <w:szCs w:val="21"/>
                    </w:rPr>
                  </w:pPr>
                  <w:r>
                    <w:rPr>
                      <w:rFonts w:hint="eastAsia"/>
                      <w:bCs/>
                      <w:sz w:val="21"/>
                      <w:szCs w:val="21"/>
                    </w:rPr>
                    <w:t>退火</w:t>
                  </w:r>
                </w:p>
              </w:tc>
              <w:tc>
                <w:tcPr>
                  <w:tcW w:w="1054" w:type="pct"/>
                  <w:vAlign w:val="center"/>
                </w:tcPr>
                <w:p w14:paraId="686F7CFC">
                  <w:pPr>
                    <w:spacing w:line="276" w:lineRule="auto"/>
                    <w:jc w:val="center"/>
                    <w:rPr>
                      <w:bCs/>
                      <w:sz w:val="21"/>
                      <w:szCs w:val="21"/>
                    </w:rPr>
                  </w:pPr>
                  <w:r>
                    <w:rPr>
                      <w:rFonts w:hint="eastAsia"/>
                      <w:bCs/>
                      <w:sz w:val="21"/>
                      <w:szCs w:val="21"/>
                    </w:rPr>
                    <w:t>退火机</w:t>
                  </w:r>
                </w:p>
              </w:tc>
              <w:tc>
                <w:tcPr>
                  <w:tcW w:w="538" w:type="pct"/>
                  <w:vAlign w:val="center"/>
                </w:tcPr>
                <w:p w14:paraId="5B4067E1">
                  <w:pPr>
                    <w:spacing w:line="276" w:lineRule="auto"/>
                    <w:jc w:val="center"/>
                    <w:rPr>
                      <w:bCs/>
                      <w:sz w:val="21"/>
                      <w:szCs w:val="21"/>
                    </w:rPr>
                  </w:pPr>
                  <w:r>
                    <w:rPr>
                      <w:rFonts w:hint="eastAsia"/>
                      <w:bCs/>
                      <w:sz w:val="21"/>
                      <w:szCs w:val="21"/>
                    </w:rPr>
                    <w:t>2</w:t>
                  </w:r>
                </w:p>
              </w:tc>
              <w:tc>
                <w:tcPr>
                  <w:tcW w:w="1129" w:type="pct"/>
                  <w:vAlign w:val="center"/>
                </w:tcPr>
                <w:p w14:paraId="1C696DF3">
                  <w:pPr>
                    <w:spacing w:line="276" w:lineRule="auto"/>
                    <w:jc w:val="center"/>
                    <w:rPr>
                      <w:bCs/>
                      <w:sz w:val="21"/>
                      <w:szCs w:val="21"/>
                    </w:rPr>
                  </w:pPr>
                  <w:r>
                    <w:rPr>
                      <w:rFonts w:hint="eastAsia"/>
                      <w:bCs/>
                      <w:sz w:val="21"/>
                      <w:szCs w:val="21"/>
                    </w:rPr>
                    <w:t>80型</w:t>
                  </w:r>
                </w:p>
              </w:tc>
              <w:tc>
                <w:tcPr>
                  <w:tcW w:w="462" w:type="pct"/>
                  <w:vMerge w:val="continue"/>
                  <w:vAlign w:val="center"/>
                </w:tcPr>
                <w:p w14:paraId="07DAFBF0">
                  <w:pPr>
                    <w:spacing w:line="276" w:lineRule="auto"/>
                    <w:jc w:val="center"/>
                    <w:rPr>
                      <w:bCs/>
                      <w:sz w:val="21"/>
                      <w:szCs w:val="21"/>
                    </w:rPr>
                  </w:pPr>
                </w:p>
              </w:tc>
            </w:tr>
            <w:tr w14:paraId="7142F1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5685A10D">
                  <w:pPr>
                    <w:spacing w:line="276" w:lineRule="auto"/>
                    <w:jc w:val="center"/>
                    <w:rPr>
                      <w:bCs/>
                      <w:sz w:val="21"/>
                      <w:szCs w:val="21"/>
                    </w:rPr>
                  </w:pPr>
                  <w:r>
                    <w:rPr>
                      <w:rFonts w:hint="eastAsia"/>
                      <w:bCs/>
                      <w:sz w:val="21"/>
                      <w:szCs w:val="21"/>
                    </w:rPr>
                    <w:t>8</w:t>
                  </w:r>
                </w:p>
              </w:tc>
              <w:tc>
                <w:tcPr>
                  <w:tcW w:w="464" w:type="pct"/>
                  <w:vMerge w:val="continue"/>
                  <w:vAlign w:val="center"/>
                </w:tcPr>
                <w:p w14:paraId="52B83A62">
                  <w:pPr>
                    <w:spacing w:line="276" w:lineRule="auto"/>
                    <w:jc w:val="center"/>
                    <w:rPr>
                      <w:bCs/>
                      <w:sz w:val="21"/>
                      <w:szCs w:val="21"/>
                    </w:rPr>
                  </w:pPr>
                </w:p>
              </w:tc>
              <w:tc>
                <w:tcPr>
                  <w:tcW w:w="434" w:type="pct"/>
                  <w:vMerge w:val="restart"/>
                  <w:vAlign w:val="center"/>
                </w:tcPr>
                <w:p w14:paraId="678B948C">
                  <w:pPr>
                    <w:spacing w:line="276" w:lineRule="auto"/>
                    <w:jc w:val="center"/>
                    <w:rPr>
                      <w:bCs/>
                      <w:sz w:val="21"/>
                      <w:szCs w:val="21"/>
                    </w:rPr>
                  </w:pPr>
                  <w:r>
                    <w:rPr>
                      <w:rFonts w:hint="eastAsia"/>
                      <w:bCs/>
                      <w:sz w:val="21"/>
                      <w:szCs w:val="21"/>
                    </w:rPr>
                    <w:t>冲压</w:t>
                  </w:r>
                </w:p>
              </w:tc>
              <w:tc>
                <w:tcPr>
                  <w:tcW w:w="586" w:type="pct"/>
                  <w:vMerge w:val="restart"/>
                  <w:vAlign w:val="center"/>
                </w:tcPr>
                <w:p w14:paraId="13826425">
                  <w:pPr>
                    <w:spacing w:line="276" w:lineRule="auto"/>
                    <w:jc w:val="center"/>
                    <w:rPr>
                      <w:bCs/>
                      <w:sz w:val="21"/>
                      <w:szCs w:val="21"/>
                    </w:rPr>
                  </w:pPr>
                  <w:r>
                    <w:rPr>
                      <w:rFonts w:hint="eastAsia"/>
                      <w:bCs/>
                      <w:sz w:val="21"/>
                      <w:szCs w:val="21"/>
                    </w:rPr>
                    <w:t>冲压</w:t>
                  </w:r>
                </w:p>
              </w:tc>
              <w:tc>
                <w:tcPr>
                  <w:tcW w:w="1054" w:type="pct"/>
                  <w:vAlign w:val="center"/>
                </w:tcPr>
                <w:p w14:paraId="3A49F899">
                  <w:pPr>
                    <w:spacing w:line="276" w:lineRule="auto"/>
                    <w:jc w:val="center"/>
                    <w:rPr>
                      <w:bCs/>
                      <w:sz w:val="21"/>
                      <w:szCs w:val="21"/>
                    </w:rPr>
                  </w:pPr>
                  <w:r>
                    <w:rPr>
                      <w:rFonts w:hint="eastAsia"/>
                      <w:bCs/>
                      <w:sz w:val="21"/>
                      <w:szCs w:val="21"/>
                    </w:rPr>
                    <w:t>单柱液压机</w:t>
                  </w:r>
                </w:p>
              </w:tc>
              <w:tc>
                <w:tcPr>
                  <w:tcW w:w="538" w:type="pct"/>
                  <w:vAlign w:val="center"/>
                </w:tcPr>
                <w:p w14:paraId="1E02EF07">
                  <w:pPr>
                    <w:spacing w:line="276" w:lineRule="auto"/>
                    <w:jc w:val="center"/>
                    <w:rPr>
                      <w:bCs/>
                      <w:sz w:val="21"/>
                      <w:szCs w:val="21"/>
                    </w:rPr>
                  </w:pPr>
                  <w:r>
                    <w:rPr>
                      <w:rFonts w:hint="eastAsia"/>
                      <w:bCs/>
                      <w:sz w:val="21"/>
                      <w:szCs w:val="21"/>
                    </w:rPr>
                    <w:t>7</w:t>
                  </w:r>
                </w:p>
              </w:tc>
              <w:tc>
                <w:tcPr>
                  <w:tcW w:w="1129" w:type="pct"/>
                  <w:vAlign w:val="center"/>
                </w:tcPr>
                <w:p w14:paraId="71888354">
                  <w:pPr>
                    <w:spacing w:line="276" w:lineRule="auto"/>
                    <w:jc w:val="center"/>
                    <w:rPr>
                      <w:bCs/>
                      <w:sz w:val="21"/>
                      <w:szCs w:val="21"/>
                    </w:rPr>
                  </w:pPr>
                  <w:r>
                    <w:rPr>
                      <w:rFonts w:hint="eastAsia"/>
                      <w:bCs/>
                      <w:sz w:val="21"/>
                      <w:szCs w:val="21"/>
                    </w:rPr>
                    <w:t>200T/300T/315T</w:t>
                  </w:r>
                </w:p>
              </w:tc>
              <w:tc>
                <w:tcPr>
                  <w:tcW w:w="462" w:type="pct"/>
                  <w:vMerge w:val="restart"/>
                  <w:vAlign w:val="center"/>
                </w:tcPr>
                <w:p w14:paraId="19DEA2B7">
                  <w:pPr>
                    <w:spacing w:line="276" w:lineRule="auto"/>
                    <w:jc w:val="center"/>
                    <w:rPr>
                      <w:bCs/>
                      <w:sz w:val="21"/>
                      <w:szCs w:val="21"/>
                    </w:rPr>
                  </w:pPr>
                  <w:r>
                    <w:rPr>
                      <w:rFonts w:hint="eastAsia"/>
                      <w:bCs/>
                      <w:sz w:val="21"/>
                      <w:szCs w:val="21"/>
                    </w:rPr>
                    <w:t>冲压区</w:t>
                  </w:r>
                </w:p>
              </w:tc>
            </w:tr>
            <w:tr w14:paraId="54D4BD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9EC1563">
                  <w:pPr>
                    <w:spacing w:line="276" w:lineRule="auto"/>
                    <w:jc w:val="center"/>
                    <w:rPr>
                      <w:bCs/>
                      <w:sz w:val="21"/>
                      <w:szCs w:val="21"/>
                    </w:rPr>
                  </w:pPr>
                  <w:r>
                    <w:rPr>
                      <w:rFonts w:hint="eastAsia"/>
                      <w:bCs/>
                      <w:sz w:val="21"/>
                      <w:szCs w:val="21"/>
                    </w:rPr>
                    <w:t>9</w:t>
                  </w:r>
                </w:p>
              </w:tc>
              <w:tc>
                <w:tcPr>
                  <w:tcW w:w="464" w:type="pct"/>
                  <w:vMerge w:val="continue"/>
                  <w:vAlign w:val="center"/>
                </w:tcPr>
                <w:p w14:paraId="10908AC3">
                  <w:pPr>
                    <w:spacing w:line="276" w:lineRule="auto"/>
                    <w:jc w:val="center"/>
                    <w:rPr>
                      <w:bCs/>
                      <w:sz w:val="21"/>
                      <w:szCs w:val="21"/>
                    </w:rPr>
                  </w:pPr>
                </w:p>
              </w:tc>
              <w:tc>
                <w:tcPr>
                  <w:tcW w:w="434" w:type="pct"/>
                  <w:vMerge w:val="continue"/>
                  <w:vAlign w:val="center"/>
                </w:tcPr>
                <w:p w14:paraId="5C005F20">
                  <w:pPr>
                    <w:spacing w:line="276" w:lineRule="auto"/>
                    <w:jc w:val="center"/>
                    <w:rPr>
                      <w:bCs/>
                      <w:sz w:val="21"/>
                      <w:szCs w:val="21"/>
                    </w:rPr>
                  </w:pPr>
                </w:p>
              </w:tc>
              <w:tc>
                <w:tcPr>
                  <w:tcW w:w="586" w:type="pct"/>
                  <w:vMerge w:val="continue"/>
                  <w:vAlign w:val="center"/>
                </w:tcPr>
                <w:p w14:paraId="3AA23436">
                  <w:pPr>
                    <w:spacing w:line="276" w:lineRule="auto"/>
                    <w:jc w:val="center"/>
                    <w:rPr>
                      <w:bCs/>
                      <w:sz w:val="21"/>
                      <w:szCs w:val="21"/>
                    </w:rPr>
                  </w:pPr>
                </w:p>
              </w:tc>
              <w:tc>
                <w:tcPr>
                  <w:tcW w:w="1054" w:type="pct"/>
                  <w:vAlign w:val="center"/>
                </w:tcPr>
                <w:p w14:paraId="3456AD3D">
                  <w:pPr>
                    <w:spacing w:line="276" w:lineRule="auto"/>
                    <w:jc w:val="center"/>
                    <w:rPr>
                      <w:bCs/>
                      <w:sz w:val="21"/>
                      <w:szCs w:val="21"/>
                    </w:rPr>
                  </w:pPr>
                  <w:r>
                    <w:rPr>
                      <w:rFonts w:hint="eastAsia"/>
                      <w:bCs/>
                      <w:sz w:val="21"/>
                      <w:szCs w:val="21"/>
                    </w:rPr>
                    <w:t>气动冲床</w:t>
                  </w:r>
                </w:p>
              </w:tc>
              <w:tc>
                <w:tcPr>
                  <w:tcW w:w="538" w:type="pct"/>
                  <w:vAlign w:val="center"/>
                </w:tcPr>
                <w:p w14:paraId="760582BD">
                  <w:pPr>
                    <w:spacing w:line="276" w:lineRule="auto"/>
                    <w:jc w:val="center"/>
                    <w:rPr>
                      <w:bCs/>
                      <w:sz w:val="21"/>
                      <w:szCs w:val="21"/>
                    </w:rPr>
                  </w:pPr>
                  <w:r>
                    <w:rPr>
                      <w:rFonts w:hint="eastAsia"/>
                      <w:bCs/>
                      <w:sz w:val="21"/>
                      <w:szCs w:val="21"/>
                    </w:rPr>
                    <w:t>1</w:t>
                  </w:r>
                </w:p>
              </w:tc>
              <w:tc>
                <w:tcPr>
                  <w:tcW w:w="1129" w:type="pct"/>
                  <w:vAlign w:val="center"/>
                </w:tcPr>
                <w:p w14:paraId="34C8D24A">
                  <w:pPr>
                    <w:spacing w:line="276" w:lineRule="auto"/>
                    <w:jc w:val="center"/>
                    <w:rPr>
                      <w:bCs/>
                      <w:sz w:val="21"/>
                      <w:szCs w:val="21"/>
                    </w:rPr>
                  </w:pPr>
                  <w:r>
                    <w:rPr>
                      <w:rFonts w:hint="eastAsia"/>
                      <w:bCs/>
                      <w:sz w:val="21"/>
                      <w:szCs w:val="21"/>
                    </w:rPr>
                    <w:t>JH21-250T</w:t>
                  </w:r>
                </w:p>
              </w:tc>
              <w:tc>
                <w:tcPr>
                  <w:tcW w:w="462" w:type="pct"/>
                  <w:vMerge w:val="continue"/>
                  <w:vAlign w:val="center"/>
                </w:tcPr>
                <w:p w14:paraId="1FA2B318">
                  <w:pPr>
                    <w:spacing w:line="276" w:lineRule="auto"/>
                    <w:jc w:val="center"/>
                    <w:rPr>
                      <w:bCs/>
                      <w:sz w:val="21"/>
                      <w:szCs w:val="21"/>
                    </w:rPr>
                  </w:pPr>
                </w:p>
              </w:tc>
            </w:tr>
            <w:tr w14:paraId="669767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0DC661F">
                  <w:pPr>
                    <w:spacing w:line="276" w:lineRule="auto"/>
                    <w:jc w:val="center"/>
                    <w:rPr>
                      <w:bCs/>
                      <w:sz w:val="21"/>
                      <w:szCs w:val="21"/>
                    </w:rPr>
                  </w:pPr>
                  <w:r>
                    <w:rPr>
                      <w:rFonts w:hint="eastAsia"/>
                      <w:bCs/>
                      <w:sz w:val="21"/>
                      <w:szCs w:val="21"/>
                    </w:rPr>
                    <w:t>10</w:t>
                  </w:r>
                </w:p>
              </w:tc>
              <w:tc>
                <w:tcPr>
                  <w:tcW w:w="464" w:type="pct"/>
                  <w:vMerge w:val="continue"/>
                  <w:vAlign w:val="center"/>
                </w:tcPr>
                <w:p w14:paraId="41E223F1">
                  <w:pPr>
                    <w:spacing w:line="276" w:lineRule="auto"/>
                    <w:jc w:val="center"/>
                    <w:rPr>
                      <w:bCs/>
                      <w:sz w:val="21"/>
                      <w:szCs w:val="21"/>
                    </w:rPr>
                  </w:pPr>
                </w:p>
              </w:tc>
              <w:tc>
                <w:tcPr>
                  <w:tcW w:w="434" w:type="pct"/>
                  <w:vMerge w:val="continue"/>
                  <w:vAlign w:val="center"/>
                </w:tcPr>
                <w:p w14:paraId="76EE4ED4">
                  <w:pPr>
                    <w:spacing w:line="276" w:lineRule="auto"/>
                    <w:jc w:val="center"/>
                    <w:rPr>
                      <w:bCs/>
                      <w:sz w:val="21"/>
                      <w:szCs w:val="21"/>
                    </w:rPr>
                  </w:pPr>
                </w:p>
              </w:tc>
              <w:tc>
                <w:tcPr>
                  <w:tcW w:w="586" w:type="pct"/>
                  <w:vMerge w:val="continue"/>
                  <w:vAlign w:val="center"/>
                </w:tcPr>
                <w:p w14:paraId="27854682">
                  <w:pPr>
                    <w:spacing w:line="276" w:lineRule="auto"/>
                    <w:jc w:val="center"/>
                    <w:rPr>
                      <w:bCs/>
                      <w:sz w:val="21"/>
                      <w:szCs w:val="21"/>
                    </w:rPr>
                  </w:pPr>
                </w:p>
              </w:tc>
              <w:tc>
                <w:tcPr>
                  <w:tcW w:w="1054" w:type="pct"/>
                  <w:vAlign w:val="center"/>
                </w:tcPr>
                <w:p w14:paraId="038C25E1">
                  <w:pPr>
                    <w:spacing w:line="276" w:lineRule="auto"/>
                    <w:jc w:val="center"/>
                    <w:rPr>
                      <w:bCs/>
                      <w:sz w:val="21"/>
                      <w:szCs w:val="21"/>
                    </w:rPr>
                  </w:pPr>
                  <w:r>
                    <w:rPr>
                      <w:rFonts w:hint="eastAsia"/>
                      <w:bCs/>
                      <w:sz w:val="21"/>
                      <w:szCs w:val="21"/>
                    </w:rPr>
                    <w:t>气动冲床</w:t>
                  </w:r>
                </w:p>
              </w:tc>
              <w:tc>
                <w:tcPr>
                  <w:tcW w:w="538" w:type="pct"/>
                  <w:vAlign w:val="center"/>
                </w:tcPr>
                <w:p w14:paraId="3ECB12F4">
                  <w:pPr>
                    <w:spacing w:line="276" w:lineRule="auto"/>
                    <w:jc w:val="center"/>
                    <w:rPr>
                      <w:bCs/>
                      <w:sz w:val="21"/>
                      <w:szCs w:val="21"/>
                    </w:rPr>
                  </w:pPr>
                  <w:r>
                    <w:rPr>
                      <w:rFonts w:hint="eastAsia"/>
                      <w:bCs/>
                      <w:sz w:val="21"/>
                      <w:szCs w:val="21"/>
                    </w:rPr>
                    <w:t>1</w:t>
                  </w:r>
                </w:p>
              </w:tc>
              <w:tc>
                <w:tcPr>
                  <w:tcW w:w="1129" w:type="pct"/>
                  <w:vAlign w:val="center"/>
                </w:tcPr>
                <w:p w14:paraId="6C96CC4C">
                  <w:pPr>
                    <w:spacing w:line="276" w:lineRule="auto"/>
                    <w:jc w:val="center"/>
                    <w:rPr>
                      <w:bCs/>
                      <w:sz w:val="21"/>
                      <w:szCs w:val="21"/>
                    </w:rPr>
                  </w:pPr>
                  <w:r>
                    <w:rPr>
                      <w:rFonts w:hint="eastAsia"/>
                      <w:bCs/>
                      <w:sz w:val="21"/>
                      <w:szCs w:val="21"/>
                    </w:rPr>
                    <w:t>BLPA-200</w:t>
                  </w:r>
                </w:p>
              </w:tc>
              <w:tc>
                <w:tcPr>
                  <w:tcW w:w="462" w:type="pct"/>
                  <w:vMerge w:val="continue"/>
                  <w:vAlign w:val="center"/>
                </w:tcPr>
                <w:p w14:paraId="431EFF6E">
                  <w:pPr>
                    <w:spacing w:line="276" w:lineRule="auto"/>
                    <w:jc w:val="center"/>
                    <w:rPr>
                      <w:bCs/>
                      <w:sz w:val="21"/>
                      <w:szCs w:val="21"/>
                    </w:rPr>
                  </w:pPr>
                </w:p>
              </w:tc>
            </w:tr>
            <w:tr w14:paraId="0BE35C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10B7852">
                  <w:pPr>
                    <w:spacing w:line="276" w:lineRule="auto"/>
                    <w:jc w:val="center"/>
                    <w:rPr>
                      <w:bCs/>
                      <w:sz w:val="21"/>
                      <w:szCs w:val="21"/>
                    </w:rPr>
                  </w:pPr>
                  <w:r>
                    <w:rPr>
                      <w:rFonts w:hint="eastAsia"/>
                      <w:bCs/>
                      <w:sz w:val="21"/>
                      <w:szCs w:val="21"/>
                    </w:rPr>
                    <w:t>11</w:t>
                  </w:r>
                </w:p>
              </w:tc>
              <w:tc>
                <w:tcPr>
                  <w:tcW w:w="464" w:type="pct"/>
                  <w:vMerge w:val="continue"/>
                  <w:vAlign w:val="center"/>
                </w:tcPr>
                <w:p w14:paraId="75D5C00F">
                  <w:pPr>
                    <w:spacing w:line="276" w:lineRule="auto"/>
                    <w:jc w:val="center"/>
                    <w:rPr>
                      <w:bCs/>
                      <w:sz w:val="21"/>
                      <w:szCs w:val="21"/>
                    </w:rPr>
                  </w:pPr>
                </w:p>
              </w:tc>
              <w:tc>
                <w:tcPr>
                  <w:tcW w:w="434" w:type="pct"/>
                  <w:vMerge w:val="continue"/>
                  <w:vAlign w:val="center"/>
                </w:tcPr>
                <w:p w14:paraId="321C6496">
                  <w:pPr>
                    <w:spacing w:line="276" w:lineRule="auto"/>
                    <w:jc w:val="center"/>
                    <w:rPr>
                      <w:bCs/>
                      <w:sz w:val="21"/>
                      <w:szCs w:val="21"/>
                    </w:rPr>
                  </w:pPr>
                </w:p>
              </w:tc>
              <w:tc>
                <w:tcPr>
                  <w:tcW w:w="586" w:type="pct"/>
                  <w:vMerge w:val="continue"/>
                  <w:vAlign w:val="center"/>
                </w:tcPr>
                <w:p w14:paraId="2C4D5264">
                  <w:pPr>
                    <w:spacing w:line="276" w:lineRule="auto"/>
                    <w:jc w:val="center"/>
                    <w:rPr>
                      <w:bCs/>
                      <w:sz w:val="21"/>
                      <w:szCs w:val="21"/>
                    </w:rPr>
                  </w:pPr>
                </w:p>
              </w:tc>
              <w:tc>
                <w:tcPr>
                  <w:tcW w:w="1054" w:type="pct"/>
                  <w:vAlign w:val="center"/>
                </w:tcPr>
                <w:p w14:paraId="62B29A40">
                  <w:pPr>
                    <w:spacing w:line="276" w:lineRule="auto"/>
                    <w:jc w:val="center"/>
                    <w:rPr>
                      <w:bCs/>
                      <w:sz w:val="21"/>
                      <w:szCs w:val="21"/>
                    </w:rPr>
                  </w:pPr>
                  <w:r>
                    <w:rPr>
                      <w:rFonts w:hint="eastAsia"/>
                      <w:bCs/>
                      <w:sz w:val="21"/>
                      <w:szCs w:val="21"/>
                    </w:rPr>
                    <w:t>气动冲床</w:t>
                  </w:r>
                </w:p>
              </w:tc>
              <w:tc>
                <w:tcPr>
                  <w:tcW w:w="538" w:type="pct"/>
                  <w:vAlign w:val="center"/>
                </w:tcPr>
                <w:p w14:paraId="4C672D7E">
                  <w:pPr>
                    <w:spacing w:line="276" w:lineRule="auto"/>
                    <w:jc w:val="center"/>
                    <w:rPr>
                      <w:bCs/>
                      <w:sz w:val="21"/>
                      <w:szCs w:val="21"/>
                    </w:rPr>
                  </w:pPr>
                  <w:r>
                    <w:rPr>
                      <w:rFonts w:hint="eastAsia"/>
                      <w:bCs/>
                      <w:sz w:val="21"/>
                      <w:szCs w:val="21"/>
                    </w:rPr>
                    <w:t>2</w:t>
                  </w:r>
                </w:p>
              </w:tc>
              <w:tc>
                <w:tcPr>
                  <w:tcW w:w="1129" w:type="pct"/>
                  <w:vAlign w:val="center"/>
                </w:tcPr>
                <w:p w14:paraId="3B575A53">
                  <w:pPr>
                    <w:spacing w:line="276" w:lineRule="auto"/>
                    <w:jc w:val="center"/>
                    <w:rPr>
                      <w:bCs/>
                      <w:sz w:val="21"/>
                      <w:szCs w:val="21"/>
                    </w:rPr>
                  </w:pPr>
                  <w:r>
                    <w:rPr>
                      <w:rFonts w:hint="eastAsia"/>
                      <w:bCs/>
                      <w:sz w:val="21"/>
                      <w:szCs w:val="21"/>
                    </w:rPr>
                    <w:t>JH21-125T</w:t>
                  </w:r>
                </w:p>
              </w:tc>
              <w:tc>
                <w:tcPr>
                  <w:tcW w:w="462" w:type="pct"/>
                  <w:vMerge w:val="continue"/>
                  <w:vAlign w:val="center"/>
                </w:tcPr>
                <w:p w14:paraId="5BAEAA67">
                  <w:pPr>
                    <w:spacing w:line="276" w:lineRule="auto"/>
                    <w:jc w:val="center"/>
                    <w:rPr>
                      <w:bCs/>
                      <w:sz w:val="21"/>
                      <w:szCs w:val="21"/>
                    </w:rPr>
                  </w:pPr>
                </w:p>
              </w:tc>
            </w:tr>
            <w:tr w14:paraId="1551C2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1636AFA4">
                  <w:pPr>
                    <w:spacing w:line="276" w:lineRule="auto"/>
                    <w:jc w:val="center"/>
                    <w:rPr>
                      <w:bCs/>
                      <w:sz w:val="21"/>
                      <w:szCs w:val="21"/>
                    </w:rPr>
                  </w:pPr>
                  <w:r>
                    <w:rPr>
                      <w:rFonts w:hint="eastAsia"/>
                      <w:bCs/>
                      <w:sz w:val="21"/>
                      <w:szCs w:val="21"/>
                    </w:rPr>
                    <w:t>12</w:t>
                  </w:r>
                </w:p>
              </w:tc>
              <w:tc>
                <w:tcPr>
                  <w:tcW w:w="464" w:type="pct"/>
                  <w:vMerge w:val="continue"/>
                  <w:vAlign w:val="center"/>
                </w:tcPr>
                <w:p w14:paraId="74F638F3">
                  <w:pPr>
                    <w:spacing w:line="276" w:lineRule="auto"/>
                    <w:jc w:val="center"/>
                    <w:rPr>
                      <w:bCs/>
                      <w:sz w:val="21"/>
                      <w:szCs w:val="21"/>
                    </w:rPr>
                  </w:pPr>
                </w:p>
              </w:tc>
              <w:tc>
                <w:tcPr>
                  <w:tcW w:w="434" w:type="pct"/>
                  <w:vMerge w:val="continue"/>
                  <w:vAlign w:val="center"/>
                </w:tcPr>
                <w:p w14:paraId="028AFC05">
                  <w:pPr>
                    <w:spacing w:line="276" w:lineRule="auto"/>
                    <w:jc w:val="center"/>
                    <w:rPr>
                      <w:bCs/>
                      <w:sz w:val="21"/>
                      <w:szCs w:val="21"/>
                    </w:rPr>
                  </w:pPr>
                </w:p>
              </w:tc>
              <w:tc>
                <w:tcPr>
                  <w:tcW w:w="586" w:type="pct"/>
                  <w:vMerge w:val="continue"/>
                  <w:vAlign w:val="center"/>
                </w:tcPr>
                <w:p w14:paraId="08564100">
                  <w:pPr>
                    <w:spacing w:line="276" w:lineRule="auto"/>
                    <w:jc w:val="center"/>
                    <w:rPr>
                      <w:bCs/>
                      <w:sz w:val="21"/>
                      <w:szCs w:val="21"/>
                    </w:rPr>
                  </w:pPr>
                </w:p>
              </w:tc>
              <w:tc>
                <w:tcPr>
                  <w:tcW w:w="1054" w:type="pct"/>
                  <w:vAlign w:val="center"/>
                </w:tcPr>
                <w:p w14:paraId="3360BB9C">
                  <w:pPr>
                    <w:spacing w:line="276" w:lineRule="auto"/>
                    <w:jc w:val="center"/>
                    <w:rPr>
                      <w:bCs/>
                      <w:sz w:val="21"/>
                      <w:szCs w:val="21"/>
                    </w:rPr>
                  </w:pPr>
                  <w:r>
                    <w:rPr>
                      <w:rFonts w:hint="eastAsia"/>
                      <w:bCs/>
                      <w:sz w:val="21"/>
                      <w:szCs w:val="21"/>
                    </w:rPr>
                    <w:t>气动冲床</w:t>
                  </w:r>
                </w:p>
              </w:tc>
              <w:tc>
                <w:tcPr>
                  <w:tcW w:w="538" w:type="pct"/>
                  <w:vAlign w:val="center"/>
                </w:tcPr>
                <w:p w14:paraId="65AD32B0">
                  <w:pPr>
                    <w:spacing w:line="276" w:lineRule="auto"/>
                    <w:jc w:val="center"/>
                    <w:rPr>
                      <w:bCs/>
                      <w:sz w:val="21"/>
                      <w:szCs w:val="21"/>
                    </w:rPr>
                  </w:pPr>
                  <w:r>
                    <w:rPr>
                      <w:rFonts w:hint="eastAsia"/>
                      <w:bCs/>
                      <w:sz w:val="21"/>
                      <w:szCs w:val="21"/>
                    </w:rPr>
                    <w:t>12</w:t>
                  </w:r>
                </w:p>
              </w:tc>
              <w:tc>
                <w:tcPr>
                  <w:tcW w:w="1129" w:type="pct"/>
                  <w:vAlign w:val="center"/>
                </w:tcPr>
                <w:p w14:paraId="1812E2E1">
                  <w:pPr>
                    <w:spacing w:line="276" w:lineRule="auto"/>
                    <w:jc w:val="center"/>
                    <w:rPr>
                      <w:bCs/>
                      <w:sz w:val="21"/>
                      <w:szCs w:val="21"/>
                    </w:rPr>
                  </w:pPr>
                  <w:r>
                    <w:rPr>
                      <w:rFonts w:hint="eastAsia"/>
                      <w:bCs/>
                      <w:sz w:val="21"/>
                      <w:szCs w:val="21"/>
                    </w:rPr>
                    <w:t>JH21-80T</w:t>
                  </w:r>
                </w:p>
              </w:tc>
              <w:tc>
                <w:tcPr>
                  <w:tcW w:w="462" w:type="pct"/>
                  <w:vMerge w:val="continue"/>
                  <w:vAlign w:val="center"/>
                </w:tcPr>
                <w:p w14:paraId="23F645A8">
                  <w:pPr>
                    <w:spacing w:line="276" w:lineRule="auto"/>
                    <w:jc w:val="center"/>
                    <w:rPr>
                      <w:bCs/>
                      <w:sz w:val="21"/>
                      <w:szCs w:val="21"/>
                    </w:rPr>
                  </w:pPr>
                </w:p>
              </w:tc>
            </w:tr>
            <w:tr w14:paraId="5A25FF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2A3DBFE">
                  <w:pPr>
                    <w:spacing w:line="276" w:lineRule="auto"/>
                    <w:jc w:val="center"/>
                    <w:rPr>
                      <w:bCs/>
                      <w:sz w:val="21"/>
                      <w:szCs w:val="21"/>
                    </w:rPr>
                  </w:pPr>
                  <w:r>
                    <w:rPr>
                      <w:rFonts w:hint="eastAsia"/>
                      <w:bCs/>
                      <w:sz w:val="21"/>
                      <w:szCs w:val="21"/>
                    </w:rPr>
                    <w:t>13</w:t>
                  </w:r>
                </w:p>
              </w:tc>
              <w:tc>
                <w:tcPr>
                  <w:tcW w:w="464" w:type="pct"/>
                  <w:vMerge w:val="continue"/>
                  <w:vAlign w:val="center"/>
                </w:tcPr>
                <w:p w14:paraId="437B54D9">
                  <w:pPr>
                    <w:spacing w:line="276" w:lineRule="auto"/>
                    <w:jc w:val="center"/>
                    <w:rPr>
                      <w:bCs/>
                      <w:sz w:val="21"/>
                      <w:szCs w:val="21"/>
                    </w:rPr>
                  </w:pPr>
                </w:p>
              </w:tc>
              <w:tc>
                <w:tcPr>
                  <w:tcW w:w="434" w:type="pct"/>
                  <w:vMerge w:val="continue"/>
                  <w:vAlign w:val="center"/>
                </w:tcPr>
                <w:p w14:paraId="3D64851A">
                  <w:pPr>
                    <w:spacing w:line="276" w:lineRule="auto"/>
                    <w:jc w:val="center"/>
                    <w:rPr>
                      <w:bCs/>
                      <w:sz w:val="21"/>
                      <w:szCs w:val="21"/>
                    </w:rPr>
                  </w:pPr>
                </w:p>
              </w:tc>
              <w:tc>
                <w:tcPr>
                  <w:tcW w:w="586" w:type="pct"/>
                  <w:vMerge w:val="continue"/>
                  <w:vAlign w:val="center"/>
                </w:tcPr>
                <w:p w14:paraId="0EA3F493">
                  <w:pPr>
                    <w:spacing w:line="276" w:lineRule="auto"/>
                    <w:jc w:val="center"/>
                    <w:rPr>
                      <w:bCs/>
                      <w:sz w:val="21"/>
                      <w:szCs w:val="21"/>
                    </w:rPr>
                  </w:pPr>
                </w:p>
              </w:tc>
              <w:tc>
                <w:tcPr>
                  <w:tcW w:w="1054" w:type="pct"/>
                  <w:vAlign w:val="center"/>
                </w:tcPr>
                <w:p w14:paraId="180C8844">
                  <w:pPr>
                    <w:spacing w:line="276" w:lineRule="auto"/>
                    <w:jc w:val="center"/>
                    <w:rPr>
                      <w:bCs/>
                      <w:sz w:val="21"/>
                      <w:szCs w:val="21"/>
                    </w:rPr>
                  </w:pPr>
                  <w:r>
                    <w:rPr>
                      <w:rFonts w:hint="eastAsia"/>
                      <w:bCs/>
                      <w:sz w:val="21"/>
                      <w:szCs w:val="21"/>
                    </w:rPr>
                    <w:t>气动冲床</w:t>
                  </w:r>
                </w:p>
              </w:tc>
              <w:tc>
                <w:tcPr>
                  <w:tcW w:w="538" w:type="pct"/>
                  <w:vAlign w:val="center"/>
                </w:tcPr>
                <w:p w14:paraId="42BF8947">
                  <w:pPr>
                    <w:spacing w:line="276" w:lineRule="auto"/>
                    <w:jc w:val="center"/>
                    <w:rPr>
                      <w:bCs/>
                      <w:sz w:val="21"/>
                      <w:szCs w:val="21"/>
                    </w:rPr>
                  </w:pPr>
                  <w:r>
                    <w:rPr>
                      <w:rFonts w:hint="eastAsia"/>
                      <w:bCs/>
                      <w:sz w:val="21"/>
                      <w:szCs w:val="21"/>
                    </w:rPr>
                    <w:t>4</w:t>
                  </w:r>
                </w:p>
              </w:tc>
              <w:tc>
                <w:tcPr>
                  <w:tcW w:w="1129" w:type="pct"/>
                  <w:vAlign w:val="center"/>
                </w:tcPr>
                <w:p w14:paraId="36A92C3E">
                  <w:pPr>
                    <w:spacing w:line="276" w:lineRule="auto"/>
                    <w:jc w:val="center"/>
                    <w:rPr>
                      <w:bCs/>
                      <w:sz w:val="21"/>
                      <w:szCs w:val="21"/>
                    </w:rPr>
                  </w:pPr>
                  <w:r>
                    <w:rPr>
                      <w:rFonts w:hint="eastAsia"/>
                      <w:bCs/>
                      <w:sz w:val="21"/>
                      <w:szCs w:val="21"/>
                    </w:rPr>
                    <w:t>JH21-45T</w:t>
                  </w:r>
                </w:p>
              </w:tc>
              <w:tc>
                <w:tcPr>
                  <w:tcW w:w="462" w:type="pct"/>
                  <w:vMerge w:val="continue"/>
                  <w:vAlign w:val="center"/>
                </w:tcPr>
                <w:p w14:paraId="0AC465F4">
                  <w:pPr>
                    <w:spacing w:line="276" w:lineRule="auto"/>
                    <w:jc w:val="center"/>
                    <w:rPr>
                      <w:bCs/>
                      <w:sz w:val="21"/>
                      <w:szCs w:val="21"/>
                    </w:rPr>
                  </w:pPr>
                </w:p>
              </w:tc>
            </w:tr>
            <w:tr w14:paraId="157565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5A074B0">
                  <w:pPr>
                    <w:spacing w:line="276" w:lineRule="auto"/>
                    <w:jc w:val="center"/>
                    <w:rPr>
                      <w:bCs/>
                      <w:sz w:val="21"/>
                      <w:szCs w:val="21"/>
                    </w:rPr>
                  </w:pPr>
                  <w:r>
                    <w:rPr>
                      <w:rFonts w:hint="eastAsia"/>
                      <w:bCs/>
                      <w:sz w:val="21"/>
                      <w:szCs w:val="21"/>
                    </w:rPr>
                    <w:t>14</w:t>
                  </w:r>
                </w:p>
              </w:tc>
              <w:tc>
                <w:tcPr>
                  <w:tcW w:w="464" w:type="pct"/>
                  <w:vMerge w:val="continue"/>
                  <w:vAlign w:val="center"/>
                </w:tcPr>
                <w:p w14:paraId="47B1846A">
                  <w:pPr>
                    <w:spacing w:line="276" w:lineRule="auto"/>
                    <w:jc w:val="center"/>
                    <w:rPr>
                      <w:bCs/>
                      <w:sz w:val="21"/>
                      <w:szCs w:val="21"/>
                    </w:rPr>
                  </w:pPr>
                </w:p>
              </w:tc>
              <w:tc>
                <w:tcPr>
                  <w:tcW w:w="434" w:type="pct"/>
                  <w:vMerge w:val="continue"/>
                  <w:vAlign w:val="center"/>
                </w:tcPr>
                <w:p w14:paraId="22C2C6A3">
                  <w:pPr>
                    <w:spacing w:line="276" w:lineRule="auto"/>
                    <w:jc w:val="center"/>
                    <w:rPr>
                      <w:bCs/>
                      <w:sz w:val="21"/>
                      <w:szCs w:val="21"/>
                    </w:rPr>
                  </w:pPr>
                </w:p>
              </w:tc>
              <w:tc>
                <w:tcPr>
                  <w:tcW w:w="586" w:type="pct"/>
                  <w:vMerge w:val="continue"/>
                  <w:vAlign w:val="center"/>
                </w:tcPr>
                <w:p w14:paraId="49D7EF1E">
                  <w:pPr>
                    <w:spacing w:line="276" w:lineRule="auto"/>
                    <w:jc w:val="center"/>
                    <w:rPr>
                      <w:bCs/>
                      <w:sz w:val="21"/>
                      <w:szCs w:val="21"/>
                    </w:rPr>
                  </w:pPr>
                </w:p>
              </w:tc>
              <w:tc>
                <w:tcPr>
                  <w:tcW w:w="1054" w:type="pct"/>
                  <w:vAlign w:val="center"/>
                </w:tcPr>
                <w:p w14:paraId="5E7DA616">
                  <w:pPr>
                    <w:spacing w:line="276" w:lineRule="auto"/>
                    <w:jc w:val="center"/>
                    <w:rPr>
                      <w:bCs/>
                      <w:sz w:val="21"/>
                      <w:szCs w:val="21"/>
                    </w:rPr>
                  </w:pPr>
                  <w:r>
                    <w:rPr>
                      <w:rFonts w:hint="eastAsia"/>
                      <w:bCs/>
                      <w:sz w:val="21"/>
                      <w:szCs w:val="21"/>
                    </w:rPr>
                    <w:t>气动冲床</w:t>
                  </w:r>
                </w:p>
              </w:tc>
              <w:tc>
                <w:tcPr>
                  <w:tcW w:w="538" w:type="pct"/>
                  <w:vAlign w:val="center"/>
                </w:tcPr>
                <w:p w14:paraId="06DAB136">
                  <w:pPr>
                    <w:spacing w:line="276" w:lineRule="auto"/>
                    <w:jc w:val="center"/>
                    <w:rPr>
                      <w:bCs/>
                      <w:sz w:val="21"/>
                      <w:szCs w:val="21"/>
                    </w:rPr>
                  </w:pPr>
                  <w:r>
                    <w:rPr>
                      <w:rFonts w:hint="eastAsia"/>
                      <w:bCs/>
                      <w:sz w:val="21"/>
                      <w:szCs w:val="21"/>
                    </w:rPr>
                    <w:t>2</w:t>
                  </w:r>
                </w:p>
              </w:tc>
              <w:tc>
                <w:tcPr>
                  <w:tcW w:w="1129" w:type="pct"/>
                  <w:vAlign w:val="center"/>
                </w:tcPr>
                <w:p w14:paraId="4A1CE1BC">
                  <w:pPr>
                    <w:spacing w:line="276" w:lineRule="auto"/>
                    <w:jc w:val="center"/>
                    <w:rPr>
                      <w:bCs/>
                      <w:sz w:val="21"/>
                      <w:szCs w:val="21"/>
                    </w:rPr>
                  </w:pPr>
                  <w:r>
                    <w:rPr>
                      <w:rFonts w:hint="eastAsia"/>
                      <w:bCs/>
                      <w:sz w:val="21"/>
                      <w:szCs w:val="21"/>
                    </w:rPr>
                    <w:t>JH21-16T</w:t>
                  </w:r>
                </w:p>
              </w:tc>
              <w:tc>
                <w:tcPr>
                  <w:tcW w:w="462" w:type="pct"/>
                  <w:vMerge w:val="continue"/>
                  <w:vAlign w:val="center"/>
                </w:tcPr>
                <w:p w14:paraId="67F1EFAF">
                  <w:pPr>
                    <w:spacing w:line="276" w:lineRule="auto"/>
                    <w:jc w:val="center"/>
                    <w:rPr>
                      <w:bCs/>
                      <w:sz w:val="21"/>
                      <w:szCs w:val="21"/>
                    </w:rPr>
                  </w:pPr>
                </w:p>
              </w:tc>
            </w:tr>
            <w:tr w14:paraId="544A7C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E757A5A">
                  <w:pPr>
                    <w:spacing w:line="276" w:lineRule="auto"/>
                    <w:jc w:val="center"/>
                    <w:rPr>
                      <w:bCs/>
                      <w:sz w:val="21"/>
                      <w:szCs w:val="21"/>
                    </w:rPr>
                  </w:pPr>
                  <w:r>
                    <w:rPr>
                      <w:rFonts w:hint="eastAsia"/>
                      <w:bCs/>
                      <w:sz w:val="21"/>
                      <w:szCs w:val="21"/>
                    </w:rPr>
                    <w:t>15</w:t>
                  </w:r>
                </w:p>
              </w:tc>
              <w:tc>
                <w:tcPr>
                  <w:tcW w:w="898" w:type="pct"/>
                  <w:gridSpan w:val="2"/>
                  <w:vMerge w:val="restart"/>
                  <w:vAlign w:val="center"/>
                </w:tcPr>
                <w:p w14:paraId="2DBA43A7">
                  <w:pPr>
                    <w:spacing w:line="276" w:lineRule="auto"/>
                    <w:jc w:val="center"/>
                    <w:rPr>
                      <w:bCs/>
                      <w:sz w:val="21"/>
                      <w:szCs w:val="21"/>
                    </w:rPr>
                  </w:pPr>
                  <w:r>
                    <w:rPr>
                      <w:rFonts w:hint="eastAsia"/>
                      <w:bCs/>
                      <w:sz w:val="21"/>
                      <w:szCs w:val="21"/>
                    </w:rPr>
                    <w:t>焊接单元</w:t>
                  </w:r>
                </w:p>
              </w:tc>
              <w:tc>
                <w:tcPr>
                  <w:tcW w:w="586" w:type="pct"/>
                  <w:vMerge w:val="restart"/>
                  <w:vAlign w:val="center"/>
                </w:tcPr>
                <w:p w14:paraId="1B6C72C8">
                  <w:pPr>
                    <w:spacing w:line="276" w:lineRule="auto"/>
                    <w:jc w:val="center"/>
                    <w:rPr>
                      <w:bCs/>
                      <w:sz w:val="21"/>
                      <w:szCs w:val="21"/>
                    </w:rPr>
                  </w:pPr>
                  <w:r>
                    <w:rPr>
                      <w:rFonts w:hint="eastAsia"/>
                      <w:bCs/>
                      <w:sz w:val="21"/>
                      <w:szCs w:val="21"/>
                    </w:rPr>
                    <w:t>焊接</w:t>
                  </w:r>
                </w:p>
              </w:tc>
              <w:tc>
                <w:tcPr>
                  <w:tcW w:w="1054" w:type="pct"/>
                  <w:vAlign w:val="center"/>
                </w:tcPr>
                <w:p w14:paraId="37242129">
                  <w:pPr>
                    <w:spacing w:line="276" w:lineRule="auto"/>
                    <w:jc w:val="center"/>
                    <w:rPr>
                      <w:bCs/>
                      <w:sz w:val="21"/>
                      <w:szCs w:val="21"/>
                    </w:rPr>
                  </w:pPr>
                  <w:r>
                    <w:rPr>
                      <w:rFonts w:hint="eastAsia"/>
                      <w:bCs/>
                      <w:sz w:val="21"/>
                      <w:szCs w:val="21"/>
                    </w:rPr>
                    <w:t>松下工业机器人</w:t>
                  </w:r>
                </w:p>
              </w:tc>
              <w:tc>
                <w:tcPr>
                  <w:tcW w:w="538" w:type="pct"/>
                  <w:vAlign w:val="center"/>
                </w:tcPr>
                <w:p w14:paraId="5EFE21C5">
                  <w:pPr>
                    <w:spacing w:line="276" w:lineRule="auto"/>
                    <w:jc w:val="center"/>
                    <w:rPr>
                      <w:bCs/>
                      <w:sz w:val="21"/>
                      <w:szCs w:val="21"/>
                    </w:rPr>
                  </w:pPr>
                  <w:r>
                    <w:rPr>
                      <w:rFonts w:hint="eastAsia"/>
                      <w:bCs/>
                      <w:sz w:val="21"/>
                      <w:szCs w:val="21"/>
                    </w:rPr>
                    <w:t>27</w:t>
                  </w:r>
                </w:p>
              </w:tc>
              <w:tc>
                <w:tcPr>
                  <w:tcW w:w="1129" w:type="pct"/>
                  <w:vAlign w:val="center"/>
                </w:tcPr>
                <w:p w14:paraId="240EF9DD">
                  <w:pPr>
                    <w:spacing w:line="276" w:lineRule="auto"/>
                    <w:jc w:val="center"/>
                    <w:rPr>
                      <w:bCs/>
                      <w:sz w:val="21"/>
                      <w:szCs w:val="21"/>
                    </w:rPr>
                  </w:pPr>
                  <w:r>
                    <w:rPr>
                      <w:rFonts w:hint="eastAsia"/>
                      <w:bCs/>
                      <w:sz w:val="21"/>
                      <w:szCs w:val="21"/>
                    </w:rPr>
                    <w:t>TM1400-350GS6</w:t>
                  </w:r>
                </w:p>
              </w:tc>
              <w:tc>
                <w:tcPr>
                  <w:tcW w:w="462" w:type="pct"/>
                  <w:vMerge w:val="restart"/>
                  <w:vAlign w:val="center"/>
                </w:tcPr>
                <w:p w14:paraId="6C050DA8">
                  <w:pPr>
                    <w:spacing w:line="276" w:lineRule="auto"/>
                    <w:jc w:val="center"/>
                    <w:rPr>
                      <w:bCs/>
                      <w:sz w:val="21"/>
                      <w:szCs w:val="21"/>
                    </w:rPr>
                  </w:pPr>
                  <w:r>
                    <w:rPr>
                      <w:rFonts w:hint="eastAsia"/>
                      <w:bCs/>
                      <w:sz w:val="21"/>
                      <w:szCs w:val="21"/>
                    </w:rPr>
                    <w:t>焊接区</w:t>
                  </w:r>
                </w:p>
              </w:tc>
            </w:tr>
            <w:tr w14:paraId="7E7875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0251286">
                  <w:pPr>
                    <w:spacing w:line="276" w:lineRule="auto"/>
                    <w:jc w:val="center"/>
                    <w:rPr>
                      <w:bCs/>
                      <w:sz w:val="21"/>
                      <w:szCs w:val="21"/>
                    </w:rPr>
                  </w:pPr>
                  <w:r>
                    <w:rPr>
                      <w:rFonts w:hint="eastAsia"/>
                      <w:bCs/>
                      <w:sz w:val="21"/>
                      <w:szCs w:val="21"/>
                    </w:rPr>
                    <w:t>16</w:t>
                  </w:r>
                </w:p>
              </w:tc>
              <w:tc>
                <w:tcPr>
                  <w:tcW w:w="898" w:type="pct"/>
                  <w:gridSpan w:val="2"/>
                  <w:vMerge w:val="continue"/>
                  <w:vAlign w:val="center"/>
                </w:tcPr>
                <w:p w14:paraId="4BC65B85">
                  <w:pPr>
                    <w:spacing w:line="276" w:lineRule="auto"/>
                    <w:jc w:val="center"/>
                    <w:rPr>
                      <w:bCs/>
                      <w:sz w:val="21"/>
                      <w:szCs w:val="21"/>
                    </w:rPr>
                  </w:pPr>
                </w:p>
              </w:tc>
              <w:tc>
                <w:tcPr>
                  <w:tcW w:w="586" w:type="pct"/>
                  <w:vMerge w:val="continue"/>
                  <w:vAlign w:val="center"/>
                </w:tcPr>
                <w:p w14:paraId="41B54E39">
                  <w:pPr>
                    <w:spacing w:line="276" w:lineRule="auto"/>
                    <w:jc w:val="center"/>
                    <w:rPr>
                      <w:bCs/>
                      <w:sz w:val="21"/>
                      <w:szCs w:val="21"/>
                    </w:rPr>
                  </w:pPr>
                </w:p>
              </w:tc>
              <w:tc>
                <w:tcPr>
                  <w:tcW w:w="1054" w:type="pct"/>
                  <w:vAlign w:val="center"/>
                </w:tcPr>
                <w:p w14:paraId="64C2BE98">
                  <w:pPr>
                    <w:spacing w:line="276" w:lineRule="auto"/>
                    <w:jc w:val="center"/>
                    <w:rPr>
                      <w:bCs/>
                      <w:sz w:val="21"/>
                      <w:szCs w:val="21"/>
                    </w:rPr>
                  </w:pPr>
                  <w:r>
                    <w:rPr>
                      <w:rFonts w:hint="eastAsia"/>
                      <w:bCs/>
                      <w:sz w:val="21"/>
                      <w:szCs w:val="21"/>
                    </w:rPr>
                    <w:t>点焊机</w:t>
                  </w:r>
                </w:p>
              </w:tc>
              <w:tc>
                <w:tcPr>
                  <w:tcW w:w="538" w:type="pct"/>
                  <w:vAlign w:val="center"/>
                </w:tcPr>
                <w:p w14:paraId="41F70C68">
                  <w:pPr>
                    <w:spacing w:line="276" w:lineRule="auto"/>
                    <w:jc w:val="center"/>
                    <w:rPr>
                      <w:bCs/>
                      <w:sz w:val="21"/>
                      <w:szCs w:val="21"/>
                    </w:rPr>
                  </w:pPr>
                  <w:r>
                    <w:rPr>
                      <w:rFonts w:hint="eastAsia"/>
                      <w:bCs/>
                      <w:sz w:val="21"/>
                      <w:szCs w:val="21"/>
                    </w:rPr>
                    <w:t>3</w:t>
                  </w:r>
                </w:p>
              </w:tc>
              <w:tc>
                <w:tcPr>
                  <w:tcW w:w="1129" w:type="pct"/>
                  <w:vAlign w:val="center"/>
                </w:tcPr>
                <w:p w14:paraId="0E654057">
                  <w:pPr>
                    <w:spacing w:line="276" w:lineRule="auto"/>
                    <w:jc w:val="center"/>
                    <w:rPr>
                      <w:bCs/>
                      <w:sz w:val="21"/>
                      <w:szCs w:val="21"/>
                    </w:rPr>
                  </w:pPr>
                  <w:r>
                    <w:rPr>
                      <w:rFonts w:hint="eastAsia"/>
                      <w:bCs/>
                      <w:sz w:val="21"/>
                      <w:szCs w:val="21"/>
                    </w:rPr>
                    <w:t>DN-100</w:t>
                  </w:r>
                </w:p>
              </w:tc>
              <w:tc>
                <w:tcPr>
                  <w:tcW w:w="462" w:type="pct"/>
                  <w:vMerge w:val="continue"/>
                  <w:vAlign w:val="center"/>
                </w:tcPr>
                <w:p w14:paraId="32B42B5C">
                  <w:pPr>
                    <w:spacing w:line="276" w:lineRule="auto"/>
                    <w:jc w:val="center"/>
                    <w:rPr>
                      <w:bCs/>
                      <w:sz w:val="21"/>
                      <w:szCs w:val="21"/>
                    </w:rPr>
                  </w:pPr>
                </w:p>
              </w:tc>
            </w:tr>
            <w:tr w14:paraId="33FBC5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29BC5DA8">
                  <w:pPr>
                    <w:spacing w:line="276" w:lineRule="auto"/>
                    <w:jc w:val="center"/>
                    <w:rPr>
                      <w:bCs/>
                      <w:sz w:val="21"/>
                      <w:szCs w:val="21"/>
                    </w:rPr>
                  </w:pPr>
                  <w:r>
                    <w:rPr>
                      <w:rFonts w:hint="eastAsia"/>
                      <w:bCs/>
                      <w:sz w:val="21"/>
                      <w:szCs w:val="21"/>
                    </w:rPr>
                    <w:t>17</w:t>
                  </w:r>
                </w:p>
              </w:tc>
              <w:tc>
                <w:tcPr>
                  <w:tcW w:w="898" w:type="pct"/>
                  <w:gridSpan w:val="2"/>
                  <w:vMerge w:val="continue"/>
                  <w:vAlign w:val="center"/>
                </w:tcPr>
                <w:p w14:paraId="260E8705">
                  <w:pPr>
                    <w:spacing w:line="276" w:lineRule="auto"/>
                    <w:jc w:val="center"/>
                    <w:rPr>
                      <w:bCs/>
                      <w:sz w:val="21"/>
                      <w:szCs w:val="21"/>
                    </w:rPr>
                  </w:pPr>
                </w:p>
              </w:tc>
              <w:tc>
                <w:tcPr>
                  <w:tcW w:w="586" w:type="pct"/>
                  <w:vAlign w:val="center"/>
                </w:tcPr>
                <w:p w14:paraId="6B1453BD">
                  <w:pPr>
                    <w:spacing w:line="276" w:lineRule="auto"/>
                    <w:jc w:val="center"/>
                    <w:rPr>
                      <w:bCs/>
                      <w:sz w:val="21"/>
                      <w:szCs w:val="21"/>
                    </w:rPr>
                  </w:pPr>
                  <w:r>
                    <w:rPr>
                      <w:rFonts w:hint="eastAsia"/>
                      <w:bCs/>
                      <w:sz w:val="21"/>
                      <w:szCs w:val="21"/>
                    </w:rPr>
                    <w:t>点焊后攻丝</w:t>
                  </w:r>
                </w:p>
              </w:tc>
              <w:tc>
                <w:tcPr>
                  <w:tcW w:w="1054" w:type="pct"/>
                  <w:vAlign w:val="center"/>
                </w:tcPr>
                <w:p w14:paraId="183824AE">
                  <w:pPr>
                    <w:spacing w:line="276" w:lineRule="auto"/>
                    <w:jc w:val="center"/>
                    <w:rPr>
                      <w:bCs/>
                      <w:sz w:val="21"/>
                      <w:szCs w:val="21"/>
                    </w:rPr>
                  </w:pPr>
                  <w:r>
                    <w:rPr>
                      <w:rFonts w:hint="eastAsia"/>
                      <w:bCs/>
                      <w:sz w:val="21"/>
                      <w:szCs w:val="21"/>
                    </w:rPr>
                    <w:t>电动攻丝机</w:t>
                  </w:r>
                </w:p>
              </w:tc>
              <w:tc>
                <w:tcPr>
                  <w:tcW w:w="538" w:type="pct"/>
                  <w:vAlign w:val="center"/>
                </w:tcPr>
                <w:p w14:paraId="242E4C5A">
                  <w:pPr>
                    <w:spacing w:line="276" w:lineRule="auto"/>
                    <w:jc w:val="center"/>
                    <w:rPr>
                      <w:bCs/>
                      <w:sz w:val="21"/>
                      <w:szCs w:val="21"/>
                    </w:rPr>
                  </w:pPr>
                  <w:r>
                    <w:rPr>
                      <w:rFonts w:hint="eastAsia"/>
                      <w:bCs/>
                      <w:sz w:val="21"/>
                      <w:szCs w:val="21"/>
                    </w:rPr>
                    <w:t>1</w:t>
                  </w:r>
                </w:p>
              </w:tc>
              <w:tc>
                <w:tcPr>
                  <w:tcW w:w="1129" w:type="pct"/>
                  <w:vAlign w:val="center"/>
                </w:tcPr>
                <w:p w14:paraId="1046208E">
                  <w:pPr>
                    <w:spacing w:line="276" w:lineRule="auto"/>
                    <w:jc w:val="center"/>
                    <w:rPr>
                      <w:bCs/>
                      <w:sz w:val="21"/>
                      <w:szCs w:val="21"/>
                    </w:rPr>
                  </w:pPr>
                  <w:r>
                    <w:rPr>
                      <w:rFonts w:hint="eastAsia"/>
                      <w:bCs/>
                      <w:sz w:val="21"/>
                      <w:szCs w:val="21"/>
                    </w:rPr>
                    <w:t>M3-M16</w:t>
                  </w:r>
                </w:p>
              </w:tc>
              <w:tc>
                <w:tcPr>
                  <w:tcW w:w="462" w:type="pct"/>
                  <w:vMerge w:val="continue"/>
                  <w:vAlign w:val="center"/>
                </w:tcPr>
                <w:p w14:paraId="4EEC6372">
                  <w:pPr>
                    <w:spacing w:line="276" w:lineRule="auto"/>
                    <w:jc w:val="center"/>
                    <w:rPr>
                      <w:bCs/>
                      <w:sz w:val="21"/>
                      <w:szCs w:val="21"/>
                    </w:rPr>
                  </w:pPr>
                </w:p>
              </w:tc>
            </w:tr>
            <w:tr w14:paraId="39FB21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D3B3631">
                  <w:pPr>
                    <w:spacing w:line="276" w:lineRule="auto"/>
                    <w:jc w:val="center"/>
                    <w:rPr>
                      <w:bCs/>
                      <w:sz w:val="21"/>
                      <w:szCs w:val="21"/>
                    </w:rPr>
                  </w:pPr>
                  <w:r>
                    <w:rPr>
                      <w:rFonts w:hint="eastAsia"/>
                      <w:bCs/>
                      <w:sz w:val="21"/>
                      <w:szCs w:val="21"/>
                    </w:rPr>
                    <w:t>18</w:t>
                  </w:r>
                </w:p>
              </w:tc>
              <w:tc>
                <w:tcPr>
                  <w:tcW w:w="898" w:type="pct"/>
                  <w:gridSpan w:val="2"/>
                  <w:vMerge w:val="continue"/>
                  <w:vAlign w:val="center"/>
                </w:tcPr>
                <w:p w14:paraId="3C836014">
                  <w:pPr>
                    <w:spacing w:line="276" w:lineRule="auto"/>
                    <w:jc w:val="center"/>
                    <w:rPr>
                      <w:bCs/>
                      <w:sz w:val="21"/>
                      <w:szCs w:val="21"/>
                    </w:rPr>
                  </w:pPr>
                </w:p>
              </w:tc>
              <w:tc>
                <w:tcPr>
                  <w:tcW w:w="586" w:type="pct"/>
                  <w:vAlign w:val="center"/>
                </w:tcPr>
                <w:p w14:paraId="5ED19D5F">
                  <w:pPr>
                    <w:spacing w:line="276" w:lineRule="auto"/>
                    <w:jc w:val="center"/>
                    <w:rPr>
                      <w:bCs/>
                      <w:sz w:val="21"/>
                      <w:szCs w:val="21"/>
                    </w:rPr>
                  </w:pPr>
                  <w:r>
                    <w:rPr>
                      <w:rFonts w:hint="eastAsia"/>
                      <w:bCs/>
                      <w:sz w:val="21"/>
                      <w:szCs w:val="21"/>
                    </w:rPr>
                    <w:t>焊接</w:t>
                  </w:r>
                </w:p>
              </w:tc>
              <w:tc>
                <w:tcPr>
                  <w:tcW w:w="1054" w:type="pct"/>
                  <w:vAlign w:val="center"/>
                </w:tcPr>
                <w:p w14:paraId="5C98FA9C">
                  <w:pPr>
                    <w:spacing w:line="276" w:lineRule="auto"/>
                    <w:jc w:val="center"/>
                    <w:rPr>
                      <w:bCs/>
                      <w:sz w:val="21"/>
                      <w:szCs w:val="21"/>
                    </w:rPr>
                  </w:pPr>
                  <w:r>
                    <w:rPr>
                      <w:rFonts w:hint="eastAsia"/>
                      <w:bCs/>
                      <w:sz w:val="21"/>
                      <w:szCs w:val="21"/>
                    </w:rPr>
                    <w:t>手工焊接</w:t>
                  </w:r>
                </w:p>
              </w:tc>
              <w:tc>
                <w:tcPr>
                  <w:tcW w:w="538" w:type="pct"/>
                  <w:vAlign w:val="center"/>
                </w:tcPr>
                <w:p w14:paraId="26C2C321">
                  <w:pPr>
                    <w:spacing w:line="276" w:lineRule="auto"/>
                    <w:jc w:val="center"/>
                    <w:rPr>
                      <w:bCs/>
                      <w:sz w:val="21"/>
                      <w:szCs w:val="21"/>
                    </w:rPr>
                  </w:pPr>
                  <w:r>
                    <w:rPr>
                      <w:rFonts w:hint="eastAsia"/>
                      <w:bCs/>
                      <w:sz w:val="21"/>
                      <w:szCs w:val="21"/>
                    </w:rPr>
                    <w:t>13</w:t>
                  </w:r>
                </w:p>
              </w:tc>
              <w:tc>
                <w:tcPr>
                  <w:tcW w:w="1129" w:type="pct"/>
                  <w:vAlign w:val="center"/>
                </w:tcPr>
                <w:p w14:paraId="51312DD5">
                  <w:pPr>
                    <w:spacing w:line="276" w:lineRule="auto"/>
                    <w:jc w:val="center"/>
                    <w:rPr>
                      <w:bCs/>
                      <w:sz w:val="21"/>
                      <w:szCs w:val="21"/>
                    </w:rPr>
                  </w:pPr>
                  <w:r>
                    <w:rPr>
                      <w:rFonts w:hint="eastAsia"/>
                      <w:bCs/>
                      <w:sz w:val="21"/>
                      <w:szCs w:val="21"/>
                    </w:rPr>
                    <w:t>/</w:t>
                  </w:r>
                </w:p>
              </w:tc>
              <w:tc>
                <w:tcPr>
                  <w:tcW w:w="462" w:type="pct"/>
                  <w:vMerge w:val="continue"/>
                  <w:vAlign w:val="center"/>
                </w:tcPr>
                <w:p w14:paraId="66579893">
                  <w:pPr>
                    <w:spacing w:line="276" w:lineRule="auto"/>
                    <w:jc w:val="center"/>
                    <w:rPr>
                      <w:bCs/>
                      <w:sz w:val="21"/>
                      <w:szCs w:val="21"/>
                    </w:rPr>
                  </w:pPr>
                </w:p>
              </w:tc>
            </w:tr>
            <w:tr w14:paraId="1AB724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F8AD7F9">
                  <w:pPr>
                    <w:spacing w:line="276" w:lineRule="auto"/>
                    <w:jc w:val="center"/>
                    <w:rPr>
                      <w:bCs/>
                      <w:sz w:val="21"/>
                      <w:szCs w:val="21"/>
                    </w:rPr>
                  </w:pPr>
                  <w:r>
                    <w:rPr>
                      <w:rFonts w:hint="eastAsia"/>
                      <w:bCs/>
                      <w:sz w:val="21"/>
                      <w:szCs w:val="21"/>
                    </w:rPr>
                    <w:t>19</w:t>
                  </w:r>
                </w:p>
              </w:tc>
              <w:tc>
                <w:tcPr>
                  <w:tcW w:w="898" w:type="pct"/>
                  <w:gridSpan w:val="2"/>
                  <w:vMerge w:val="continue"/>
                  <w:vAlign w:val="center"/>
                </w:tcPr>
                <w:p w14:paraId="0DCFFF02">
                  <w:pPr>
                    <w:spacing w:line="276" w:lineRule="auto"/>
                    <w:jc w:val="center"/>
                    <w:rPr>
                      <w:bCs/>
                      <w:sz w:val="21"/>
                      <w:szCs w:val="21"/>
                    </w:rPr>
                  </w:pPr>
                </w:p>
              </w:tc>
              <w:tc>
                <w:tcPr>
                  <w:tcW w:w="586" w:type="pct"/>
                  <w:vAlign w:val="center"/>
                </w:tcPr>
                <w:p w14:paraId="53D0F283">
                  <w:pPr>
                    <w:spacing w:line="276" w:lineRule="auto"/>
                    <w:jc w:val="center"/>
                    <w:rPr>
                      <w:bCs/>
                      <w:sz w:val="21"/>
                      <w:szCs w:val="21"/>
                    </w:rPr>
                  </w:pPr>
                  <w:r>
                    <w:rPr>
                      <w:rFonts w:hint="eastAsia"/>
                      <w:bCs/>
                      <w:sz w:val="21"/>
                      <w:szCs w:val="21"/>
                    </w:rPr>
                    <w:t>焊接后整形</w:t>
                  </w:r>
                </w:p>
              </w:tc>
              <w:tc>
                <w:tcPr>
                  <w:tcW w:w="1054" w:type="pct"/>
                  <w:vAlign w:val="center"/>
                </w:tcPr>
                <w:p w14:paraId="01CCF5CF">
                  <w:pPr>
                    <w:spacing w:line="276" w:lineRule="auto"/>
                    <w:jc w:val="center"/>
                    <w:rPr>
                      <w:bCs/>
                      <w:sz w:val="21"/>
                      <w:szCs w:val="21"/>
                    </w:rPr>
                  </w:pPr>
                  <w:r>
                    <w:rPr>
                      <w:rFonts w:hint="eastAsia"/>
                      <w:bCs/>
                      <w:sz w:val="21"/>
                      <w:szCs w:val="21"/>
                    </w:rPr>
                    <w:t>金清单柱液压机</w:t>
                  </w:r>
                </w:p>
              </w:tc>
              <w:tc>
                <w:tcPr>
                  <w:tcW w:w="538" w:type="pct"/>
                  <w:vAlign w:val="center"/>
                </w:tcPr>
                <w:p w14:paraId="5D172753">
                  <w:pPr>
                    <w:spacing w:line="276" w:lineRule="auto"/>
                    <w:jc w:val="center"/>
                    <w:rPr>
                      <w:bCs/>
                      <w:sz w:val="21"/>
                      <w:szCs w:val="21"/>
                    </w:rPr>
                  </w:pPr>
                  <w:r>
                    <w:rPr>
                      <w:rFonts w:hint="eastAsia"/>
                      <w:bCs/>
                      <w:sz w:val="21"/>
                      <w:szCs w:val="21"/>
                    </w:rPr>
                    <w:t>1</w:t>
                  </w:r>
                </w:p>
              </w:tc>
              <w:tc>
                <w:tcPr>
                  <w:tcW w:w="1129" w:type="pct"/>
                  <w:vAlign w:val="center"/>
                </w:tcPr>
                <w:p w14:paraId="632B82D8">
                  <w:pPr>
                    <w:spacing w:line="276" w:lineRule="auto"/>
                    <w:jc w:val="center"/>
                    <w:rPr>
                      <w:bCs/>
                      <w:sz w:val="21"/>
                      <w:szCs w:val="21"/>
                    </w:rPr>
                  </w:pPr>
                  <w:r>
                    <w:rPr>
                      <w:rFonts w:hint="eastAsia"/>
                      <w:bCs/>
                      <w:sz w:val="21"/>
                      <w:szCs w:val="21"/>
                    </w:rPr>
                    <w:t>Y32-15</w:t>
                  </w:r>
                </w:p>
              </w:tc>
              <w:tc>
                <w:tcPr>
                  <w:tcW w:w="462" w:type="pct"/>
                  <w:vMerge w:val="continue"/>
                  <w:vAlign w:val="center"/>
                </w:tcPr>
                <w:p w14:paraId="6D2B9B44">
                  <w:pPr>
                    <w:spacing w:line="276" w:lineRule="auto"/>
                    <w:jc w:val="center"/>
                    <w:rPr>
                      <w:bCs/>
                      <w:sz w:val="21"/>
                      <w:szCs w:val="21"/>
                    </w:rPr>
                  </w:pPr>
                </w:p>
              </w:tc>
            </w:tr>
            <w:tr w14:paraId="346B1A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5000" w:type="pct"/>
                  <w:gridSpan w:val="8"/>
                  <w:vAlign w:val="center"/>
                </w:tcPr>
                <w:p w14:paraId="19977B6E">
                  <w:pPr>
                    <w:spacing w:line="276" w:lineRule="auto"/>
                    <w:jc w:val="center"/>
                    <w:rPr>
                      <w:bCs/>
                      <w:sz w:val="21"/>
                      <w:szCs w:val="21"/>
                    </w:rPr>
                  </w:pPr>
                  <w:r>
                    <w:rPr>
                      <w:rFonts w:hint="eastAsia"/>
                      <w:b/>
                      <w:sz w:val="21"/>
                      <w:szCs w:val="21"/>
                    </w:rPr>
                    <w:t>衬套</w:t>
                  </w:r>
                  <w:r>
                    <w:rPr>
                      <w:b/>
                      <w:sz w:val="21"/>
                      <w:szCs w:val="21"/>
                    </w:rPr>
                    <w:t>生产线</w:t>
                  </w:r>
                </w:p>
              </w:tc>
            </w:tr>
            <w:tr w14:paraId="52C912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1DA697A">
                  <w:pPr>
                    <w:spacing w:line="276" w:lineRule="auto"/>
                    <w:jc w:val="center"/>
                    <w:rPr>
                      <w:bCs/>
                      <w:sz w:val="21"/>
                      <w:szCs w:val="21"/>
                    </w:rPr>
                  </w:pPr>
                  <w:r>
                    <w:rPr>
                      <w:rFonts w:hint="eastAsia"/>
                      <w:bCs/>
                      <w:sz w:val="21"/>
                      <w:szCs w:val="21"/>
                    </w:rPr>
                    <w:t>20</w:t>
                  </w:r>
                </w:p>
              </w:tc>
              <w:tc>
                <w:tcPr>
                  <w:tcW w:w="898" w:type="pct"/>
                  <w:gridSpan w:val="2"/>
                  <w:vMerge w:val="restart"/>
                  <w:vAlign w:val="center"/>
                </w:tcPr>
                <w:p w14:paraId="620B2B51">
                  <w:pPr>
                    <w:spacing w:line="276" w:lineRule="auto"/>
                    <w:jc w:val="center"/>
                    <w:rPr>
                      <w:bCs/>
                      <w:sz w:val="21"/>
                      <w:szCs w:val="21"/>
                    </w:rPr>
                  </w:pPr>
                  <w:r>
                    <w:rPr>
                      <w:bCs/>
                      <w:sz w:val="21"/>
                      <w:szCs w:val="21"/>
                    </w:rPr>
                    <w:t>抛丸</w:t>
                  </w:r>
                </w:p>
              </w:tc>
              <w:tc>
                <w:tcPr>
                  <w:tcW w:w="586" w:type="pct"/>
                  <w:vMerge w:val="restart"/>
                  <w:vAlign w:val="center"/>
                </w:tcPr>
                <w:p w14:paraId="2DFD2C21">
                  <w:pPr>
                    <w:spacing w:line="276" w:lineRule="auto"/>
                    <w:jc w:val="center"/>
                    <w:rPr>
                      <w:bCs/>
                      <w:sz w:val="21"/>
                      <w:szCs w:val="21"/>
                    </w:rPr>
                  </w:pPr>
                  <w:r>
                    <w:rPr>
                      <w:bCs/>
                      <w:sz w:val="21"/>
                      <w:szCs w:val="21"/>
                    </w:rPr>
                    <w:t>抛丸</w:t>
                  </w:r>
                </w:p>
              </w:tc>
              <w:tc>
                <w:tcPr>
                  <w:tcW w:w="1054" w:type="pct"/>
                  <w:vAlign w:val="center"/>
                </w:tcPr>
                <w:p w14:paraId="72D02964">
                  <w:pPr>
                    <w:spacing w:line="276" w:lineRule="auto"/>
                    <w:jc w:val="center"/>
                    <w:rPr>
                      <w:bCs/>
                      <w:sz w:val="21"/>
                      <w:szCs w:val="21"/>
                    </w:rPr>
                  </w:pPr>
                  <w:r>
                    <w:rPr>
                      <w:rFonts w:hint="eastAsia"/>
                      <w:bCs/>
                      <w:sz w:val="21"/>
                      <w:szCs w:val="21"/>
                    </w:rPr>
                    <w:t>自动抛丸机</w:t>
                  </w:r>
                </w:p>
              </w:tc>
              <w:tc>
                <w:tcPr>
                  <w:tcW w:w="538" w:type="pct"/>
                  <w:vAlign w:val="center"/>
                </w:tcPr>
                <w:p w14:paraId="2582A42B">
                  <w:pPr>
                    <w:spacing w:line="276" w:lineRule="auto"/>
                    <w:jc w:val="center"/>
                    <w:rPr>
                      <w:bCs/>
                      <w:sz w:val="21"/>
                      <w:szCs w:val="21"/>
                    </w:rPr>
                  </w:pPr>
                  <w:r>
                    <w:rPr>
                      <w:rFonts w:hint="eastAsia"/>
                      <w:bCs/>
                      <w:sz w:val="21"/>
                      <w:szCs w:val="21"/>
                    </w:rPr>
                    <w:t>1</w:t>
                  </w:r>
                </w:p>
              </w:tc>
              <w:tc>
                <w:tcPr>
                  <w:tcW w:w="1129" w:type="pct"/>
                  <w:vAlign w:val="center"/>
                </w:tcPr>
                <w:p w14:paraId="75AB62B9">
                  <w:pPr>
                    <w:spacing w:line="276" w:lineRule="auto"/>
                    <w:jc w:val="center"/>
                    <w:rPr>
                      <w:bCs/>
                      <w:sz w:val="21"/>
                      <w:szCs w:val="21"/>
                    </w:rPr>
                  </w:pPr>
                  <w:r>
                    <w:rPr>
                      <w:rFonts w:hint="eastAsia"/>
                      <w:bCs/>
                      <w:sz w:val="21"/>
                      <w:szCs w:val="21"/>
                    </w:rPr>
                    <w:t>B1000MAE</w:t>
                  </w:r>
                </w:p>
              </w:tc>
              <w:tc>
                <w:tcPr>
                  <w:tcW w:w="462" w:type="pct"/>
                  <w:vMerge w:val="restart"/>
                  <w:vAlign w:val="center"/>
                </w:tcPr>
                <w:p w14:paraId="0A417B08">
                  <w:pPr>
                    <w:spacing w:line="276" w:lineRule="auto"/>
                    <w:jc w:val="center"/>
                    <w:rPr>
                      <w:bCs/>
                      <w:sz w:val="21"/>
                      <w:szCs w:val="21"/>
                    </w:rPr>
                  </w:pPr>
                  <w:r>
                    <w:rPr>
                      <w:rFonts w:hint="eastAsia"/>
                      <w:bCs/>
                      <w:sz w:val="21"/>
                      <w:szCs w:val="21"/>
                    </w:rPr>
                    <w:t>抛丸区</w:t>
                  </w:r>
                </w:p>
              </w:tc>
            </w:tr>
            <w:tr w14:paraId="218815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6B23BDE">
                  <w:pPr>
                    <w:spacing w:line="276" w:lineRule="auto"/>
                    <w:jc w:val="center"/>
                    <w:rPr>
                      <w:bCs/>
                      <w:sz w:val="21"/>
                      <w:szCs w:val="21"/>
                    </w:rPr>
                  </w:pPr>
                  <w:r>
                    <w:rPr>
                      <w:rFonts w:hint="eastAsia"/>
                      <w:bCs/>
                      <w:sz w:val="21"/>
                      <w:szCs w:val="21"/>
                    </w:rPr>
                    <w:t>21</w:t>
                  </w:r>
                </w:p>
              </w:tc>
              <w:tc>
                <w:tcPr>
                  <w:tcW w:w="898" w:type="pct"/>
                  <w:gridSpan w:val="2"/>
                  <w:vMerge w:val="continue"/>
                  <w:vAlign w:val="center"/>
                </w:tcPr>
                <w:p w14:paraId="07B0E78B">
                  <w:pPr>
                    <w:spacing w:line="276" w:lineRule="auto"/>
                    <w:jc w:val="center"/>
                    <w:rPr>
                      <w:bCs/>
                      <w:sz w:val="21"/>
                      <w:szCs w:val="21"/>
                    </w:rPr>
                  </w:pPr>
                </w:p>
              </w:tc>
              <w:tc>
                <w:tcPr>
                  <w:tcW w:w="586" w:type="pct"/>
                  <w:vMerge w:val="continue"/>
                  <w:vAlign w:val="center"/>
                </w:tcPr>
                <w:p w14:paraId="26BF37B8">
                  <w:pPr>
                    <w:spacing w:line="276" w:lineRule="auto"/>
                    <w:jc w:val="center"/>
                    <w:rPr>
                      <w:bCs/>
                      <w:sz w:val="21"/>
                      <w:szCs w:val="21"/>
                    </w:rPr>
                  </w:pPr>
                </w:p>
              </w:tc>
              <w:tc>
                <w:tcPr>
                  <w:tcW w:w="1054" w:type="pct"/>
                  <w:vAlign w:val="center"/>
                </w:tcPr>
                <w:p w14:paraId="1D171139">
                  <w:pPr>
                    <w:spacing w:line="276" w:lineRule="auto"/>
                    <w:jc w:val="center"/>
                    <w:rPr>
                      <w:bCs/>
                      <w:sz w:val="21"/>
                      <w:szCs w:val="21"/>
                    </w:rPr>
                  </w:pPr>
                  <w:r>
                    <w:rPr>
                      <w:rFonts w:hint="eastAsia"/>
                      <w:bCs/>
                      <w:sz w:val="21"/>
                      <w:szCs w:val="21"/>
                    </w:rPr>
                    <w:t>自动抛丸机</w:t>
                  </w:r>
                </w:p>
              </w:tc>
              <w:tc>
                <w:tcPr>
                  <w:tcW w:w="538" w:type="pct"/>
                  <w:vAlign w:val="center"/>
                </w:tcPr>
                <w:p w14:paraId="26A5E41D">
                  <w:pPr>
                    <w:spacing w:line="276" w:lineRule="auto"/>
                    <w:jc w:val="center"/>
                    <w:rPr>
                      <w:bCs/>
                      <w:sz w:val="21"/>
                      <w:szCs w:val="21"/>
                    </w:rPr>
                  </w:pPr>
                  <w:r>
                    <w:rPr>
                      <w:rFonts w:hint="eastAsia"/>
                      <w:bCs/>
                      <w:sz w:val="21"/>
                      <w:szCs w:val="21"/>
                    </w:rPr>
                    <w:t>3</w:t>
                  </w:r>
                </w:p>
              </w:tc>
              <w:tc>
                <w:tcPr>
                  <w:tcW w:w="1129" w:type="pct"/>
                  <w:vAlign w:val="center"/>
                </w:tcPr>
                <w:p w14:paraId="0AA895A8">
                  <w:pPr>
                    <w:spacing w:line="276" w:lineRule="auto"/>
                    <w:jc w:val="center"/>
                    <w:rPr>
                      <w:bCs/>
                      <w:sz w:val="21"/>
                      <w:szCs w:val="21"/>
                    </w:rPr>
                  </w:pPr>
                  <w:r>
                    <w:rPr>
                      <w:rFonts w:hint="eastAsia"/>
                      <w:bCs/>
                      <w:sz w:val="21"/>
                      <w:szCs w:val="21"/>
                    </w:rPr>
                    <w:t>B650MC</w:t>
                  </w:r>
                </w:p>
              </w:tc>
              <w:tc>
                <w:tcPr>
                  <w:tcW w:w="462" w:type="pct"/>
                  <w:vMerge w:val="continue"/>
                  <w:vAlign w:val="center"/>
                </w:tcPr>
                <w:p w14:paraId="3B93206C">
                  <w:pPr>
                    <w:spacing w:line="276" w:lineRule="auto"/>
                    <w:jc w:val="center"/>
                    <w:rPr>
                      <w:bCs/>
                      <w:sz w:val="21"/>
                      <w:szCs w:val="21"/>
                    </w:rPr>
                  </w:pPr>
                </w:p>
              </w:tc>
            </w:tr>
            <w:tr w14:paraId="7E48A4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DA72B4E">
                  <w:pPr>
                    <w:spacing w:line="276" w:lineRule="auto"/>
                    <w:jc w:val="center"/>
                    <w:rPr>
                      <w:bCs/>
                      <w:sz w:val="21"/>
                      <w:szCs w:val="21"/>
                    </w:rPr>
                  </w:pPr>
                  <w:r>
                    <w:rPr>
                      <w:rFonts w:hint="eastAsia"/>
                      <w:bCs/>
                      <w:sz w:val="21"/>
                      <w:szCs w:val="21"/>
                    </w:rPr>
                    <w:t>22</w:t>
                  </w:r>
                </w:p>
              </w:tc>
              <w:tc>
                <w:tcPr>
                  <w:tcW w:w="898" w:type="pct"/>
                  <w:gridSpan w:val="2"/>
                  <w:vAlign w:val="center"/>
                </w:tcPr>
                <w:p w14:paraId="28916A32">
                  <w:pPr>
                    <w:spacing w:line="276" w:lineRule="auto"/>
                    <w:jc w:val="center"/>
                    <w:rPr>
                      <w:bCs/>
                      <w:sz w:val="21"/>
                      <w:szCs w:val="21"/>
                    </w:rPr>
                  </w:pPr>
                  <w:r>
                    <w:rPr>
                      <w:bCs/>
                      <w:sz w:val="21"/>
                      <w:szCs w:val="21"/>
                    </w:rPr>
                    <w:t>振光</w:t>
                  </w:r>
                </w:p>
              </w:tc>
              <w:tc>
                <w:tcPr>
                  <w:tcW w:w="586" w:type="pct"/>
                  <w:vAlign w:val="center"/>
                </w:tcPr>
                <w:p w14:paraId="481797D3">
                  <w:pPr>
                    <w:spacing w:line="276" w:lineRule="auto"/>
                    <w:jc w:val="center"/>
                    <w:rPr>
                      <w:bCs/>
                      <w:sz w:val="21"/>
                      <w:szCs w:val="21"/>
                    </w:rPr>
                  </w:pPr>
                  <w:r>
                    <w:rPr>
                      <w:bCs/>
                      <w:sz w:val="21"/>
                      <w:szCs w:val="21"/>
                    </w:rPr>
                    <w:t>振光</w:t>
                  </w:r>
                </w:p>
              </w:tc>
              <w:tc>
                <w:tcPr>
                  <w:tcW w:w="1054" w:type="pct"/>
                  <w:vAlign w:val="center"/>
                </w:tcPr>
                <w:p w14:paraId="11DB976A">
                  <w:pPr>
                    <w:spacing w:line="276" w:lineRule="auto"/>
                    <w:jc w:val="center"/>
                    <w:rPr>
                      <w:bCs/>
                      <w:sz w:val="21"/>
                      <w:szCs w:val="21"/>
                    </w:rPr>
                  </w:pPr>
                  <w:r>
                    <w:rPr>
                      <w:rFonts w:hint="eastAsia"/>
                      <w:bCs/>
                      <w:sz w:val="21"/>
                      <w:szCs w:val="21"/>
                    </w:rPr>
                    <w:t>振光机</w:t>
                  </w:r>
                </w:p>
              </w:tc>
              <w:tc>
                <w:tcPr>
                  <w:tcW w:w="538" w:type="pct"/>
                  <w:vAlign w:val="center"/>
                </w:tcPr>
                <w:p w14:paraId="1AB70A97">
                  <w:pPr>
                    <w:spacing w:line="276" w:lineRule="auto"/>
                    <w:jc w:val="center"/>
                    <w:rPr>
                      <w:bCs/>
                      <w:sz w:val="21"/>
                      <w:szCs w:val="21"/>
                    </w:rPr>
                  </w:pPr>
                  <w:r>
                    <w:rPr>
                      <w:rFonts w:hint="eastAsia"/>
                      <w:bCs/>
                      <w:sz w:val="21"/>
                      <w:szCs w:val="21"/>
                    </w:rPr>
                    <w:t>1</w:t>
                  </w:r>
                </w:p>
              </w:tc>
              <w:tc>
                <w:tcPr>
                  <w:tcW w:w="1129" w:type="pct"/>
                  <w:vAlign w:val="center"/>
                </w:tcPr>
                <w:p w14:paraId="588223C2">
                  <w:pPr>
                    <w:spacing w:line="276" w:lineRule="auto"/>
                    <w:jc w:val="center"/>
                    <w:rPr>
                      <w:bCs/>
                      <w:sz w:val="21"/>
                      <w:szCs w:val="21"/>
                    </w:rPr>
                  </w:pPr>
                  <w:r>
                    <w:rPr>
                      <w:rFonts w:hint="eastAsia"/>
                      <w:bCs/>
                      <w:sz w:val="21"/>
                      <w:szCs w:val="21"/>
                    </w:rPr>
                    <w:t>R=0.62m，H=0.35m</w:t>
                  </w:r>
                </w:p>
              </w:tc>
              <w:tc>
                <w:tcPr>
                  <w:tcW w:w="462" w:type="pct"/>
                  <w:vMerge w:val="continue"/>
                  <w:vAlign w:val="center"/>
                </w:tcPr>
                <w:p w14:paraId="1E277776">
                  <w:pPr>
                    <w:spacing w:line="276" w:lineRule="auto"/>
                    <w:jc w:val="center"/>
                    <w:rPr>
                      <w:bCs/>
                      <w:sz w:val="21"/>
                      <w:szCs w:val="21"/>
                    </w:rPr>
                  </w:pPr>
                </w:p>
              </w:tc>
            </w:tr>
            <w:tr w14:paraId="654FDA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3503D03">
                  <w:pPr>
                    <w:spacing w:line="276" w:lineRule="auto"/>
                    <w:jc w:val="center"/>
                    <w:rPr>
                      <w:bCs/>
                      <w:sz w:val="21"/>
                      <w:szCs w:val="21"/>
                    </w:rPr>
                  </w:pPr>
                  <w:r>
                    <w:rPr>
                      <w:rFonts w:hint="eastAsia"/>
                      <w:bCs/>
                      <w:sz w:val="21"/>
                      <w:szCs w:val="21"/>
                    </w:rPr>
                    <w:t>23</w:t>
                  </w:r>
                </w:p>
              </w:tc>
              <w:tc>
                <w:tcPr>
                  <w:tcW w:w="898" w:type="pct"/>
                  <w:gridSpan w:val="2"/>
                  <w:vAlign w:val="center"/>
                </w:tcPr>
                <w:p w14:paraId="559C2889">
                  <w:pPr>
                    <w:spacing w:line="276" w:lineRule="auto"/>
                    <w:jc w:val="center"/>
                    <w:rPr>
                      <w:bCs/>
                      <w:sz w:val="21"/>
                      <w:szCs w:val="21"/>
                    </w:rPr>
                  </w:pPr>
                  <w:r>
                    <w:rPr>
                      <w:bCs/>
                      <w:sz w:val="21"/>
                      <w:szCs w:val="21"/>
                    </w:rPr>
                    <w:t>超声波清洗</w:t>
                  </w:r>
                </w:p>
              </w:tc>
              <w:tc>
                <w:tcPr>
                  <w:tcW w:w="586" w:type="pct"/>
                  <w:vAlign w:val="center"/>
                </w:tcPr>
                <w:p w14:paraId="2A575B4E">
                  <w:pPr>
                    <w:spacing w:line="276" w:lineRule="auto"/>
                    <w:jc w:val="center"/>
                    <w:rPr>
                      <w:bCs/>
                      <w:sz w:val="21"/>
                      <w:szCs w:val="21"/>
                    </w:rPr>
                  </w:pPr>
                  <w:r>
                    <w:rPr>
                      <w:bCs/>
                      <w:sz w:val="21"/>
                      <w:szCs w:val="21"/>
                    </w:rPr>
                    <w:t>超声波清洗</w:t>
                  </w:r>
                </w:p>
              </w:tc>
              <w:tc>
                <w:tcPr>
                  <w:tcW w:w="1054" w:type="pct"/>
                  <w:vAlign w:val="center"/>
                </w:tcPr>
                <w:p w14:paraId="2C4E156A">
                  <w:pPr>
                    <w:spacing w:line="276" w:lineRule="auto"/>
                    <w:jc w:val="center"/>
                    <w:rPr>
                      <w:bCs/>
                      <w:sz w:val="21"/>
                      <w:szCs w:val="21"/>
                    </w:rPr>
                  </w:pPr>
                  <w:r>
                    <w:rPr>
                      <w:rFonts w:hint="eastAsia"/>
                      <w:bCs/>
                      <w:sz w:val="21"/>
                      <w:szCs w:val="21"/>
                    </w:rPr>
                    <w:t>超声波清洗机</w:t>
                  </w:r>
                </w:p>
              </w:tc>
              <w:tc>
                <w:tcPr>
                  <w:tcW w:w="538" w:type="pct"/>
                  <w:vAlign w:val="center"/>
                </w:tcPr>
                <w:p w14:paraId="09A5106E">
                  <w:pPr>
                    <w:spacing w:line="276" w:lineRule="auto"/>
                    <w:jc w:val="center"/>
                    <w:rPr>
                      <w:bCs/>
                      <w:sz w:val="21"/>
                      <w:szCs w:val="21"/>
                    </w:rPr>
                  </w:pPr>
                  <w:r>
                    <w:rPr>
                      <w:rFonts w:hint="eastAsia"/>
                      <w:bCs/>
                      <w:sz w:val="21"/>
                      <w:szCs w:val="21"/>
                    </w:rPr>
                    <w:t>2</w:t>
                  </w:r>
                </w:p>
              </w:tc>
              <w:tc>
                <w:tcPr>
                  <w:tcW w:w="1129" w:type="pct"/>
                  <w:vAlign w:val="center"/>
                </w:tcPr>
                <w:p w14:paraId="0B02C719">
                  <w:pPr>
                    <w:spacing w:line="276" w:lineRule="auto"/>
                    <w:jc w:val="center"/>
                    <w:rPr>
                      <w:bCs/>
                      <w:sz w:val="21"/>
                      <w:szCs w:val="21"/>
                    </w:rPr>
                  </w:pPr>
                  <w:r>
                    <w:rPr>
                      <w:rFonts w:hint="eastAsia"/>
                      <w:bCs/>
                      <w:sz w:val="21"/>
                      <w:szCs w:val="21"/>
                    </w:rPr>
                    <w:t>/</w:t>
                  </w:r>
                </w:p>
              </w:tc>
              <w:tc>
                <w:tcPr>
                  <w:tcW w:w="462" w:type="pct"/>
                  <w:vAlign w:val="center"/>
                </w:tcPr>
                <w:p w14:paraId="133901C5">
                  <w:pPr>
                    <w:spacing w:line="276" w:lineRule="auto"/>
                    <w:jc w:val="center"/>
                    <w:rPr>
                      <w:bCs/>
                      <w:sz w:val="21"/>
                      <w:szCs w:val="21"/>
                    </w:rPr>
                  </w:pPr>
                  <w:r>
                    <w:rPr>
                      <w:rFonts w:hint="eastAsia"/>
                      <w:bCs/>
                      <w:sz w:val="21"/>
                      <w:szCs w:val="21"/>
                    </w:rPr>
                    <w:t>清洗区</w:t>
                  </w:r>
                </w:p>
              </w:tc>
            </w:tr>
            <w:tr w14:paraId="5B773D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463DC17">
                  <w:pPr>
                    <w:spacing w:line="276" w:lineRule="auto"/>
                    <w:jc w:val="center"/>
                    <w:rPr>
                      <w:bCs/>
                      <w:sz w:val="21"/>
                      <w:szCs w:val="21"/>
                    </w:rPr>
                  </w:pPr>
                  <w:r>
                    <w:rPr>
                      <w:rFonts w:hint="eastAsia"/>
                      <w:bCs/>
                      <w:sz w:val="21"/>
                      <w:szCs w:val="21"/>
                    </w:rPr>
                    <w:t>24</w:t>
                  </w:r>
                </w:p>
              </w:tc>
              <w:tc>
                <w:tcPr>
                  <w:tcW w:w="898" w:type="pct"/>
                  <w:gridSpan w:val="2"/>
                  <w:vMerge w:val="restart"/>
                  <w:vAlign w:val="center"/>
                </w:tcPr>
                <w:p w14:paraId="2BA0E575">
                  <w:pPr>
                    <w:spacing w:line="276" w:lineRule="auto"/>
                    <w:jc w:val="center"/>
                    <w:rPr>
                      <w:bCs/>
                      <w:sz w:val="21"/>
                      <w:szCs w:val="21"/>
                    </w:rPr>
                  </w:pPr>
                  <w:r>
                    <w:rPr>
                      <w:bCs/>
                      <w:sz w:val="21"/>
                      <w:szCs w:val="21"/>
                    </w:rPr>
                    <w:t>涂胶</w:t>
                  </w:r>
                </w:p>
              </w:tc>
              <w:tc>
                <w:tcPr>
                  <w:tcW w:w="586" w:type="pct"/>
                  <w:vMerge w:val="restart"/>
                  <w:vAlign w:val="center"/>
                </w:tcPr>
                <w:p w14:paraId="7D095230">
                  <w:pPr>
                    <w:spacing w:line="276" w:lineRule="auto"/>
                    <w:jc w:val="center"/>
                    <w:rPr>
                      <w:bCs/>
                      <w:sz w:val="21"/>
                      <w:szCs w:val="21"/>
                    </w:rPr>
                  </w:pPr>
                  <w:r>
                    <w:rPr>
                      <w:bCs/>
                      <w:sz w:val="21"/>
                      <w:szCs w:val="21"/>
                    </w:rPr>
                    <w:t>涂胶</w:t>
                  </w:r>
                </w:p>
              </w:tc>
              <w:tc>
                <w:tcPr>
                  <w:tcW w:w="1054" w:type="pct"/>
                  <w:vAlign w:val="center"/>
                </w:tcPr>
                <w:p w14:paraId="4FEDDA3A">
                  <w:pPr>
                    <w:spacing w:line="276" w:lineRule="auto"/>
                    <w:jc w:val="center"/>
                    <w:rPr>
                      <w:bCs/>
                      <w:sz w:val="21"/>
                      <w:szCs w:val="21"/>
                    </w:rPr>
                  </w:pPr>
                  <w:r>
                    <w:rPr>
                      <w:rFonts w:hint="eastAsia"/>
                      <w:bCs/>
                      <w:sz w:val="21"/>
                      <w:szCs w:val="21"/>
                    </w:rPr>
                    <w:t>涂胶机（芯子涂胶）</w:t>
                  </w:r>
                </w:p>
              </w:tc>
              <w:tc>
                <w:tcPr>
                  <w:tcW w:w="538" w:type="pct"/>
                  <w:vAlign w:val="center"/>
                </w:tcPr>
                <w:p w14:paraId="4D9FCED2">
                  <w:pPr>
                    <w:spacing w:line="276" w:lineRule="auto"/>
                    <w:jc w:val="center"/>
                    <w:rPr>
                      <w:bCs/>
                      <w:sz w:val="21"/>
                      <w:szCs w:val="21"/>
                    </w:rPr>
                  </w:pPr>
                  <w:r>
                    <w:rPr>
                      <w:rFonts w:hint="eastAsia"/>
                      <w:bCs/>
                      <w:sz w:val="21"/>
                      <w:szCs w:val="21"/>
                    </w:rPr>
                    <w:t>2</w:t>
                  </w:r>
                </w:p>
              </w:tc>
              <w:tc>
                <w:tcPr>
                  <w:tcW w:w="1129" w:type="pct"/>
                  <w:vAlign w:val="center"/>
                </w:tcPr>
                <w:p w14:paraId="0EE26D22">
                  <w:pPr>
                    <w:spacing w:line="276" w:lineRule="auto"/>
                    <w:jc w:val="center"/>
                    <w:rPr>
                      <w:bCs/>
                      <w:sz w:val="21"/>
                      <w:szCs w:val="21"/>
                    </w:rPr>
                  </w:pPr>
                  <w:r>
                    <w:rPr>
                      <w:rFonts w:hint="eastAsia"/>
                      <w:bCs/>
                      <w:sz w:val="21"/>
                      <w:szCs w:val="21"/>
                    </w:rPr>
                    <w:t>/</w:t>
                  </w:r>
                </w:p>
              </w:tc>
              <w:tc>
                <w:tcPr>
                  <w:tcW w:w="462" w:type="pct"/>
                  <w:vMerge w:val="restart"/>
                  <w:vAlign w:val="center"/>
                </w:tcPr>
                <w:p w14:paraId="63AD82C7">
                  <w:pPr>
                    <w:spacing w:line="276" w:lineRule="auto"/>
                    <w:jc w:val="center"/>
                    <w:rPr>
                      <w:bCs/>
                      <w:sz w:val="21"/>
                      <w:szCs w:val="21"/>
                    </w:rPr>
                  </w:pPr>
                  <w:r>
                    <w:rPr>
                      <w:rFonts w:hint="eastAsia"/>
                      <w:bCs/>
                      <w:sz w:val="21"/>
                      <w:szCs w:val="21"/>
                    </w:rPr>
                    <w:t>涂胶区</w:t>
                  </w:r>
                </w:p>
              </w:tc>
            </w:tr>
            <w:tr w14:paraId="1B618B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5001351">
                  <w:pPr>
                    <w:spacing w:line="276" w:lineRule="auto"/>
                    <w:jc w:val="center"/>
                    <w:rPr>
                      <w:bCs/>
                      <w:sz w:val="21"/>
                      <w:szCs w:val="21"/>
                    </w:rPr>
                  </w:pPr>
                  <w:r>
                    <w:rPr>
                      <w:rFonts w:hint="eastAsia"/>
                      <w:bCs/>
                      <w:sz w:val="21"/>
                      <w:szCs w:val="21"/>
                    </w:rPr>
                    <w:t>25</w:t>
                  </w:r>
                </w:p>
              </w:tc>
              <w:tc>
                <w:tcPr>
                  <w:tcW w:w="898" w:type="pct"/>
                  <w:gridSpan w:val="2"/>
                  <w:vMerge w:val="continue"/>
                  <w:vAlign w:val="center"/>
                </w:tcPr>
                <w:p w14:paraId="60673107">
                  <w:pPr>
                    <w:spacing w:line="276" w:lineRule="auto"/>
                    <w:jc w:val="center"/>
                    <w:rPr>
                      <w:bCs/>
                      <w:sz w:val="21"/>
                      <w:szCs w:val="21"/>
                    </w:rPr>
                  </w:pPr>
                </w:p>
              </w:tc>
              <w:tc>
                <w:tcPr>
                  <w:tcW w:w="586" w:type="pct"/>
                  <w:vMerge w:val="continue"/>
                  <w:vAlign w:val="center"/>
                </w:tcPr>
                <w:p w14:paraId="357273F4">
                  <w:pPr>
                    <w:spacing w:line="276" w:lineRule="auto"/>
                    <w:jc w:val="center"/>
                    <w:rPr>
                      <w:bCs/>
                      <w:sz w:val="21"/>
                      <w:szCs w:val="21"/>
                    </w:rPr>
                  </w:pPr>
                </w:p>
              </w:tc>
              <w:tc>
                <w:tcPr>
                  <w:tcW w:w="1054" w:type="pct"/>
                  <w:vAlign w:val="center"/>
                </w:tcPr>
                <w:p w14:paraId="5486DAA1">
                  <w:pPr>
                    <w:spacing w:line="276" w:lineRule="auto"/>
                    <w:jc w:val="center"/>
                    <w:rPr>
                      <w:bCs/>
                      <w:sz w:val="21"/>
                      <w:szCs w:val="21"/>
                    </w:rPr>
                  </w:pPr>
                  <w:r>
                    <w:rPr>
                      <w:rFonts w:hint="eastAsia"/>
                      <w:bCs/>
                      <w:sz w:val="21"/>
                      <w:szCs w:val="21"/>
                    </w:rPr>
                    <w:t>涂胶机（外管涂黑胶）</w:t>
                  </w:r>
                </w:p>
              </w:tc>
              <w:tc>
                <w:tcPr>
                  <w:tcW w:w="538" w:type="pct"/>
                  <w:vAlign w:val="center"/>
                </w:tcPr>
                <w:p w14:paraId="68A37B7A">
                  <w:pPr>
                    <w:spacing w:line="276" w:lineRule="auto"/>
                    <w:jc w:val="center"/>
                    <w:rPr>
                      <w:bCs/>
                      <w:sz w:val="21"/>
                      <w:szCs w:val="21"/>
                    </w:rPr>
                  </w:pPr>
                  <w:r>
                    <w:rPr>
                      <w:rFonts w:hint="eastAsia"/>
                      <w:bCs/>
                      <w:sz w:val="21"/>
                      <w:szCs w:val="21"/>
                    </w:rPr>
                    <w:t>2</w:t>
                  </w:r>
                </w:p>
              </w:tc>
              <w:tc>
                <w:tcPr>
                  <w:tcW w:w="1129" w:type="pct"/>
                  <w:vAlign w:val="center"/>
                </w:tcPr>
                <w:p w14:paraId="1CC47967">
                  <w:pPr>
                    <w:spacing w:line="276" w:lineRule="auto"/>
                    <w:jc w:val="center"/>
                    <w:rPr>
                      <w:bCs/>
                      <w:sz w:val="21"/>
                      <w:szCs w:val="21"/>
                    </w:rPr>
                  </w:pPr>
                  <w:r>
                    <w:rPr>
                      <w:rFonts w:hint="eastAsia"/>
                      <w:bCs/>
                      <w:sz w:val="21"/>
                      <w:szCs w:val="21"/>
                    </w:rPr>
                    <w:t>/</w:t>
                  </w:r>
                </w:p>
              </w:tc>
              <w:tc>
                <w:tcPr>
                  <w:tcW w:w="462" w:type="pct"/>
                  <w:vMerge w:val="continue"/>
                  <w:vAlign w:val="center"/>
                </w:tcPr>
                <w:p w14:paraId="4C13E7EB">
                  <w:pPr>
                    <w:spacing w:line="276" w:lineRule="auto"/>
                    <w:jc w:val="center"/>
                    <w:rPr>
                      <w:bCs/>
                      <w:sz w:val="21"/>
                      <w:szCs w:val="21"/>
                    </w:rPr>
                  </w:pPr>
                </w:p>
              </w:tc>
            </w:tr>
            <w:tr w14:paraId="560207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66CE7B1A">
                  <w:pPr>
                    <w:spacing w:line="276" w:lineRule="auto"/>
                    <w:jc w:val="center"/>
                    <w:rPr>
                      <w:bCs/>
                      <w:sz w:val="21"/>
                      <w:szCs w:val="21"/>
                    </w:rPr>
                  </w:pPr>
                  <w:r>
                    <w:rPr>
                      <w:rFonts w:hint="eastAsia"/>
                      <w:bCs/>
                      <w:sz w:val="21"/>
                      <w:szCs w:val="21"/>
                    </w:rPr>
                    <w:t>26</w:t>
                  </w:r>
                </w:p>
              </w:tc>
              <w:tc>
                <w:tcPr>
                  <w:tcW w:w="898" w:type="pct"/>
                  <w:gridSpan w:val="2"/>
                  <w:vMerge w:val="continue"/>
                  <w:vAlign w:val="center"/>
                </w:tcPr>
                <w:p w14:paraId="2A757967">
                  <w:pPr>
                    <w:spacing w:line="276" w:lineRule="auto"/>
                    <w:jc w:val="center"/>
                    <w:rPr>
                      <w:bCs/>
                      <w:sz w:val="21"/>
                      <w:szCs w:val="21"/>
                    </w:rPr>
                  </w:pPr>
                </w:p>
              </w:tc>
              <w:tc>
                <w:tcPr>
                  <w:tcW w:w="586" w:type="pct"/>
                  <w:vMerge w:val="continue"/>
                  <w:vAlign w:val="center"/>
                </w:tcPr>
                <w:p w14:paraId="21ED52EF">
                  <w:pPr>
                    <w:spacing w:line="276" w:lineRule="auto"/>
                    <w:jc w:val="center"/>
                    <w:rPr>
                      <w:bCs/>
                      <w:sz w:val="21"/>
                      <w:szCs w:val="21"/>
                    </w:rPr>
                  </w:pPr>
                </w:p>
              </w:tc>
              <w:tc>
                <w:tcPr>
                  <w:tcW w:w="1054" w:type="pct"/>
                  <w:vAlign w:val="center"/>
                </w:tcPr>
                <w:p w14:paraId="123F0C7E">
                  <w:pPr>
                    <w:spacing w:line="276" w:lineRule="auto"/>
                    <w:jc w:val="center"/>
                    <w:rPr>
                      <w:bCs/>
                      <w:sz w:val="21"/>
                      <w:szCs w:val="21"/>
                    </w:rPr>
                  </w:pPr>
                  <w:r>
                    <w:rPr>
                      <w:rFonts w:hint="eastAsia"/>
                      <w:bCs/>
                      <w:sz w:val="21"/>
                      <w:szCs w:val="21"/>
                    </w:rPr>
                    <w:t>涂胶机（外管涂灰胶）</w:t>
                  </w:r>
                </w:p>
              </w:tc>
              <w:tc>
                <w:tcPr>
                  <w:tcW w:w="538" w:type="pct"/>
                  <w:vAlign w:val="center"/>
                </w:tcPr>
                <w:p w14:paraId="4797FA09">
                  <w:pPr>
                    <w:spacing w:line="276" w:lineRule="auto"/>
                    <w:jc w:val="center"/>
                    <w:rPr>
                      <w:bCs/>
                      <w:sz w:val="21"/>
                      <w:szCs w:val="21"/>
                    </w:rPr>
                  </w:pPr>
                  <w:r>
                    <w:rPr>
                      <w:rFonts w:hint="eastAsia"/>
                      <w:bCs/>
                      <w:sz w:val="21"/>
                      <w:szCs w:val="21"/>
                    </w:rPr>
                    <w:t>2</w:t>
                  </w:r>
                </w:p>
              </w:tc>
              <w:tc>
                <w:tcPr>
                  <w:tcW w:w="1129" w:type="pct"/>
                  <w:vAlign w:val="center"/>
                </w:tcPr>
                <w:p w14:paraId="12CB24DB">
                  <w:pPr>
                    <w:spacing w:line="276" w:lineRule="auto"/>
                    <w:jc w:val="center"/>
                    <w:rPr>
                      <w:bCs/>
                      <w:sz w:val="21"/>
                      <w:szCs w:val="21"/>
                    </w:rPr>
                  </w:pPr>
                  <w:r>
                    <w:rPr>
                      <w:rFonts w:hint="eastAsia"/>
                      <w:bCs/>
                      <w:sz w:val="21"/>
                      <w:szCs w:val="21"/>
                    </w:rPr>
                    <w:t>/</w:t>
                  </w:r>
                </w:p>
              </w:tc>
              <w:tc>
                <w:tcPr>
                  <w:tcW w:w="462" w:type="pct"/>
                  <w:vMerge w:val="continue"/>
                  <w:vAlign w:val="center"/>
                </w:tcPr>
                <w:p w14:paraId="5DFEAC6C">
                  <w:pPr>
                    <w:spacing w:line="276" w:lineRule="auto"/>
                    <w:jc w:val="center"/>
                    <w:rPr>
                      <w:bCs/>
                      <w:sz w:val="21"/>
                      <w:szCs w:val="21"/>
                    </w:rPr>
                  </w:pPr>
                </w:p>
              </w:tc>
            </w:tr>
            <w:tr w14:paraId="40252F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ECF8F4D">
                  <w:pPr>
                    <w:spacing w:line="276" w:lineRule="auto"/>
                    <w:jc w:val="center"/>
                    <w:rPr>
                      <w:bCs/>
                      <w:sz w:val="21"/>
                      <w:szCs w:val="21"/>
                    </w:rPr>
                  </w:pPr>
                  <w:r>
                    <w:rPr>
                      <w:rFonts w:hint="eastAsia"/>
                      <w:bCs/>
                      <w:sz w:val="21"/>
                      <w:szCs w:val="21"/>
                    </w:rPr>
                    <w:t>27</w:t>
                  </w:r>
                </w:p>
              </w:tc>
              <w:tc>
                <w:tcPr>
                  <w:tcW w:w="898" w:type="pct"/>
                  <w:gridSpan w:val="2"/>
                  <w:vMerge w:val="restart"/>
                  <w:vAlign w:val="center"/>
                </w:tcPr>
                <w:p w14:paraId="0ECCD924">
                  <w:pPr>
                    <w:spacing w:line="276" w:lineRule="auto"/>
                    <w:jc w:val="center"/>
                    <w:rPr>
                      <w:bCs/>
                      <w:sz w:val="21"/>
                      <w:szCs w:val="21"/>
                    </w:rPr>
                  </w:pPr>
                  <w:r>
                    <w:rPr>
                      <w:bCs/>
                      <w:sz w:val="21"/>
                      <w:szCs w:val="21"/>
                    </w:rPr>
                    <w:t>硫化注胶</w:t>
                  </w:r>
                </w:p>
              </w:tc>
              <w:tc>
                <w:tcPr>
                  <w:tcW w:w="586" w:type="pct"/>
                  <w:vMerge w:val="restart"/>
                  <w:vAlign w:val="center"/>
                </w:tcPr>
                <w:p w14:paraId="2A6A44A7">
                  <w:pPr>
                    <w:spacing w:line="276" w:lineRule="auto"/>
                    <w:jc w:val="center"/>
                    <w:rPr>
                      <w:bCs/>
                      <w:sz w:val="21"/>
                      <w:szCs w:val="21"/>
                    </w:rPr>
                  </w:pPr>
                  <w:r>
                    <w:rPr>
                      <w:bCs/>
                      <w:sz w:val="21"/>
                      <w:szCs w:val="21"/>
                    </w:rPr>
                    <w:t>硫化注胶</w:t>
                  </w:r>
                </w:p>
              </w:tc>
              <w:tc>
                <w:tcPr>
                  <w:tcW w:w="1054" w:type="pct"/>
                  <w:vAlign w:val="center"/>
                </w:tcPr>
                <w:p w14:paraId="3417C2DA">
                  <w:pPr>
                    <w:spacing w:line="276" w:lineRule="auto"/>
                    <w:jc w:val="center"/>
                    <w:rPr>
                      <w:bCs/>
                      <w:sz w:val="21"/>
                      <w:szCs w:val="21"/>
                    </w:rPr>
                  </w:pPr>
                  <w:r>
                    <w:rPr>
                      <w:rFonts w:hint="eastAsia"/>
                      <w:bCs/>
                      <w:sz w:val="21"/>
                      <w:szCs w:val="21"/>
                    </w:rPr>
                    <w:t>硫化立式注射机</w:t>
                  </w:r>
                </w:p>
              </w:tc>
              <w:tc>
                <w:tcPr>
                  <w:tcW w:w="538" w:type="pct"/>
                  <w:vAlign w:val="center"/>
                </w:tcPr>
                <w:p w14:paraId="0D7DA620">
                  <w:pPr>
                    <w:spacing w:line="276" w:lineRule="auto"/>
                    <w:jc w:val="center"/>
                    <w:rPr>
                      <w:bCs/>
                      <w:sz w:val="21"/>
                      <w:szCs w:val="21"/>
                    </w:rPr>
                  </w:pPr>
                  <w:r>
                    <w:rPr>
                      <w:rFonts w:hint="eastAsia"/>
                      <w:bCs/>
                      <w:sz w:val="21"/>
                      <w:szCs w:val="21"/>
                    </w:rPr>
                    <w:t>4</w:t>
                  </w:r>
                </w:p>
              </w:tc>
              <w:tc>
                <w:tcPr>
                  <w:tcW w:w="1129" w:type="pct"/>
                  <w:vAlign w:val="center"/>
                </w:tcPr>
                <w:p w14:paraId="0BA44D7B">
                  <w:pPr>
                    <w:spacing w:line="276" w:lineRule="auto"/>
                    <w:jc w:val="center"/>
                    <w:rPr>
                      <w:bCs/>
                      <w:sz w:val="21"/>
                      <w:szCs w:val="21"/>
                    </w:rPr>
                  </w:pPr>
                  <w:r>
                    <w:rPr>
                      <w:rFonts w:hint="eastAsia"/>
                      <w:bCs/>
                      <w:sz w:val="21"/>
                      <w:szCs w:val="21"/>
                    </w:rPr>
                    <w:t>25HI</w:t>
                  </w:r>
                </w:p>
              </w:tc>
              <w:tc>
                <w:tcPr>
                  <w:tcW w:w="462" w:type="pct"/>
                  <w:vMerge w:val="restart"/>
                  <w:vAlign w:val="center"/>
                </w:tcPr>
                <w:p w14:paraId="1821ECE5">
                  <w:pPr>
                    <w:spacing w:line="276" w:lineRule="auto"/>
                    <w:jc w:val="center"/>
                    <w:rPr>
                      <w:bCs/>
                      <w:sz w:val="21"/>
                      <w:szCs w:val="21"/>
                    </w:rPr>
                  </w:pPr>
                  <w:r>
                    <w:rPr>
                      <w:rFonts w:hint="eastAsia"/>
                      <w:bCs/>
                      <w:sz w:val="21"/>
                      <w:szCs w:val="21"/>
                    </w:rPr>
                    <w:t>硫化注胶区</w:t>
                  </w:r>
                </w:p>
              </w:tc>
            </w:tr>
            <w:tr w14:paraId="670444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32EC6E6">
                  <w:pPr>
                    <w:spacing w:line="276" w:lineRule="auto"/>
                    <w:jc w:val="center"/>
                    <w:rPr>
                      <w:bCs/>
                      <w:sz w:val="21"/>
                      <w:szCs w:val="21"/>
                    </w:rPr>
                  </w:pPr>
                  <w:r>
                    <w:rPr>
                      <w:rFonts w:hint="eastAsia"/>
                      <w:bCs/>
                      <w:sz w:val="21"/>
                      <w:szCs w:val="21"/>
                    </w:rPr>
                    <w:t>28</w:t>
                  </w:r>
                </w:p>
              </w:tc>
              <w:tc>
                <w:tcPr>
                  <w:tcW w:w="898" w:type="pct"/>
                  <w:gridSpan w:val="2"/>
                  <w:vMerge w:val="continue"/>
                  <w:vAlign w:val="center"/>
                </w:tcPr>
                <w:p w14:paraId="7AFCED7A">
                  <w:pPr>
                    <w:spacing w:line="276" w:lineRule="auto"/>
                    <w:jc w:val="center"/>
                    <w:rPr>
                      <w:bCs/>
                      <w:sz w:val="21"/>
                      <w:szCs w:val="21"/>
                    </w:rPr>
                  </w:pPr>
                </w:p>
              </w:tc>
              <w:tc>
                <w:tcPr>
                  <w:tcW w:w="586" w:type="pct"/>
                  <w:vMerge w:val="continue"/>
                  <w:vAlign w:val="center"/>
                </w:tcPr>
                <w:p w14:paraId="18483E91">
                  <w:pPr>
                    <w:spacing w:line="276" w:lineRule="auto"/>
                    <w:jc w:val="center"/>
                    <w:rPr>
                      <w:bCs/>
                      <w:sz w:val="21"/>
                      <w:szCs w:val="21"/>
                    </w:rPr>
                  </w:pPr>
                </w:p>
              </w:tc>
              <w:tc>
                <w:tcPr>
                  <w:tcW w:w="1054" w:type="pct"/>
                  <w:vAlign w:val="center"/>
                </w:tcPr>
                <w:p w14:paraId="7FDE0744">
                  <w:pPr>
                    <w:spacing w:line="276" w:lineRule="auto"/>
                    <w:jc w:val="center"/>
                    <w:rPr>
                      <w:bCs/>
                      <w:sz w:val="21"/>
                      <w:szCs w:val="21"/>
                    </w:rPr>
                  </w:pPr>
                  <w:r>
                    <w:rPr>
                      <w:rFonts w:hint="eastAsia"/>
                      <w:bCs/>
                      <w:sz w:val="21"/>
                      <w:szCs w:val="21"/>
                    </w:rPr>
                    <w:t>硫化卧式注射机</w:t>
                  </w:r>
                </w:p>
              </w:tc>
              <w:tc>
                <w:tcPr>
                  <w:tcW w:w="538" w:type="pct"/>
                  <w:vAlign w:val="center"/>
                </w:tcPr>
                <w:p w14:paraId="0F939312">
                  <w:pPr>
                    <w:spacing w:line="276" w:lineRule="auto"/>
                    <w:jc w:val="center"/>
                    <w:rPr>
                      <w:bCs/>
                      <w:sz w:val="21"/>
                      <w:szCs w:val="21"/>
                    </w:rPr>
                  </w:pPr>
                  <w:r>
                    <w:rPr>
                      <w:rFonts w:hint="eastAsia"/>
                      <w:bCs/>
                      <w:sz w:val="21"/>
                      <w:szCs w:val="21"/>
                    </w:rPr>
                    <w:t>8</w:t>
                  </w:r>
                </w:p>
              </w:tc>
              <w:tc>
                <w:tcPr>
                  <w:tcW w:w="1129" w:type="pct"/>
                  <w:vAlign w:val="center"/>
                </w:tcPr>
                <w:p w14:paraId="0AA44C66">
                  <w:pPr>
                    <w:spacing w:line="276" w:lineRule="auto"/>
                    <w:jc w:val="center"/>
                    <w:rPr>
                      <w:bCs/>
                      <w:sz w:val="21"/>
                      <w:szCs w:val="21"/>
                    </w:rPr>
                  </w:pPr>
                  <w:r>
                    <w:rPr>
                      <w:rFonts w:hint="eastAsia"/>
                      <w:bCs/>
                      <w:sz w:val="21"/>
                      <w:szCs w:val="21"/>
                    </w:rPr>
                    <w:t>35VIH/4RT</w:t>
                  </w:r>
                </w:p>
              </w:tc>
              <w:tc>
                <w:tcPr>
                  <w:tcW w:w="462" w:type="pct"/>
                  <w:vMerge w:val="continue"/>
                  <w:vAlign w:val="center"/>
                </w:tcPr>
                <w:p w14:paraId="7E824635">
                  <w:pPr>
                    <w:spacing w:line="276" w:lineRule="auto"/>
                    <w:jc w:val="center"/>
                    <w:rPr>
                      <w:bCs/>
                      <w:sz w:val="21"/>
                      <w:szCs w:val="21"/>
                    </w:rPr>
                  </w:pPr>
                </w:p>
              </w:tc>
            </w:tr>
            <w:tr w14:paraId="7FB750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5C9B9FD">
                  <w:pPr>
                    <w:spacing w:line="276" w:lineRule="auto"/>
                    <w:jc w:val="center"/>
                    <w:rPr>
                      <w:bCs/>
                      <w:sz w:val="21"/>
                      <w:szCs w:val="21"/>
                    </w:rPr>
                  </w:pPr>
                  <w:r>
                    <w:rPr>
                      <w:rFonts w:hint="eastAsia"/>
                      <w:bCs/>
                      <w:sz w:val="21"/>
                      <w:szCs w:val="21"/>
                    </w:rPr>
                    <w:t>29</w:t>
                  </w:r>
                </w:p>
              </w:tc>
              <w:tc>
                <w:tcPr>
                  <w:tcW w:w="898" w:type="pct"/>
                  <w:gridSpan w:val="2"/>
                  <w:vMerge w:val="continue"/>
                  <w:vAlign w:val="center"/>
                </w:tcPr>
                <w:p w14:paraId="55C87AF4">
                  <w:pPr>
                    <w:spacing w:line="276" w:lineRule="auto"/>
                    <w:jc w:val="center"/>
                    <w:rPr>
                      <w:bCs/>
                      <w:sz w:val="21"/>
                      <w:szCs w:val="21"/>
                    </w:rPr>
                  </w:pPr>
                </w:p>
              </w:tc>
              <w:tc>
                <w:tcPr>
                  <w:tcW w:w="586" w:type="pct"/>
                  <w:vMerge w:val="continue"/>
                  <w:vAlign w:val="center"/>
                </w:tcPr>
                <w:p w14:paraId="548C35C7">
                  <w:pPr>
                    <w:spacing w:line="276" w:lineRule="auto"/>
                    <w:jc w:val="center"/>
                    <w:rPr>
                      <w:bCs/>
                      <w:sz w:val="21"/>
                      <w:szCs w:val="21"/>
                    </w:rPr>
                  </w:pPr>
                </w:p>
              </w:tc>
              <w:tc>
                <w:tcPr>
                  <w:tcW w:w="1054" w:type="pct"/>
                  <w:vAlign w:val="center"/>
                </w:tcPr>
                <w:p w14:paraId="615356E2">
                  <w:pPr>
                    <w:spacing w:line="276" w:lineRule="auto"/>
                    <w:jc w:val="center"/>
                    <w:rPr>
                      <w:bCs/>
                      <w:sz w:val="21"/>
                      <w:szCs w:val="21"/>
                    </w:rPr>
                  </w:pPr>
                  <w:r>
                    <w:rPr>
                      <w:rFonts w:hint="eastAsia"/>
                      <w:bCs/>
                      <w:sz w:val="21"/>
                      <w:szCs w:val="21"/>
                    </w:rPr>
                    <w:t>硫化立式注压机</w:t>
                  </w:r>
                </w:p>
              </w:tc>
              <w:tc>
                <w:tcPr>
                  <w:tcW w:w="538" w:type="pct"/>
                  <w:vAlign w:val="center"/>
                </w:tcPr>
                <w:p w14:paraId="190ED654">
                  <w:pPr>
                    <w:spacing w:line="276" w:lineRule="auto"/>
                    <w:jc w:val="center"/>
                    <w:rPr>
                      <w:bCs/>
                      <w:sz w:val="21"/>
                      <w:szCs w:val="21"/>
                    </w:rPr>
                  </w:pPr>
                  <w:r>
                    <w:rPr>
                      <w:rFonts w:hint="eastAsia"/>
                      <w:bCs/>
                      <w:sz w:val="21"/>
                      <w:szCs w:val="21"/>
                    </w:rPr>
                    <w:t>1</w:t>
                  </w:r>
                </w:p>
              </w:tc>
              <w:tc>
                <w:tcPr>
                  <w:tcW w:w="1129" w:type="pct"/>
                  <w:vAlign w:val="center"/>
                </w:tcPr>
                <w:p w14:paraId="63327B90">
                  <w:pPr>
                    <w:spacing w:line="276" w:lineRule="auto"/>
                    <w:jc w:val="center"/>
                    <w:rPr>
                      <w:bCs/>
                      <w:sz w:val="21"/>
                      <w:szCs w:val="21"/>
                    </w:rPr>
                  </w:pPr>
                  <w:r>
                    <w:rPr>
                      <w:rFonts w:hint="eastAsia"/>
                      <w:bCs/>
                      <w:sz w:val="21"/>
                      <w:szCs w:val="21"/>
                    </w:rPr>
                    <w:t>ZDZ2000</w:t>
                  </w:r>
                </w:p>
              </w:tc>
              <w:tc>
                <w:tcPr>
                  <w:tcW w:w="462" w:type="pct"/>
                  <w:vMerge w:val="continue"/>
                  <w:vAlign w:val="center"/>
                </w:tcPr>
                <w:p w14:paraId="68905464">
                  <w:pPr>
                    <w:spacing w:line="276" w:lineRule="auto"/>
                    <w:jc w:val="center"/>
                    <w:rPr>
                      <w:bCs/>
                      <w:sz w:val="21"/>
                      <w:szCs w:val="21"/>
                    </w:rPr>
                  </w:pPr>
                </w:p>
              </w:tc>
            </w:tr>
            <w:tr w14:paraId="6EA1E1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8461A1C">
                  <w:pPr>
                    <w:spacing w:line="276" w:lineRule="auto"/>
                    <w:jc w:val="center"/>
                    <w:rPr>
                      <w:bCs/>
                      <w:sz w:val="21"/>
                      <w:szCs w:val="21"/>
                    </w:rPr>
                  </w:pPr>
                  <w:r>
                    <w:rPr>
                      <w:rFonts w:hint="eastAsia"/>
                      <w:bCs/>
                      <w:sz w:val="21"/>
                      <w:szCs w:val="21"/>
                    </w:rPr>
                    <w:t>30</w:t>
                  </w:r>
                </w:p>
              </w:tc>
              <w:tc>
                <w:tcPr>
                  <w:tcW w:w="898" w:type="pct"/>
                  <w:gridSpan w:val="2"/>
                  <w:vMerge w:val="continue"/>
                  <w:vAlign w:val="center"/>
                </w:tcPr>
                <w:p w14:paraId="78A9233D">
                  <w:pPr>
                    <w:spacing w:line="276" w:lineRule="auto"/>
                    <w:jc w:val="center"/>
                    <w:rPr>
                      <w:bCs/>
                      <w:sz w:val="21"/>
                      <w:szCs w:val="21"/>
                    </w:rPr>
                  </w:pPr>
                </w:p>
              </w:tc>
              <w:tc>
                <w:tcPr>
                  <w:tcW w:w="586" w:type="pct"/>
                  <w:vAlign w:val="center"/>
                </w:tcPr>
                <w:p w14:paraId="76389CF0">
                  <w:pPr>
                    <w:spacing w:line="276" w:lineRule="auto"/>
                    <w:jc w:val="center"/>
                    <w:rPr>
                      <w:bCs/>
                      <w:sz w:val="21"/>
                      <w:szCs w:val="21"/>
                    </w:rPr>
                  </w:pPr>
                  <w:r>
                    <w:rPr>
                      <w:rFonts w:hint="eastAsia"/>
                      <w:bCs/>
                      <w:sz w:val="21"/>
                      <w:szCs w:val="21"/>
                    </w:rPr>
                    <w:t>提供硫化所需压力和温度</w:t>
                  </w:r>
                </w:p>
              </w:tc>
              <w:tc>
                <w:tcPr>
                  <w:tcW w:w="1054" w:type="pct"/>
                  <w:vAlign w:val="center"/>
                </w:tcPr>
                <w:p w14:paraId="07517BBC">
                  <w:pPr>
                    <w:spacing w:line="276" w:lineRule="auto"/>
                    <w:jc w:val="center"/>
                    <w:rPr>
                      <w:bCs/>
                      <w:sz w:val="21"/>
                      <w:szCs w:val="21"/>
                    </w:rPr>
                  </w:pPr>
                  <w:r>
                    <w:rPr>
                      <w:rFonts w:hint="eastAsia"/>
                      <w:bCs/>
                      <w:sz w:val="21"/>
                      <w:szCs w:val="21"/>
                    </w:rPr>
                    <w:t>硫化平板机</w:t>
                  </w:r>
                </w:p>
              </w:tc>
              <w:tc>
                <w:tcPr>
                  <w:tcW w:w="538" w:type="pct"/>
                  <w:vAlign w:val="center"/>
                </w:tcPr>
                <w:p w14:paraId="2639EDDB">
                  <w:pPr>
                    <w:spacing w:line="276" w:lineRule="auto"/>
                    <w:jc w:val="center"/>
                    <w:rPr>
                      <w:bCs/>
                      <w:sz w:val="21"/>
                      <w:szCs w:val="21"/>
                    </w:rPr>
                  </w:pPr>
                  <w:r>
                    <w:rPr>
                      <w:rFonts w:hint="eastAsia"/>
                      <w:bCs/>
                      <w:sz w:val="21"/>
                      <w:szCs w:val="21"/>
                    </w:rPr>
                    <w:t>1</w:t>
                  </w:r>
                </w:p>
              </w:tc>
              <w:tc>
                <w:tcPr>
                  <w:tcW w:w="1129" w:type="pct"/>
                  <w:vAlign w:val="center"/>
                </w:tcPr>
                <w:p w14:paraId="6A5E65B0">
                  <w:pPr>
                    <w:spacing w:line="276" w:lineRule="auto"/>
                    <w:jc w:val="center"/>
                    <w:rPr>
                      <w:bCs/>
                      <w:sz w:val="21"/>
                      <w:szCs w:val="21"/>
                    </w:rPr>
                  </w:pPr>
                  <w:r>
                    <w:rPr>
                      <w:rFonts w:hint="eastAsia"/>
                      <w:bCs/>
                      <w:sz w:val="21"/>
                      <w:szCs w:val="21"/>
                    </w:rPr>
                    <w:t>1010</w:t>
                  </w:r>
                </w:p>
              </w:tc>
              <w:tc>
                <w:tcPr>
                  <w:tcW w:w="462" w:type="pct"/>
                  <w:vMerge w:val="continue"/>
                  <w:vAlign w:val="center"/>
                </w:tcPr>
                <w:p w14:paraId="72C15EDA">
                  <w:pPr>
                    <w:spacing w:line="276" w:lineRule="auto"/>
                    <w:jc w:val="center"/>
                    <w:rPr>
                      <w:bCs/>
                      <w:sz w:val="21"/>
                      <w:szCs w:val="21"/>
                    </w:rPr>
                  </w:pPr>
                </w:p>
              </w:tc>
            </w:tr>
            <w:tr w14:paraId="7F2CE8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19644022">
                  <w:pPr>
                    <w:spacing w:line="276" w:lineRule="auto"/>
                    <w:jc w:val="center"/>
                    <w:rPr>
                      <w:bCs/>
                      <w:sz w:val="21"/>
                      <w:szCs w:val="21"/>
                    </w:rPr>
                  </w:pPr>
                  <w:r>
                    <w:rPr>
                      <w:rFonts w:hint="eastAsia"/>
                      <w:bCs/>
                      <w:sz w:val="21"/>
                      <w:szCs w:val="21"/>
                    </w:rPr>
                    <w:t>31</w:t>
                  </w:r>
                </w:p>
              </w:tc>
              <w:tc>
                <w:tcPr>
                  <w:tcW w:w="898" w:type="pct"/>
                  <w:gridSpan w:val="2"/>
                  <w:vAlign w:val="center"/>
                </w:tcPr>
                <w:p w14:paraId="70349E9E">
                  <w:pPr>
                    <w:spacing w:line="276" w:lineRule="auto"/>
                    <w:jc w:val="center"/>
                    <w:rPr>
                      <w:bCs/>
                      <w:sz w:val="21"/>
                      <w:szCs w:val="21"/>
                    </w:rPr>
                  </w:pPr>
                  <w:r>
                    <w:rPr>
                      <w:bCs/>
                      <w:sz w:val="21"/>
                      <w:szCs w:val="21"/>
                    </w:rPr>
                    <w:t>抛边</w:t>
                  </w:r>
                </w:p>
              </w:tc>
              <w:tc>
                <w:tcPr>
                  <w:tcW w:w="586" w:type="pct"/>
                  <w:vAlign w:val="center"/>
                </w:tcPr>
                <w:p w14:paraId="19BDB145">
                  <w:pPr>
                    <w:spacing w:line="276" w:lineRule="auto"/>
                    <w:jc w:val="center"/>
                    <w:rPr>
                      <w:bCs/>
                      <w:sz w:val="21"/>
                      <w:szCs w:val="21"/>
                    </w:rPr>
                  </w:pPr>
                  <w:r>
                    <w:rPr>
                      <w:rFonts w:hint="eastAsia"/>
                      <w:bCs/>
                      <w:sz w:val="21"/>
                      <w:szCs w:val="21"/>
                    </w:rPr>
                    <w:t>抛边</w:t>
                  </w:r>
                </w:p>
              </w:tc>
              <w:tc>
                <w:tcPr>
                  <w:tcW w:w="1054" w:type="pct"/>
                  <w:vAlign w:val="center"/>
                </w:tcPr>
                <w:p w14:paraId="56517F99">
                  <w:pPr>
                    <w:spacing w:line="276" w:lineRule="auto"/>
                    <w:jc w:val="center"/>
                    <w:rPr>
                      <w:bCs/>
                      <w:sz w:val="21"/>
                      <w:szCs w:val="21"/>
                    </w:rPr>
                  </w:pPr>
                  <w:r>
                    <w:rPr>
                      <w:rFonts w:hint="eastAsia"/>
                      <w:bCs/>
                      <w:sz w:val="21"/>
                      <w:szCs w:val="21"/>
                    </w:rPr>
                    <w:t>自动抛边机</w:t>
                  </w:r>
                </w:p>
              </w:tc>
              <w:tc>
                <w:tcPr>
                  <w:tcW w:w="538" w:type="pct"/>
                  <w:vAlign w:val="center"/>
                </w:tcPr>
                <w:p w14:paraId="00EDE10A">
                  <w:pPr>
                    <w:spacing w:line="276" w:lineRule="auto"/>
                    <w:jc w:val="center"/>
                    <w:rPr>
                      <w:bCs/>
                      <w:sz w:val="21"/>
                      <w:szCs w:val="21"/>
                    </w:rPr>
                  </w:pPr>
                  <w:r>
                    <w:rPr>
                      <w:rFonts w:hint="eastAsia"/>
                      <w:bCs/>
                      <w:sz w:val="21"/>
                      <w:szCs w:val="21"/>
                    </w:rPr>
                    <w:t>7</w:t>
                  </w:r>
                </w:p>
              </w:tc>
              <w:tc>
                <w:tcPr>
                  <w:tcW w:w="1129" w:type="pct"/>
                  <w:vAlign w:val="center"/>
                </w:tcPr>
                <w:p w14:paraId="6E716F6C">
                  <w:pPr>
                    <w:spacing w:line="276" w:lineRule="auto"/>
                    <w:jc w:val="center"/>
                    <w:rPr>
                      <w:bCs/>
                      <w:sz w:val="21"/>
                      <w:szCs w:val="21"/>
                    </w:rPr>
                  </w:pPr>
                  <w:r>
                    <w:rPr>
                      <w:rFonts w:hint="eastAsia"/>
                      <w:bCs/>
                      <w:sz w:val="21"/>
                      <w:szCs w:val="21"/>
                    </w:rPr>
                    <w:t>/</w:t>
                  </w:r>
                </w:p>
              </w:tc>
              <w:tc>
                <w:tcPr>
                  <w:tcW w:w="462" w:type="pct"/>
                  <w:vMerge w:val="restart"/>
                  <w:vAlign w:val="center"/>
                </w:tcPr>
                <w:p w14:paraId="2FFF6C17">
                  <w:pPr>
                    <w:spacing w:line="276" w:lineRule="auto"/>
                    <w:jc w:val="center"/>
                    <w:rPr>
                      <w:bCs/>
                      <w:sz w:val="21"/>
                      <w:szCs w:val="21"/>
                    </w:rPr>
                  </w:pPr>
                  <w:r>
                    <w:rPr>
                      <w:rFonts w:hint="eastAsia"/>
                      <w:bCs/>
                      <w:sz w:val="21"/>
                      <w:szCs w:val="21"/>
                    </w:rPr>
                    <w:t>抛边区</w:t>
                  </w:r>
                </w:p>
              </w:tc>
            </w:tr>
            <w:tr w14:paraId="59414B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4E186EF1">
                  <w:pPr>
                    <w:spacing w:line="276" w:lineRule="auto"/>
                    <w:jc w:val="center"/>
                    <w:rPr>
                      <w:bCs/>
                      <w:sz w:val="21"/>
                      <w:szCs w:val="21"/>
                    </w:rPr>
                  </w:pPr>
                  <w:r>
                    <w:rPr>
                      <w:rFonts w:hint="eastAsia"/>
                      <w:bCs/>
                      <w:sz w:val="21"/>
                      <w:szCs w:val="21"/>
                    </w:rPr>
                    <w:t>32</w:t>
                  </w:r>
                </w:p>
              </w:tc>
              <w:tc>
                <w:tcPr>
                  <w:tcW w:w="898" w:type="pct"/>
                  <w:gridSpan w:val="2"/>
                  <w:vAlign w:val="center"/>
                </w:tcPr>
                <w:p w14:paraId="20369670">
                  <w:pPr>
                    <w:spacing w:line="276" w:lineRule="auto"/>
                    <w:jc w:val="center"/>
                    <w:rPr>
                      <w:bCs/>
                      <w:sz w:val="21"/>
                      <w:szCs w:val="21"/>
                    </w:rPr>
                  </w:pPr>
                  <w:r>
                    <w:rPr>
                      <w:bCs/>
                      <w:sz w:val="21"/>
                      <w:szCs w:val="21"/>
                    </w:rPr>
                    <w:t>锁紧</w:t>
                  </w:r>
                </w:p>
              </w:tc>
              <w:tc>
                <w:tcPr>
                  <w:tcW w:w="586" w:type="pct"/>
                  <w:vAlign w:val="center"/>
                </w:tcPr>
                <w:p w14:paraId="35C58B44">
                  <w:pPr>
                    <w:spacing w:line="276" w:lineRule="auto"/>
                    <w:jc w:val="center"/>
                    <w:rPr>
                      <w:bCs/>
                      <w:sz w:val="21"/>
                      <w:szCs w:val="21"/>
                    </w:rPr>
                  </w:pPr>
                  <w:r>
                    <w:rPr>
                      <w:rFonts w:hint="eastAsia"/>
                      <w:bCs/>
                      <w:sz w:val="21"/>
                      <w:szCs w:val="21"/>
                    </w:rPr>
                    <w:t>锁紧</w:t>
                  </w:r>
                </w:p>
              </w:tc>
              <w:tc>
                <w:tcPr>
                  <w:tcW w:w="1054" w:type="pct"/>
                  <w:vAlign w:val="center"/>
                </w:tcPr>
                <w:p w14:paraId="368964A5">
                  <w:pPr>
                    <w:spacing w:line="276" w:lineRule="auto"/>
                    <w:jc w:val="center"/>
                    <w:rPr>
                      <w:bCs/>
                      <w:sz w:val="21"/>
                      <w:szCs w:val="21"/>
                    </w:rPr>
                  </w:pPr>
                  <w:r>
                    <w:rPr>
                      <w:rFonts w:hint="eastAsia"/>
                      <w:bCs/>
                      <w:sz w:val="21"/>
                      <w:szCs w:val="21"/>
                    </w:rPr>
                    <w:t>自动扣管机</w:t>
                  </w:r>
                </w:p>
              </w:tc>
              <w:tc>
                <w:tcPr>
                  <w:tcW w:w="538" w:type="pct"/>
                  <w:vAlign w:val="center"/>
                </w:tcPr>
                <w:p w14:paraId="3C884C98">
                  <w:pPr>
                    <w:spacing w:line="276" w:lineRule="auto"/>
                    <w:jc w:val="center"/>
                    <w:rPr>
                      <w:bCs/>
                      <w:sz w:val="21"/>
                      <w:szCs w:val="21"/>
                    </w:rPr>
                  </w:pPr>
                  <w:r>
                    <w:rPr>
                      <w:rFonts w:hint="eastAsia"/>
                      <w:bCs/>
                      <w:sz w:val="21"/>
                      <w:szCs w:val="21"/>
                    </w:rPr>
                    <w:t>3</w:t>
                  </w:r>
                </w:p>
              </w:tc>
              <w:tc>
                <w:tcPr>
                  <w:tcW w:w="1129" w:type="pct"/>
                  <w:vAlign w:val="center"/>
                </w:tcPr>
                <w:p w14:paraId="2127D97E">
                  <w:pPr>
                    <w:spacing w:line="276" w:lineRule="auto"/>
                    <w:jc w:val="center"/>
                    <w:rPr>
                      <w:bCs/>
                      <w:sz w:val="21"/>
                      <w:szCs w:val="21"/>
                    </w:rPr>
                  </w:pPr>
                  <w:r>
                    <w:rPr>
                      <w:rFonts w:hint="eastAsia"/>
                      <w:bCs/>
                      <w:sz w:val="21"/>
                      <w:szCs w:val="21"/>
                    </w:rPr>
                    <w:t>CBX-120</w:t>
                  </w:r>
                </w:p>
              </w:tc>
              <w:tc>
                <w:tcPr>
                  <w:tcW w:w="462" w:type="pct"/>
                  <w:vMerge w:val="continue"/>
                  <w:vAlign w:val="center"/>
                </w:tcPr>
                <w:p w14:paraId="2CE05D06">
                  <w:pPr>
                    <w:spacing w:line="276" w:lineRule="auto"/>
                    <w:jc w:val="center"/>
                    <w:rPr>
                      <w:bCs/>
                      <w:sz w:val="21"/>
                      <w:szCs w:val="21"/>
                    </w:rPr>
                  </w:pPr>
                </w:p>
              </w:tc>
            </w:tr>
            <w:tr w14:paraId="758E76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5000" w:type="pct"/>
                  <w:gridSpan w:val="8"/>
                  <w:vAlign w:val="center"/>
                </w:tcPr>
                <w:p w14:paraId="5EACF80C">
                  <w:pPr>
                    <w:spacing w:line="276" w:lineRule="auto"/>
                    <w:jc w:val="center"/>
                    <w:rPr>
                      <w:bCs/>
                      <w:sz w:val="21"/>
                      <w:szCs w:val="21"/>
                    </w:rPr>
                  </w:pPr>
                  <w:r>
                    <w:rPr>
                      <w:rFonts w:hint="eastAsia"/>
                      <w:b/>
                      <w:sz w:val="21"/>
                      <w:szCs w:val="21"/>
                    </w:rPr>
                    <w:t>装配生产线</w:t>
                  </w:r>
                </w:p>
              </w:tc>
            </w:tr>
            <w:tr w14:paraId="2D8D8C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A646931">
                  <w:pPr>
                    <w:spacing w:line="276" w:lineRule="auto"/>
                    <w:jc w:val="center"/>
                    <w:rPr>
                      <w:bCs/>
                      <w:sz w:val="21"/>
                      <w:szCs w:val="21"/>
                    </w:rPr>
                  </w:pPr>
                  <w:r>
                    <w:rPr>
                      <w:rFonts w:hint="eastAsia"/>
                      <w:bCs/>
                      <w:sz w:val="21"/>
                      <w:szCs w:val="21"/>
                    </w:rPr>
                    <w:t>33</w:t>
                  </w:r>
                </w:p>
              </w:tc>
              <w:tc>
                <w:tcPr>
                  <w:tcW w:w="898" w:type="pct"/>
                  <w:gridSpan w:val="2"/>
                  <w:vMerge w:val="restart"/>
                  <w:vAlign w:val="center"/>
                </w:tcPr>
                <w:p w14:paraId="5D5385C3">
                  <w:pPr>
                    <w:spacing w:line="276" w:lineRule="auto"/>
                    <w:jc w:val="center"/>
                    <w:rPr>
                      <w:bCs/>
                      <w:sz w:val="21"/>
                      <w:szCs w:val="21"/>
                    </w:rPr>
                  </w:pPr>
                  <w:r>
                    <w:rPr>
                      <w:bCs/>
                      <w:sz w:val="21"/>
                      <w:szCs w:val="21"/>
                    </w:rPr>
                    <w:t>压装</w:t>
                  </w:r>
                </w:p>
              </w:tc>
              <w:tc>
                <w:tcPr>
                  <w:tcW w:w="586" w:type="pct"/>
                  <w:vMerge w:val="restart"/>
                  <w:vAlign w:val="center"/>
                </w:tcPr>
                <w:p w14:paraId="21B2EBB0">
                  <w:pPr>
                    <w:spacing w:line="276" w:lineRule="auto"/>
                    <w:jc w:val="center"/>
                    <w:rPr>
                      <w:bCs/>
                      <w:sz w:val="21"/>
                      <w:szCs w:val="21"/>
                    </w:rPr>
                  </w:pPr>
                  <w:r>
                    <w:rPr>
                      <w:bCs/>
                      <w:sz w:val="21"/>
                      <w:szCs w:val="21"/>
                    </w:rPr>
                    <w:t>衬套压装</w:t>
                  </w:r>
                </w:p>
              </w:tc>
              <w:tc>
                <w:tcPr>
                  <w:tcW w:w="1054" w:type="pct"/>
                  <w:vAlign w:val="center"/>
                </w:tcPr>
                <w:p w14:paraId="52D0DAD0">
                  <w:pPr>
                    <w:spacing w:line="276" w:lineRule="auto"/>
                    <w:jc w:val="center"/>
                    <w:rPr>
                      <w:bCs/>
                      <w:sz w:val="21"/>
                      <w:szCs w:val="21"/>
                    </w:rPr>
                  </w:pPr>
                  <w:r>
                    <w:rPr>
                      <w:rFonts w:hint="eastAsia"/>
                      <w:bCs/>
                      <w:sz w:val="21"/>
                      <w:szCs w:val="21"/>
                    </w:rPr>
                    <w:t>金清单柱液压机</w:t>
                  </w:r>
                </w:p>
              </w:tc>
              <w:tc>
                <w:tcPr>
                  <w:tcW w:w="538" w:type="pct"/>
                  <w:vAlign w:val="center"/>
                </w:tcPr>
                <w:p w14:paraId="00CA047A">
                  <w:pPr>
                    <w:spacing w:line="276" w:lineRule="auto"/>
                    <w:jc w:val="center"/>
                    <w:rPr>
                      <w:bCs/>
                      <w:sz w:val="21"/>
                      <w:szCs w:val="21"/>
                    </w:rPr>
                  </w:pPr>
                  <w:r>
                    <w:rPr>
                      <w:rFonts w:hint="eastAsia"/>
                      <w:bCs/>
                      <w:sz w:val="21"/>
                      <w:szCs w:val="21"/>
                    </w:rPr>
                    <w:t>5</w:t>
                  </w:r>
                </w:p>
              </w:tc>
              <w:tc>
                <w:tcPr>
                  <w:tcW w:w="1129" w:type="pct"/>
                  <w:vAlign w:val="center"/>
                </w:tcPr>
                <w:p w14:paraId="42A665A8">
                  <w:pPr>
                    <w:spacing w:line="276" w:lineRule="auto"/>
                    <w:jc w:val="center"/>
                    <w:rPr>
                      <w:bCs/>
                      <w:sz w:val="21"/>
                      <w:szCs w:val="21"/>
                    </w:rPr>
                  </w:pPr>
                  <w:r>
                    <w:rPr>
                      <w:rFonts w:hint="eastAsia"/>
                      <w:bCs/>
                      <w:sz w:val="21"/>
                      <w:szCs w:val="21"/>
                    </w:rPr>
                    <w:t>Y32-15</w:t>
                  </w:r>
                </w:p>
              </w:tc>
              <w:tc>
                <w:tcPr>
                  <w:tcW w:w="462" w:type="pct"/>
                  <w:vMerge w:val="restart"/>
                  <w:vAlign w:val="center"/>
                </w:tcPr>
                <w:p w14:paraId="23D463E6">
                  <w:pPr>
                    <w:spacing w:line="276" w:lineRule="auto"/>
                    <w:jc w:val="center"/>
                    <w:rPr>
                      <w:bCs/>
                      <w:sz w:val="21"/>
                      <w:szCs w:val="21"/>
                    </w:rPr>
                  </w:pPr>
                  <w:r>
                    <w:rPr>
                      <w:rFonts w:hint="eastAsia"/>
                      <w:bCs/>
                      <w:sz w:val="21"/>
                      <w:szCs w:val="21"/>
                    </w:rPr>
                    <w:t>装配区</w:t>
                  </w:r>
                </w:p>
              </w:tc>
            </w:tr>
            <w:tr w14:paraId="6FF73B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718BAA15">
                  <w:pPr>
                    <w:spacing w:line="276" w:lineRule="auto"/>
                    <w:jc w:val="center"/>
                    <w:rPr>
                      <w:bCs/>
                      <w:sz w:val="21"/>
                      <w:szCs w:val="21"/>
                    </w:rPr>
                  </w:pPr>
                  <w:r>
                    <w:rPr>
                      <w:rFonts w:hint="eastAsia"/>
                      <w:bCs/>
                      <w:sz w:val="21"/>
                      <w:szCs w:val="21"/>
                    </w:rPr>
                    <w:t>34</w:t>
                  </w:r>
                </w:p>
              </w:tc>
              <w:tc>
                <w:tcPr>
                  <w:tcW w:w="898" w:type="pct"/>
                  <w:gridSpan w:val="2"/>
                  <w:vMerge w:val="continue"/>
                  <w:vAlign w:val="center"/>
                </w:tcPr>
                <w:p w14:paraId="26434ADB">
                  <w:pPr>
                    <w:spacing w:line="276" w:lineRule="auto"/>
                    <w:jc w:val="center"/>
                    <w:rPr>
                      <w:bCs/>
                      <w:sz w:val="21"/>
                      <w:szCs w:val="21"/>
                    </w:rPr>
                  </w:pPr>
                </w:p>
              </w:tc>
              <w:tc>
                <w:tcPr>
                  <w:tcW w:w="586" w:type="pct"/>
                  <w:vMerge w:val="continue"/>
                  <w:vAlign w:val="center"/>
                </w:tcPr>
                <w:p w14:paraId="7059A6E6">
                  <w:pPr>
                    <w:spacing w:line="276" w:lineRule="auto"/>
                    <w:jc w:val="center"/>
                    <w:rPr>
                      <w:bCs/>
                      <w:sz w:val="21"/>
                      <w:szCs w:val="21"/>
                    </w:rPr>
                  </w:pPr>
                </w:p>
              </w:tc>
              <w:tc>
                <w:tcPr>
                  <w:tcW w:w="1054" w:type="pct"/>
                  <w:vAlign w:val="center"/>
                </w:tcPr>
                <w:p w14:paraId="70A5E1F4">
                  <w:pPr>
                    <w:spacing w:line="276" w:lineRule="auto"/>
                    <w:jc w:val="center"/>
                    <w:rPr>
                      <w:bCs/>
                      <w:sz w:val="21"/>
                      <w:szCs w:val="21"/>
                    </w:rPr>
                  </w:pPr>
                  <w:r>
                    <w:rPr>
                      <w:rFonts w:hint="eastAsia"/>
                      <w:bCs/>
                      <w:sz w:val="21"/>
                      <w:szCs w:val="21"/>
                    </w:rPr>
                    <w:t>英田单柱液压机</w:t>
                  </w:r>
                </w:p>
              </w:tc>
              <w:tc>
                <w:tcPr>
                  <w:tcW w:w="538" w:type="pct"/>
                  <w:vAlign w:val="center"/>
                </w:tcPr>
                <w:p w14:paraId="2C9F1D6A">
                  <w:pPr>
                    <w:spacing w:line="276" w:lineRule="auto"/>
                    <w:jc w:val="center"/>
                    <w:rPr>
                      <w:bCs/>
                      <w:sz w:val="21"/>
                      <w:szCs w:val="21"/>
                    </w:rPr>
                  </w:pPr>
                  <w:r>
                    <w:rPr>
                      <w:rFonts w:hint="eastAsia"/>
                      <w:bCs/>
                      <w:sz w:val="21"/>
                      <w:szCs w:val="21"/>
                    </w:rPr>
                    <w:t>11</w:t>
                  </w:r>
                </w:p>
              </w:tc>
              <w:tc>
                <w:tcPr>
                  <w:tcW w:w="1129" w:type="pct"/>
                  <w:vAlign w:val="center"/>
                </w:tcPr>
                <w:p w14:paraId="4F4C7282">
                  <w:pPr>
                    <w:spacing w:line="276" w:lineRule="auto"/>
                    <w:jc w:val="center"/>
                    <w:rPr>
                      <w:bCs/>
                      <w:sz w:val="21"/>
                      <w:szCs w:val="21"/>
                    </w:rPr>
                  </w:pPr>
                  <w:r>
                    <w:rPr>
                      <w:rFonts w:hint="eastAsia"/>
                      <w:bCs/>
                      <w:sz w:val="21"/>
                      <w:szCs w:val="21"/>
                    </w:rPr>
                    <w:t>YT-ZD-20SF</w:t>
                  </w:r>
                </w:p>
              </w:tc>
              <w:tc>
                <w:tcPr>
                  <w:tcW w:w="462" w:type="pct"/>
                  <w:vMerge w:val="continue"/>
                  <w:vAlign w:val="center"/>
                </w:tcPr>
                <w:p w14:paraId="5674D198">
                  <w:pPr>
                    <w:spacing w:line="276" w:lineRule="auto"/>
                    <w:jc w:val="center"/>
                    <w:rPr>
                      <w:bCs/>
                      <w:sz w:val="21"/>
                      <w:szCs w:val="21"/>
                    </w:rPr>
                  </w:pPr>
                </w:p>
              </w:tc>
            </w:tr>
            <w:tr w14:paraId="09B1F5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26F82C92">
                  <w:pPr>
                    <w:spacing w:line="276" w:lineRule="auto"/>
                    <w:jc w:val="center"/>
                    <w:rPr>
                      <w:bCs/>
                      <w:sz w:val="21"/>
                      <w:szCs w:val="21"/>
                    </w:rPr>
                  </w:pPr>
                  <w:r>
                    <w:rPr>
                      <w:rFonts w:hint="eastAsia"/>
                      <w:bCs/>
                      <w:sz w:val="21"/>
                      <w:szCs w:val="21"/>
                    </w:rPr>
                    <w:t>35</w:t>
                  </w:r>
                </w:p>
              </w:tc>
              <w:tc>
                <w:tcPr>
                  <w:tcW w:w="898" w:type="pct"/>
                  <w:gridSpan w:val="2"/>
                  <w:vMerge w:val="continue"/>
                  <w:vAlign w:val="center"/>
                </w:tcPr>
                <w:p w14:paraId="3F04F89C">
                  <w:pPr>
                    <w:spacing w:line="276" w:lineRule="auto"/>
                    <w:jc w:val="center"/>
                    <w:rPr>
                      <w:bCs/>
                      <w:sz w:val="21"/>
                      <w:szCs w:val="21"/>
                    </w:rPr>
                  </w:pPr>
                </w:p>
              </w:tc>
              <w:tc>
                <w:tcPr>
                  <w:tcW w:w="586" w:type="pct"/>
                  <w:vMerge w:val="continue"/>
                  <w:vAlign w:val="center"/>
                </w:tcPr>
                <w:p w14:paraId="434EDF71">
                  <w:pPr>
                    <w:spacing w:line="276" w:lineRule="auto"/>
                    <w:jc w:val="center"/>
                    <w:rPr>
                      <w:bCs/>
                      <w:sz w:val="21"/>
                      <w:szCs w:val="21"/>
                    </w:rPr>
                  </w:pPr>
                </w:p>
              </w:tc>
              <w:tc>
                <w:tcPr>
                  <w:tcW w:w="1054" w:type="pct"/>
                  <w:vAlign w:val="center"/>
                </w:tcPr>
                <w:p w14:paraId="6A583E49">
                  <w:pPr>
                    <w:spacing w:line="276" w:lineRule="auto"/>
                    <w:jc w:val="center"/>
                    <w:rPr>
                      <w:bCs/>
                      <w:sz w:val="21"/>
                      <w:szCs w:val="21"/>
                    </w:rPr>
                  </w:pPr>
                  <w:r>
                    <w:rPr>
                      <w:rFonts w:hint="eastAsia"/>
                      <w:bCs/>
                      <w:sz w:val="21"/>
                      <w:szCs w:val="21"/>
                    </w:rPr>
                    <w:t>小兵液压机</w:t>
                  </w:r>
                </w:p>
              </w:tc>
              <w:tc>
                <w:tcPr>
                  <w:tcW w:w="538" w:type="pct"/>
                  <w:vAlign w:val="center"/>
                </w:tcPr>
                <w:p w14:paraId="65C6E411">
                  <w:pPr>
                    <w:spacing w:line="276" w:lineRule="auto"/>
                    <w:jc w:val="center"/>
                    <w:rPr>
                      <w:bCs/>
                      <w:sz w:val="21"/>
                      <w:szCs w:val="21"/>
                    </w:rPr>
                  </w:pPr>
                  <w:r>
                    <w:rPr>
                      <w:rFonts w:hint="eastAsia"/>
                      <w:bCs/>
                      <w:sz w:val="21"/>
                      <w:szCs w:val="21"/>
                    </w:rPr>
                    <w:t>1</w:t>
                  </w:r>
                </w:p>
              </w:tc>
              <w:tc>
                <w:tcPr>
                  <w:tcW w:w="1129" w:type="pct"/>
                  <w:vAlign w:val="center"/>
                </w:tcPr>
                <w:p w14:paraId="540D3185">
                  <w:pPr>
                    <w:spacing w:line="276" w:lineRule="auto"/>
                    <w:jc w:val="center"/>
                    <w:rPr>
                      <w:bCs/>
                      <w:sz w:val="21"/>
                      <w:szCs w:val="21"/>
                    </w:rPr>
                  </w:pPr>
                  <w:r>
                    <w:rPr>
                      <w:rFonts w:hint="eastAsia"/>
                      <w:bCs/>
                      <w:sz w:val="21"/>
                      <w:szCs w:val="21"/>
                    </w:rPr>
                    <w:t>/</w:t>
                  </w:r>
                </w:p>
              </w:tc>
              <w:tc>
                <w:tcPr>
                  <w:tcW w:w="462" w:type="pct"/>
                  <w:vMerge w:val="continue"/>
                  <w:vAlign w:val="center"/>
                </w:tcPr>
                <w:p w14:paraId="3656238D">
                  <w:pPr>
                    <w:spacing w:line="276" w:lineRule="auto"/>
                    <w:jc w:val="center"/>
                    <w:rPr>
                      <w:bCs/>
                      <w:sz w:val="21"/>
                      <w:szCs w:val="21"/>
                    </w:rPr>
                  </w:pPr>
                </w:p>
              </w:tc>
            </w:tr>
            <w:tr w14:paraId="5E1D4B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503AA3DD">
                  <w:pPr>
                    <w:spacing w:line="276" w:lineRule="auto"/>
                    <w:jc w:val="center"/>
                    <w:rPr>
                      <w:bCs/>
                      <w:sz w:val="21"/>
                      <w:szCs w:val="21"/>
                    </w:rPr>
                  </w:pPr>
                  <w:r>
                    <w:rPr>
                      <w:rFonts w:hint="eastAsia"/>
                      <w:bCs/>
                      <w:sz w:val="21"/>
                      <w:szCs w:val="21"/>
                    </w:rPr>
                    <w:t>36</w:t>
                  </w:r>
                </w:p>
              </w:tc>
              <w:tc>
                <w:tcPr>
                  <w:tcW w:w="898" w:type="pct"/>
                  <w:gridSpan w:val="2"/>
                  <w:vMerge w:val="restart"/>
                  <w:vAlign w:val="center"/>
                </w:tcPr>
                <w:p w14:paraId="1AED1BF5">
                  <w:pPr>
                    <w:spacing w:line="276" w:lineRule="auto"/>
                    <w:jc w:val="center"/>
                    <w:rPr>
                      <w:bCs/>
                      <w:sz w:val="21"/>
                      <w:szCs w:val="21"/>
                    </w:rPr>
                  </w:pPr>
                  <w:r>
                    <w:rPr>
                      <w:bCs/>
                      <w:sz w:val="21"/>
                      <w:szCs w:val="21"/>
                    </w:rPr>
                    <w:t>装配</w:t>
                  </w:r>
                </w:p>
              </w:tc>
              <w:tc>
                <w:tcPr>
                  <w:tcW w:w="586" w:type="pct"/>
                  <w:vMerge w:val="restart"/>
                  <w:vAlign w:val="center"/>
                </w:tcPr>
                <w:p w14:paraId="6A0EFBBE">
                  <w:pPr>
                    <w:spacing w:line="276" w:lineRule="auto"/>
                    <w:jc w:val="center"/>
                    <w:rPr>
                      <w:bCs/>
                      <w:sz w:val="21"/>
                      <w:szCs w:val="21"/>
                    </w:rPr>
                  </w:pPr>
                  <w:r>
                    <w:rPr>
                      <w:bCs/>
                      <w:sz w:val="21"/>
                      <w:szCs w:val="21"/>
                    </w:rPr>
                    <w:t>装配</w:t>
                  </w:r>
                </w:p>
              </w:tc>
              <w:tc>
                <w:tcPr>
                  <w:tcW w:w="1054" w:type="pct"/>
                  <w:vAlign w:val="center"/>
                </w:tcPr>
                <w:p w14:paraId="5CAF87A0">
                  <w:pPr>
                    <w:spacing w:line="276" w:lineRule="auto"/>
                    <w:jc w:val="center"/>
                    <w:rPr>
                      <w:bCs/>
                      <w:sz w:val="21"/>
                      <w:szCs w:val="21"/>
                    </w:rPr>
                  </w:pPr>
                  <w:r>
                    <w:rPr>
                      <w:rFonts w:hint="eastAsia"/>
                      <w:bCs/>
                      <w:sz w:val="21"/>
                      <w:szCs w:val="21"/>
                    </w:rPr>
                    <w:t>英田液压旋铆机</w:t>
                  </w:r>
                </w:p>
              </w:tc>
              <w:tc>
                <w:tcPr>
                  <w:tcW w:w="538" w:type="pct"/>
                  <w:vAlign w:val="center"/>
                </w:tcPr>
                <w:p w14:paraId="267089DE">
                  <w:pPr>
                    <w:spacing w:line="276" w:lineRule="auto"/>
                    <w:jc w:val="center"/>
                    <w:rPr>
                      <w:bCs/>
                      <w:sz w:val="21"/>
                      <w:szCs w:val="21"/>
                    </w:rPr>
                  </w:pPr>
                  <w:r>
                    <w:rPr>
                      <w:rFonts w:hint="eastAsia"/>
                      <w:bCs/>
                      <w:sz w:val="21"/>
                      <w:szCs w:val="21"/>
                    </w:rPr>
                    <w:t>2</w:t>
                  </w:r>
                </w:p>
              </w:tc>
              <w:tc>
                <w:tcPr>
                  <w:tcW w:w="1129" w:type="pct"/>
                  <w:vAlign w:val="center"/>
                </w:tcPr>
                <w:p w14:paraId="5A987ECC">
                  <w:pPr>
                    <w:spacing w:line="276" w:lineRule="auto"/>
                    <w:jc w:val="center"/>
                    <w:rPr>
                      <w:bCs/>
                      <w:sz w:val="21"/>
                      <w:szCs w:val="21"/>
                    </w:rPr>
                  </w:pPr>
                  <w:r>
                    <w:rPr>
                      <w:rFonts w:hint="eastAsia"/>
                      <w:bCs/>
                      <w:sz w:val="21"/>
                      <w:szCs w:val="21"/>
                    </w:rPr>
                    <w:t>YT-X-05S</w:t>
                  </w:r>
                </w:p>
              </w:tc>
              <w:tc>
                <w:tcPr>
                  <w:tcW w:w="462" w:type="pct"/>
                  <w:vMerge w:val="continue"/>
                  <w:vAlign w:val="center"/>
                </w:tcPr>
                <w:p w14:paraId="4B06282C">
                  <w:pPr>
                    <w:spacing w:line="276" w:lineRule="auto"/>
                    <w:jc w:val="center"/>
                    <w:rPr>
                      <w:bCs/>
                      <w:sz w:val="21"/>
                      <w:szCs w:val="21"/>
                    </w:rPr>
                  </w:pPr>
                </w:p>
              </w:tc>
            </w:tr>
            <w:tr w14:paraId="3713B9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02C9994F">
                  <w:pPr>
                    <w:spacing w:line="276" w:lineRule="auto"/>
                    <w:jc w:val="center"/>
                    <w:rPr>
                      <w:bCs/>
                      <w:sz w:val="21"/>
                      <w:szCs w:val="21"/>
                    </w:rPr>
                  </w:pPr>
                  <w:r>
                    <w:rPr>
                      <w:rFonts w:hint="eastAsia"/>
                      <w:bCs/>
                      <w:sz w:val="21"/>
                      <w:szCs w:val="21"/>
                    </w:rPr>
                    <w:t>37</w:t>
                  </w:r>
                </w:p>
              </w:tc>
              <w:tc>
                <w:tcPr>
                  <w:tcW w:w="898" w:type="pct"/>
                  <w:gridSpan w:val="2"/>
                  <w:vMerge w:val="continue"/>
                  <w:vAlign w:val="center"/>
                </w:tcPr>
                <w:p w14:paraId="0DD26474">
                  <w:pPr>
                    <w:spacing w:line="276" w:lineRule="auto"/>
                    <w:jc w:val="center"/>
                    <w:rPr>
                      <w:bCs/>
                      <w:sz w:val="21"/>
                      <w:szCs w:val="21"/>
                    </w:rPr>
                  </w:pPr>
                </w:p>
              </w:tc>
              <w:tc>
                <w:tcPr>
                  <w:tcW w:w="586" w:type="pct"/>
                  <w:vMerge w:val="continue"/>
                  <w:vAlign w:val="center"/>
                </w:tcPr>
                <w:p w14:paraId="2A2FAB70">
                  <w:pPr>
                    <w:spacing w:line="276" w:lineRule="auto"/>
                    <w:jc w:val="center"/>
                    <w:rPr>
                      <w:bCs/>
                      <w:sz w:val="21"/>
                      <w:szCs w:val="21"/>
                    </w:rPr>
                  </w:pPr>
                </w:p>
              </w:tc>
              <w:tc>
                <w:tcPr>
                  <w:tcW w:w="1054" w:type="pct"/>
                  <w:vAlign w:val="center"/>
                </w:tcPr>
                <w:p w14:paraId="78FA7E82">
                  <w:pPr>
                    <w:spacing w:line="276" w:lineRule="auto"/>
                    <w:jc w:val="center"/>
                    <w:rPr>
                      <w:bCs/>
                      <w:sz w:val="21"/>
                      <w:szCs w:val="21"/>
                    </w:rPr>
                  </w:pPr>
                  <w:r>
                    <w:rPr>
                      <w:rFonts w:hint="eastAsia"/>
                      <w:bCs/>
                      <w:sz w:val="21"/>
                      <w:szCs w:val="21"/>
                    </w:rPr>
                    <w:t>英田球头装配机</w:t>
                  </w:r>
                </w:p>
              </w:tc>
              <w:tc>
                <w:tcPr>
                  <w:tcW w:w="538" w:type="pct"/>
                  <w:vAlign w:val="center"/>
                </w:tcPr>
                <w:p w14:paraId="78BF673C">
                  <w:pPr>
                    <w:spacing w:line="276" w:lineRule="auto"/>
                    <w:jc w:val="center"/>
                    <w:rPr>
                      <w:bCs/>
                      <w:sz w:val="21"/>
                      <w:szCs w:val="21"/>
                    </w:rPr>
                  </w:pPr>
                  <w:r>
                    <w:rPr>
                      <w:rFonts w:hint="eastAsia"/>
                      <w:bCs/>
                      <w:sz w:val="21"/>
                      <w:szCs w:val="21"/>
                    </w:rPr>
                    <w:t>2</w:t>
                  </w:r>
                </w:p>
              </w:tc>
              <w:tc>
                <w:tcPr>
                  <w:tcW w:w="1129" w:type="pct"/>
                  <w:vAlign w:val="center"/>
                </w:tcPr>
                <w:p w14:paraId="7BCC317D">
                  <w:pPr>
                    <w:spacing w:line="276" w:lineRule="auto"/>
                    <w:jc w:val="center"/>
                    <w:rPr>
                      <w:bCs/>
                      <w:sz w:val="21"/>
                      <w:szCs w:val="21"/>
                    </w:rPr>
                  </w:pPr>
                  <w:r>
                    <w:rPr>
                      <w:rFonts w:hint="eastAsia"/>
                      <w:bCs/>
                      <w:sz w:val="21"/>
                      <w:szCs w:val="21"/>
                    </w:rPr>
                    <w:t>/</w:t>
                  </w:r>
                </w:p>
              </w:tc>
              <w:tc>
                <w:tcPr>
                  <w:tcW w:w="462" w:type="pct"/>
                  <w:vMerge w:val="continue"/>
                  <w:vAlign w:val="center"/>
                </w:tcPr>
                <w:p w14:paraId="42F50EB9">
                  <w:pPr>
                    <w:spacing w:line="276" w:lineRule="auto"/>
                    <w:jc w:val="center"/>
                    <w:rPr>
                      <w:bCs/>
                      <w:sz w:val="21"/>
                      <w:szCs w:val="21"/>
                    </w:rPr>
                  </w:pPr>
                </w:p>
              </w:tc>
            </w:tr>
            <w:tr w14:paraId="09F9B4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319C1D9A">
                  <w:pPr>
                    <w:spacing w:line="276" w:lineRule="auto"/>
                    <w:jc w:val="center"/>
                    <w:rPr>
                      <w:bCs/>
                      <w:sz w:val="21"/>
                      <w:szCs w:val="21"/>
                    </w:rPr>
                  </w:pPr>
                  <w:r>
                    <w:rPr>
                      <w:rFonts w:hint="eastAsia"/>
                      <w:bCs/>
                      <w:sz w:val="21"/>
                      <w:szCs w:val="21"/>
                    </w:rPr>
                    <w:t>38</w:t>
                  </w:r>
                </w:p>
              </w:tc>
              <w:tc>
                <w:tcPr>
                  <w:tcW w:w="898" w:type="pct"/>
                  <w:gridSpan w:val="2"/>
                  <w:vMerge w:val="continue"/>
                  <w:vAlign w:val="center"/>
                </w:tcPr>
                <w:p w14:paraId="596C3436">
                  <w:pPr>
                    <w:spacing w:line="276" w:lineRule="auto"/>
                    <w:jc w:val="center"/>
                    <w:rPr>
                      <w:bCs/>
                      <w:sz w:val="21"/>
                      <w:szCs w:val="21"/>
                    </w:rPr>
                  </w:pPr>
                </w:p>
              </w:tc>
              <w:tc>
                <w:tcPr>
                  <w:tcW w:w="586" w:type="pct"/>
                  <w:vMerge w:val="continue"/>
                  <w:vAlign w:val="center"/>
                </w:tcPr>
                <w:p w14:paraId="04ACA26B">
                  <w:pPr>
                    <w:spacing w:line="276" w:lineRule="auto"/>
                    <w:jc w:val="center"/>
                    <w:rPr>
                      <w:bCs/>
                      <w:sz w:val="21"/>
                      <w:szCs w:val="21"/>
                    </w:rPr>
                  </w:pPr>
                </w:p>
              </w:tc>
              <w:tc>
                <w:tcPr>
                  <w:tcW w:w="1054" w:type="pct"/>
                  <w:vAlign w:val="center"/>
                </w:tcPr>
                <w:p w14:paraId="5ABA3421">
                  <w:pPr>
                    <w:spacing w:line="276" w:lineRule="auto"/>
                    <w:jc w:val="center"/>
                    <w:rPr>
                      <w:bCs/>
                      <w:sz w:val="21"/>
                      <w:szCs w:val="21"/>
                    </w:rPr>
                  </w:pPr>
                  <w:r>
                    <w:rPr>
                      <w:rFonts w:hint="eastAsia"/>
                      <w:bCs/>
                      <w:sz w:val="21"/>
                      <w:szCs w:val="21"/>
                    </w:rPr>
                    <w:t>英田卡簧机</w:t>
                  </w:r>
                </w:p>
              </w:tc>
              <w:tc>
                <w:tcPr>
                  <w:tcW w:w="538" w:type="pct"/>
                  <w:vAlign w:val="center"/>
                </w:tcPr>
                <w:p w14:paraId="66490554">
                  <w:pPr>
                    <w:spacing w:line="276" w:lineRule="auto"/>
                    <w:jc w:val="center"/>
                    <w:rPr>
                      <w:bCs/>
                      <w:sz w:val="21"/>
                      <w:szCs w:val="21"/>
                    </w:rPr>
                  </w:pPr>
                  <w:r>
                    <w:rPr>
                      <w:rFonts w:hint="eastAsia"/>
                      <w:bCs/>
                      <w:sz w:val="21"/>
                      <w:szCs w:val="21"/>
                    </w:rPr>
                    <w:t>2</w:t>
                  </w:r>
                </w:p>
              </w:tc>
              <w:tc>
                <w:tcPr>
                  <w:tcW w:w="1129" w:type="pct"/>
                  <w:vAlign w:val="center"/>
                </w:tcPr>
                <w:p w14:paraId="4ED98FE6">
                  <w:pPr>
                    <w:spacing w:line="276" w:lineRule="auto"/>
                    <w:jc w:val="center"/>
                    <w:rPr>
                      <w:bCs/>
                      <w:sz w:val="21"/>
                      <w:szCs w:val="21"/>
                    </w:rPr>
                  </w:pPr>
                  <w:r>
                    <w:rPr>
                      <w:rFonts w:hint="eastAsia"/>
                      <w:bCs/>
                      <w:sz w:val="21"/>
                      <w:szCs w:val="21"/>
                    </w:rPr>
                    <w:t>/</w:t>
                  </w:r>
                </w:p>
              </w:tc>
              <w:tc>
                <w:tcPr>
                  <w:tcW w:w="462" w:type="pct"/>
                  <w:vMerge w:val="continue"/>
                  <w:vAlign w:val="center"/>
                </w:tcPr>
                <w:p w14:paraId="0CC08D50">
                  <w:pPr>
                    <w:spacing w:line="276" w:lineRule="auto"/>
                    <w:jc w:val="center"/>
                    <w:rPr>
                      <w:bCs/>
                      <w:sz w:val="21"/>
                      <w:szCs w:val="21"/>
                    </w:rPr>
                  </w:pPr>
                </w:p>
              </w:tc>
            </w:tr>
            <w:tr w14:paraId="259F76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30" w:type="pct"/>
                  <w:vAlign w:val="center"/>
                </w:tcPr>
                <w:p w14:paraId="24C90C5E">
                  <w:pPr>
                    <w:spacing w:line="276" w:lineRule="auto"/>
                    <w:jc w:val="center"/>
                    <w:rPr>
                      <w:bCs/>
                      <w:sz w:val="21"/>
                      <w:szCs w:val="21"/>
                    </w:rPr>
                  </w:pPr>
                  <w:r>
                    <w:rPr>
                      <w:rFonts w:hint="eastAsia"/>
                      <w:bCs/>
                      <w:sz w:val="21"/>
                      <w:szCs w:val="21"/>
                    </w:rPr>
                    <w:t>39</w:t>
                  </w:r>
                </w:p>
              </w:tc>
              <w:tc>
                <w:tcPr>
                  <w:tcW w:w="898" w:type="pct"/>
                  <w:gridSpan w:val="2"/>
                  <w:vAlign w:val="center"/>
                </w:tcPr>
                <w:p w14:paraId="738C08CA">
                  <w:pPr>
                    <w:spacing w:line="276" w:lineRule="auto"/>
                    <w:jc w:val="center"/>
                    <w:rPr>
                      <w:bCs/>
                      <w:sz w:val="21"/>
                      <w:szCs w:val="21"/>
                    </w:rPr>
                  </w:pPr>
                  <w:r>
                    <w:rPr>
                      <w:rFonts w:hint="eastAsia"/>
                      <w:bCs/>
                      <w:sz w:val="21"/>
                      <w:szCs w:val="21"/>
                    </w:rPr>
                    <w:t>包装</w:t>
                  </w:r>
                </w:p>
              </w:tc>
              <w:tc>
                <w:tcPr>
                  <w:tcW w:w="586" w:type="pct"/>
                  <w:vAlign w:val="center"/>
                </w:tcPr>
                <w:p w14:paraId="0892A4B8">
                  <w:pPr>
                    <w:spacing w:line="276" w:lineRule="auto"/>
                    <w:jc w:val="center"/>
                    <w:rPr>
                      <w:bCs/>
                      <w:sz w:val="21"/>
                      <w:szCs w:val="21"/>
                    </w:rPr>
                  </w:pPr>
                  <w:r>
                    <w:rPr>
                      <w:rFonts w:hint="eastAsia"/>
                      <w:bCs/>
                      <w:sz w:val="21"/>
                      <w:szCs w:val="21"/>
                    </w:rPr>
                    <w:t>包装</w:t>
                  </w:r>
                </w:p>
              </w:tc>
              <w:tc>
                <w:tcPr>
                  <w:tcW w:w="1054" w:type="pct"/>
                  <w:vAlign w:val="center"/>
                </w:tcPr>
                <w:p w14:paraId="0EADFE6D">
                  <w:pPr>
                    <w:spacing w:line="276" w:lineRule="auto"/>
                    <w:jc w:val="center"/>
                    <w:rPr>
                      <w:bCs/>
                      <w:sz w:val="21"/>
                      <w:szCs w:val="21"/>
                    </w:rPr>
                  </w:pPr>
                  <w:r>
                    <w:rPr>
                      <w:rFonts w:hint="eastAsia"/>
                      <w:bCs/>
                      <w:sz w:val="21"/>
                      <w:szCs w:val="21"/>
                    </w:rPr>
                    <w:t>装配流水线</w:t>
                  </w:r>
                </w:p>
              </w:tc>
              <w:tc>
                <w:tcPr>
                  <w:tcW w:w="538" w:type="pct"/>
                  <w:vAlign w:val="center"/>
                </w:tcPr>
                <w:p w14:paraId="450976CE">
                  <w:pPr>
                    <w:spacing w:line="276" w:lineRule="auto"/>
                    <w:jc w:val="center"/>
                    <w:rPr>
                      <w:bCs/>
                      <w:sz w:val="21"/>
                      <w:szCs w:val="21"/>
                    </w:rPr>
                  </w:pPr>
                  <w:r>
                    <w:rPr>
                      <w:rFonts w:hint="eastAsia"/>
                      <w:bCs/>
                      <w:sz w:val="21"/>
                      <w:szCs w:val="21"/>
                    </w:rPr>
                    <w:t>7</w:t>
                  </w:r>
                </w:p>
              </w:tc>
              <w:tc>
                <w:tcPr>
                  <w:tcW w:w="1129" w:type="pct"/>
                  <w:vAlign w:val="center"/>
                </w:tcPr>
                <w:p w14:paraId="6E268CD3">
                  <w:pPr>
                    <w:spacing w:line="276" w:lineRule="auto"/>
                    <w:jc w:val="center"/>
                    <w:rPr>
                      <w:bCs/>
                      <w:sz w:val="21"/>
                      <w:szCs w:val="21"/>
                    </w:rPr>
                  </w:pPr>
                  <w:r>
                    <w:rPr>
                      <w:rFonts w:hint="eastAsia"/>
                      <w:bCs/>
                      <w:sz w:val="21"/>
                      <w:szCs w:val="21"/>
                    </w:rPr>
                    <w:t>8.5米/6米/4.8/10.5/13.5</w:t>
                  </w:r>
                </w:p>
              </w:tc>
              <w:tc>
                <w:tcPr>
                  <w:tcW w:w="462" w:type="pct"/>
                  <w:vMerge w:val="continue"/>
                  <w:vAlign w:val="center"/>
                </w:tcPr>
                <w:p w14:paraId="666EAC22">
                  <w:pPr>
                    <w:spacing w:line="276" w:lineRule="auto"/>
                    <w:jc w:val="center"/>
                    <w:rPr>
                      <w:bCs/>
                      <w:sz w:val="21"/>
                      <w:szCs w:val="21"/>
                    </w:rPr>
                  </w:pPr>
                </w:p>
              </w:tc>
            </w:tr>
          </w:tbl>
          <w:p w14:paraId="062A58B9">
            <w:pPr>
              <w:spacing w:line="360" w:lineRule="auto"/>
              <w:ind w:firstLine="482" w:firstLineChars="200"/>
              <w:rPr>
                <w:b/>
              </w:rPr>
            </w:pPr>
            <w:r>
              <w:rPr>
                <w:rFonts w:hint="eastAsia"/>
                <w:b/>
              </w:rPr>
              <w:t>5</w:t>
            </w:r>
            <w:r>
              <w:rPr>
                <w:b/>
              </w:rPr>
              <w:t>、主要原辅料、能源消耗及原辅材料理化性质</w:t>
            </w:r>
          </w:p>
          <w:p w14:paraId="20E03E95">
            <w:pPr>
              <w:spacing w:line="360" w:lineRule="auto"/>
              <w:ind w:firstLine="480" w:firstLineChars="200"/>
              <w:rPr>
                <w:rFonts w:eastAsia="黑体"/>
              </w:rPr>
            </w:pPr>
            <w:r>
              <w:t>项目主要原辅材料及能源消耗见下表：</w:t>
            </w:r>
          </w:p>
          <w:p w14:paraId="0FA1530E">
            <w:pPr>
              <w:spacing w:line="360" w:lineRule="auto"/>
              <w:jc w:val="center"/>
              <w:rPr>
                <w:rFonts w:eastAsia="黑体"/>
                <w:highlight w:val="yellow"/>
              </w:rPr>
            </w:pPr>
            <w:r>
              <w:rPr>
                <w:rFonts w:eastAsia="黑体"/>
              </w:rPr>
              <w:t>表</w:t>
            </w:r>
            <w:r>
              <w:rPr>
                <w:rFonts w:hint="eastAsia" w:eastAsia="黑体"/>
              </w:rPr>
              <w:t>2-5</w:t>
            </w:r>
            <w:r>
              <w:rPr>
                <w:rFonts w:eastAsia="黑体"/>
              </w:rPr>
              <w:t xml:space="preserve"> 项目主要原辅材料及能源用量一览表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79"/>
              <w:gridCol w:w="981"/>
              <w:gridCol w:w="1104"/>
              <w:gridCol w:w="724"/>
              <w:gridCol w:w="1040"/>
              <w:gridCol w:w="900"/>
              <w:gridCol w:w="1192"/>
              <w:gridCol w:w="787"/>
              <w:gridCol w:w="665"/>
            </w:tblGrid>
            <w:tr w14:paraId="2BB434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26B003F5">
                  <w:pPr>
                    <w:spacing w:line="276" w:lineRule="auto"/>
                    <w:jc w:val="center"/>
                    <w:rPr>
                      <w:b/>
                      <w:sz w:val="21"/>
                      <w:szCs w:val="21"/>
                    </w:rPr>
                  </w:pPr>
                  <w:r>
                    <w:rPr>
                      <w:b/>
                      <w:sz w:val="21"/>
                      <w:szCs w:val="21"/>
                    </w:rPr>
                    <w:t>序号</w:t>
                  </w:r>
                </w:p>
              </w:tc>
              <w:tc>
                <w:tcPr>
                  <w:tcW w:w="631" w:type="pct"/>
                  <w:vAlign w:val="center"/>
                </w:tcPr>
                <w:p w14:paraId="09CB0D6E">
                  <w:pPr>
                    <w:spacing w:line="276" w:lineRule="auto"/>
                    <w:jc w:val="center"/>
                    <w:rPr>
                      <w:b/>
                      <w:sz w:val="21"/>
                      <w:szCs w:val="21"/>
                    </w:rPr>
                  </w:pPr>
                  <w:r>
                    <w:rPr>
                      <w:b/>
                      <w:sz w:val="21"/>
                      <w:szCs w:val="21"/>
                    </w:rPr>
                    <w:t>名称</w:t>
                  </w:r>
                </w:p>
              </w:tc>
              <w:tc>
                <w:tcPr>
                  <w:tcW w:w="710" w:type="pct"/>
                  <w:vAlign w:val="center"/>
                </w:tcPr>
                <w:p w14:paraId="75B0AED7">
                  <w:pPr>
                    <w:spacing w:line="276" w:lineRule="auto"/>
                    <w:jc w:val="center"/>
                    <w:rPr>
                      <w:b/>
                      <w:sz w:val="21"/>
                      <w:szCs w:val="21"/>
                    </w:rPr>
                  </w:pPr>
                  <w:r>
                    <w:rPr>
                      <w:b/>
                      <w:sz w:val="21"/>
                      <w:szCs w:val="21"/>
                    </w:rPr>
                    <w:t>消耗量</w:t>
                  </w:r>
                </w:p>
              </w:tc>
              <w:tc>
                <w:tcPr>
                  <w:tcW w:w="466" w:type="pct"/>
                  <w:vAlign w:val="center"/>
                </w:tcPr>
                <w:p w14:paraId="6280770F">
                  <w:pPr>
                    <w:spacing w:line="276" w:lineRule="auto"/>
                    <w:jc w:val="center"/>
                    <w:rPr>
                      <w:b/>
                      <w:sz w:val="21"/>
                      <w:szCs w:val="21"/>
                    </w:rPr>
                  </w:pPr>
                  <w:r>
                    <w:rPr>
                      <w:b/>
                      <w:sz w:val="21"/>
                      <w:szCs w:val="21"/>
                    </w:rPr>
                    <w:t>储存量</w:t>
                  </w:r>
                </w:p>
              </w:tc>
              <w:tc>
                <w:tcPr>
                  <w:tcW w:w="667" w:type="pct"/>
                  <w:vAlign w:val="center"/>
                </w:tcPr>
                <w:p w14:paraId="33B658F6">
                  <w:pPr>
                    <w:spacing w:line="276" w:lineRule="auto"/>
                    <w:jc w:val="center"/>
                    <w:rPr>
                      <w:b/>
                      <w:sz w:val="21"/>
                      <w:szCs w:val="21"/>
                    </w:rPr>
                  </w:pPr>
                  <w:r>
                    <w:rPr>
                      <w:b/>
                      <w:sz w:val="21"/>
                      <w:szCs w:val="21"/>
                    </w:rPr>
                    <w:t>储存位置</w:t>
                  </w:r>
                </w:p>
              </w:tc>
              <w:tc>
                <w:tcPr>
                  <w:tcW w:w="579" w:type="pct"/>
                  <w:vAlign w:val="center"/>
                </w:tcPr>
                <w:p w14:paraId="1B04965A">
                  <w:pPr>
                    <w:spacing w:line="276" w:lineRule="auto"/>
                    <w:jc w:val="center"/>
                    <w:rPr>
                      <w:b/>
                      <w:sz w:val="21"/>
                      <w:szCs w:val="21"/>
                    </w:rPr>
                  </w:pPr>
                  <w:r>
                    <w:rPr>
                      <w:b/>
                      <w:sz w:val="21"/>
                      <w:szCs w:val="21"/>
                    </w:rPr>
                    <w:t>性状</w:t>
                  </w:r>
                </w:p>
              </w:tc>
              <w:tc>
                <w:tcPr>
                  <w:tcW w:w="767" w:type="pct"/>
                  <w:vAlign w:val="center"/>
                </w:tcPr>
                <w:p w14:paraId="37DED68A">
                  <w:pPr>
                    <w:spacing w:line="276" w:lineRule="auto"/>
                    <w:jc w:val="center"/>
                    <w:rPr>
                      <w:b/>
                      <w:sz w:val="21"/>
                      <w:szCs w:val="21"/>
                    </w:rPr>
                  </w:pPr>
                  <w:r>
                    <w:rPr>
                      <w:b/>
                      <w:sz w:val="21"/>
                      <w:szCs w:val="21"/>
                    </w:rPr>
                    <w:t>包装方式</w:t>
                  </w:r>
                </w:p>
              </w:tc>
              <w:tc>
                <w:tcPr>
                  <w:tcW w:w="506" w:type="pct"/>
                  <w:vAlign w:val="center"/>
                </w:tcPr>
                <w:p w14:paraId="20BA3E6F">
                  <w:pPr>
                    <w:spacing w:line="276" w:lineRule="auto"/>
                    <w:jc w:val="center"/>
                    <w:rPr>
                      <w:b/>
                      <w:sz w:val="21"/>
                      <w:szCs w:val="21"/>
                    </w:rPr>
                  </w:pPr>
                  <w:r>
                    <w:rPr>
                      <w:rFonts w:hint="eastAsia"/>
                      <w:b/>
                      <w:sz w:val="21"/>
                      <w:szCs w:val="21"/>
                    </w:rPr>
                    <w:t>用途</w:t>
                  </w:r>
                </w:p>
              </w:tc>
              <w:tc>
                <w:tcPr>
                  <w:tcW w:w="426" w:type="pct"/>
                  <w:vAlign w:val="center"/>
                </w:tcPr>
                <w:p w14:paraId="493EBB6F">
                  <w:pPr>
                    <w:spacing w:line="276" w:lineRule="auto"/>
                    <w:jc w:val="center"/>
                    <w:rPr>
                      <w:b/>
                      <w:sz w:val="21"/>
                      <w:szCs w:val="21"/>
                    </w:rPr>
                  </w:pPr>
                  <w:r>
                    <w:rPr>
                      <w:b/>
                      <w:sz w:val="21"/>
                      <w:szCs w:val="21"/>
                    </w:rPr>
                    <w:t>来源</w:t>
                  </w:r>
                </w:p>
              </w:tc>
            </w:tr>
            <w:tr w14:paraId="2D0D9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9"/>
                  <w:vAlign w:val="center"/>
                </w:tcPr>
                <w:p w14:paraId="722B9CBD">
                  <w:pPr>
                    <w:spacing w:line="276" w:lineRule="auto"/>
                    <w:jc w:val="center"/>
                    <w:rPr>
                      <w:b/>
                      <w:sz w:val="21"/>
                      <w:szCs w:val="21"/>
                    </w:rPr>
                  </w:pPr>
                  <w:r>
                    <w:rPr>
                      <w:b/>
                      <w:sz w:val="21"/>
                      <w:szCs w:val="21"/>
                    </w:rPr>
                    <w:t>原辅料消耗</w:t>
                  </w:r>
                </w:p>
              </w:tc>
            </w:tr>
            <w:tr w14:paraId="33E55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51412327">
                  <w:pPr>
                    <w:spacing w:line="276" w:lineRule="auto"/>
                    <w:jc w:val="center"/>
                    <w:rPr>
                      <w:sz w:val="21"/>
                      <w:szCs w:val="21"/>
                    </w:rPr>
                  </w:pPr>
                  <w:r>
                    <w:rPr>
                      <w:rFonts w:hint="eastAsia"/>
                      <w:sz w:val="21"/>
                      <w:szCs w:val="21"/>
                    </w:rPr>
                    <w:t>1</w:t>
                  </w:r>
                </w:p>
              </w:tc>
              <w:tc>
                <w:tcPr>
                  <w:tcW w:w="631" w:type="pct"/>
                  <w:vAlign w:val="center"/>
                </w:tcPr>
                <w:p w14:paraId="44ADD14E">
                  <w:pPr>
                    <w:spacing w:line="276" w:lineRule="auto"/>
                    <w:jc w:val="center"/>
                    <w:rPr>
                      <w:sz w:val="21"/>
                      <w:szCs w:val="21"/>
                    </w:rPr>
                  </w:pPr>
                  <w:r>
                    <w:rPr>
                      <w:rFonts w:hint="eastAsia"/>
                      <w:sz w:val="21"/>
                      <w:szCs w:val="21"/>
                    </w:rPr>
                    <w:t>衬套芯子</w:t>
                  </w:r>
                </w:p>
              </w:tc>
              <w:tc>
                <w:tcPr>
                  <w:tcW w:w="710" w:type="pct"/>
                  <w:vAlign w:val="center"/>
                </w:tcPr>
                <w:p w14:paraId="69FFB195">
                  <w:pPr>
                    <w:spacing w:line="276" w:lineRule="auto"/>
                    <w:jc w:val="center"/>
                    <w:rPr>
                      <w:sz w:val="21"/>
                      <w:szCs w:val="21"/>
                    </w:rPr>
                  </w:pPr>
                  <w:r>
                    <w:rPr>
                      <w:rFonts w:hint="eastAsia"/>
                      <w:sz w:val="21"/>
                      <w:szCs w:val="21"/>
                    </w:rPr>
                    <w:t>300万只/a</w:t>
                  </w:r>
                </w:p>
              </w:tc>
              <w:tc>
                <w:tcPr>
                  <w:tcW w:w="466" w:type="pct"/>
                  <w:vAlign w:val="center"/>
                </w:tcPr>
                <w:p w14:paraId="68FBDE15">
                  <w:pPr>
                    <w:spacing w:line="276" w:lineRule="auto"/>
                    <w:jc w:val="center"/>
                    <w:rPr>
                      <w:sz w:val="21"/>
                      <w:szCs w:val="21"/>
                    </w:rPr>
                  </w:pPr>
                  <w:r>
                    <w:rPr>
                      <w:rFonts w:hint="eastAsia"/>
                      <w:sz w:val="21"/>
                      <w:szCs w:val="21"/>
                    </w:rPr>
                    <w:t>30万只</w:t>
                  </w:r>
                </w:p>
              </w:tc>
              <w:tc>
                <w:tcPr>
                  <w:tcW w:w="667" w:type="pct"/>
                  <w:vAlign w:val="center"/>
                </w:tcPr>
                <w:p w14:paraId="1BD8BF3B">
                  <w:pPr>
                    <w:spacing w:line="276" w:lineRule="auto"/>
                    <w:jc w:val="center"/>
                    <w:rPr>
                      <w:sz w:val="21"/>
                      <w:szCs w:val="21"/>
                    </w:rPr>
                  </w:pPr>
                  <w:r>
                    <w:rPr>
                      <w:rFonts w:hint="eastAsia"/>
                      <w:sz w:val="21"/>
                      <w:szCs w:val="21"/>
                    </w:rPr>
                    <w:t>硫化配件区</w:t>
                  </w:r>
                </w:p>
              </w:tc>
              <w:tc>
                <w:tcPr>
                  <w:tcW w:w="579" w:type="pct"/>
                  <w:vAlign w:val="center"/>
                </w:tcPr>
                <w:p w14:paraId="7822854B">
                  <w:pPr>
                    <w:spacing w:line="276" w:lineRule="auto"/>
                    <w:jc w:val="center"/>
                    <w:rPr>
                      <w:sz w:val="21"/>
                      <w:szCs w:val="21"/>
                    </w:rPr>
                  </w:pPr>
                  <w:r>
                    <w:rPr>
                      <w:rFonts w:hint="eastAsia"/>
                      <w:sz w:val="21"/>
                      <w:szCs w:val="21"/>
                    </w:rPr>
                    <w:t>固体</w:t>
                  </w:r>
                </w:p>
              </w:tc>
              <w:tc>
                <w:tcPr>
                  <w:tcW w:w="767" w:type="pct"/>
                  <w:vAlign w:val="center"/>
                </w:tcPr>
                <w:p w14:paraId="145068EB">
                  <w:pPr>
                    <w:spacing w:line="276" w:lineRule="auto"/>
                    <w:jc w:val="center"/>
                    <w:rPr>
                      <w:sz w:val="21"/>
                      <w:szCs w:val="21"/>
                    </w:rPr>
                  </w:pPr>
                  <w:r>
                    <w:rPr>
                      <w:rFonts w:hint="eastAsia"/>
                      <w:sz w:val="21"/>
                      <w:szCs w:val="21"/>
                    </w:rPr>
                    <w:t>/</w:t>
                  </w:r>
                </w:p>
              </w:tc>
              <w:tc>
                <w:tcPr>
                  <w:tcW w:w="506" w:type="pct"/>
                  <w:vAlign w:val="center"/>
                </w:tcPr>
                <w:p w14:paraId="0B1EFA0E">
                  <w:pPr>
                    <w:spacing w:line="276" w:lineRule="auto"/>
                    <w:jc w:val="center"/>
                    <w:rPr>
                      <w:sz w:val="21"/>
                      <w:szCs w:val="21"/>
                    </w:rPr>
                  </w:pPr>
                  <w:r>
                    <w:rPr>
                      <w:rFonts w:hint="eastAsia"/>
                      <w:sz w:val="21"/>
                      <w:szCs w:val="21"/>
                    </w:rPr>
                    <w:t>/</w:t>
                  </w:r>
                </w:p>
              </w:tc>
              <w:tc>
                <w:tcPr>
                  <w:tcW w:w="426" w:type="pct"/>
                  <w:vMerge w:val="restart"/>
                  <w:vAlign w:val="center"/>
                </w:tcPr>
                <w:p w14:paraId="2B016A3B">
                  <w:pPr>
                    <w:spacing w:line="276" w:lineRule="auto"/>
                    <w:jc w:val="center"/>
                    <w:rPr>
                      <w:sz w:val="21"/>
                      <w:szCs w:val="21"/>
                    </w:rPr>
                  </w:pPr>
                  <w:r>
                    <w:rPr>
                      <w:rFonts w:hint="eastAsia"/>
                      <w:sz w:val="21"/>
                      <w:szCs w:val="21"/>
                    </w:rPr>
                    <w:t>外购</w:t>
                  </w:r>
                </w:p>
              </w:tc>
            </w:tr>
            <w:tr w14:paraId="6AB25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60A0C861">
                  <w:pPr>
                    <w:spacing w:line="276" w:lineRule="auto"/>
                    <w:jc w:val="center"/>
                    <w:rPr>
                      <w:sz w:val="21"/>
                      <w:szCs w:val="21"/>
                    </w:rPr>
                  </w:pPr>
                  <w:r>
                    <w:rPr>
                      <w:rFonts w:hint="eastAsia"/>
                      <w:sz w:val="21"/>
                      <w:szCs w:val="21"/>
                    </w:rPr>
                    <w:t>2</w:t>
                  </w:r>
                </w:p>
              </w:tc>
              <w:tc>
                <w:tcPr>
                  <w:tcW w:w="631" w:type="pct"/>
                  <w:vAlign w:val="center"/>
                </w:tcPr>
                <w:p w14:paraId="360E13FD">
                  <w:pPr>
                    <w:spacing w:line="276" w:lineRule="auto"/>
                    <w:jc w:val="center"/>
                    <w:rPr>
                      <w:sz w:val="21"/>
                      <w:szCs w:val="21"/>
                    </w:rPr>
                  </w:pPr>
                  <w:r>
                    <w:rPr>
                      <w:rFonts w:hint="eastAsia"/>
                      <w:sz w:val="21"/>
                      <w:szCs w:val="21"/>
                    </w:rPr>
                    <w:t>衬套外管</w:t>
                  </w:r>
                </w:p>
              </w:tc>
              <w:tc>
                <w:tcPr>
                  <w:tcW w:w="710" w:type="pct"/>
                  <w:vAlign w:val="center"/>
                </w:tcPr>
                <w:p w14:paraId="3622A892">
                  <w:pPr>
                    <w:spacing w:line="276" w:lineRule="auto"/>
                    <w:jc w:val="center"/>
                    <w:rPr>
                      <w:sz w:val="21"/>
                      <w:szCs w:val="21"/>
                    </w:rPr>
                  </w:pPr>
                  <w:r>
                    <w:rPr>
                      <w:rFonts w:hint="eastAsia"/>
                      <w:sz w:val="21"/>
                      <w:szCs w:val="21"/>
                    </w:rPr>
                    <w:t>300万只/a</w:t>
                  </w:r>
                </w:p>
              </w:tc>
              <w:tc>
                <w:tcPr>
                  <w:tcW w:w="466" w:type="pct"/>
                  <w:vAlign w:val="center"/>
                </w:tcPr>
                <w:p w14:paraId="2EEEB2B9">
                  <w:pPr>
                    <w:spacing w:line="276" w:lineRule="auto"/>
                    <w:jc w:val="center"/>
                    <w:rPr>
                      <w:sz w:val="21"/>
                      <w:szCs w:val="21"/>
                    </w:rPr>
                  </w:pPr>
                  <w:r>
                    <w:rPr>
                      <w:rFonts w:hint="eastAsia"/>
                      <w:sz w:val="21"/>
                      <w:szCs w:val="21"/>
                    </w:rPr>
                    <w:t>30万只</w:t>
                  </w:r>
                </w:p>
              </w:tc>
              <w:tc>
                <w:tcPr>
                  <w:tcW w:w="667" w:type="pct"/>
                  <w:vAlign w:val="center"/>
                </w:tcPr>
                <w:p w14:paraId="35A63DFB">
                  <w:pPr>
                    <w:spacing w:line="276" w:lineRule="auto"/>
                    <w:jc w:val="center"/>
                    <w:rPr>
                      <w:sz w:val="21"/>
                      <w:szCs w:val="21"/>
                    </w:rPr>
                  </w:pPr>
                  <w:r>
                    <w:rPr>
                      <w:rFonts w:hint="eastAsia"/>
                      <w:sz w:val="21"/>
                      <w:szCs w:val="21"/>
                    </w:rPr>
                    <w:t>硫化配件区</w:t>
                  </w:r>
                </w:p>
              </w:tc>
              <w:tc>
                <w:tcPr>
                  <w:tcW w:w="579" w:type="pct"/>
                  <w:vAlign w:val="center"/>
                </w:tcPr>
                <w:p w14:paraId="18D29804">
                  <w:pPr>
                    <w:spacing w:line="276" w:lineRule="auto"/>
                    <w:jc w:val="center"/>
                    <w:rPr>
                      <w:sz w:val="21"/>
                      <w:szCs w:val="21"/>
                    </w:rPr>
                  </w:pPr>
                  <w:r>
                    <w:rPr>
                      <w:rFonts w:hint="eastAsia"/>
                      <w:sz w:val="21"/>
                      <w:szCs w:val="21"/>
                    </w:rPr>
                    <w:t>固体</w:t>
                  </w:r>
                </w:p>
              </w:tc>
              <w:tc>
                <w:tcPr>
                  <w:tcW w:w="767" w:type="pct"/>
                  <w:vAlign w:val="center"/>
                </w:tcPr>
                <w:p w14:paraId="1EEF722E">
                  <w:pPr>
                    <w:spacing w:line="276" w:lineRule="auto"/>
                    <w:jc w:val="center"/>
                    <w:rPr>
                      <w:sz w:val="21"/>
                      <w:szCs w:val="21"/>
                    </w:rPr>
                  </w:pPr>
                  <w:r>
                    <w:rPr>
                      <w:rFonts w:hint="eastAsia"/>
                      <w:sz w:val="21"/>
                      <w:szCs w:val="21"/>
                    </w:rPr>
                    <w:t>/</w:t>
                  </w:r>
                </w:p>
              </w:tc>
              <w:tc>
                <w:tcPr>
                  <w:tcW w:w="506" w:type="pct"/>
                  <w:vAlign w:val="center"/>
                </w:tcPr>
                <w:p w14:paraId="0FD3BB43">
                  <w:pPr>
                    <w:spacing w:line="276" w:lineRule="auto"/>
                    <w:jc w:val="center"/>
                    <w:rPr>
                      <w:sz w:val="21"/>
                      <w:szCs w:val="21"/>
                    </w:rPr>
                  </w:pPr>
                  <w:r>
                    <w:rPr>
                      <w:rFonts w:hint="eastAsia"/>
                      <w:sz w:val="21"/>
                      <w:szCs w:val="21"/>
                    </w:rPr>
                    <w:t>/</w:t>
                  </w:r>
                </w:p>
              </w:tc>
              <w:tc>
                <w:tcPr>
                  <w:tcW w:w="426" w:type="pct"/>
                  <w:vMerge w:val="continue"/>
                  <w:vAlign w:val="center"/>
                </w:tcPr>
                <w:p w14:paraId="0E717967">
                  <w:pPr>
                    <w:spacing w:line="276" w:lineRule="auto"/>
                    <w:jc w:val="center"/>
                    <w:rPr>
                      <w:sz w:val="21"/>
                      <w:szCs w:val="21"/>
                    </w:rPr>
                  </w:pPr>
                </w:p>
              </w:tc>
            </w:tr>
            <w:tr w14:paraId="716C4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3A9A4C4D">
                  <w:pPr>
                    <w:spacing w:line="276" w:lineRule="auto"/>
                    <w:jc w:val="center"/>
                    <w:rPr>
                      <w:sz w:val="21"/>
                      <w:szCs w:val="21"/>
                    </w:rPr>
                  </w:pPr>
                  <w:r>
                    <w:rPr>
                      <w:rFonts w:hint="eastAsia"/>
                      <w:sz w:val="21"/>
                      <w:szCs w:val="21"/>
                    </w:rPr>
                    <w:t>3</w:t>
                  </w:r>
                </w:p>
              </w:tc>
              <w:tc>
                <w:tcPr>
                  <w:tcW w:w="631" w:type="pct"/>
                  <w:vAlign w:val="center"/>
                </w:tcPr>
                <w:p w14:paraId="053B84F3">
                  <w:pPr>
                    <w:spacing w:line="276" w:lineRule="auto"/>
                    <w:jc w:val="center"/>
                    <w:rPr>
                      <w:sz w:val="21"/>
                      <w:szCs w:val="21"/>
                    </w:rPr>
                  </w:pPr>
                  <w:r>
                    <w:rPr>
                      <w:rFonts w:hint="eastAsia"/>
                      <w:sz w:val="21"/>
                      <w:szCs w:val="21"/>
                    </w:rPr>
                    <w:t>外购零部件</w:t>
                  </w:r>
                </w:p>
              </w:tc>
              <w:tc>
                <w:tcPr>
                  <w:tcW w:w="710" w:type="pct"/>
                  <w:vAlign w:val="center"/>
                </w:tcPr>
                <w:p w14:paraId="4C3B3BF5">
                  <w:pPr>
                    <w:spacing w:line="276" w:lineRule="auto"/>
                    <w:jc w:val="center"/>
                    <w:rPr>
                      <w:sz w:val="21"/>
                      <w:szCs w:val="21"/>
                    </w:rPr>
                  </w:pPr>
                  <w:r>
                    <w:rPr>
                      <w:rFonts w:hint="eastAsia"/>
                      <w:sz w:val="21"/>
                      <w:szCs w:val="21"/>
                    </w:rPr>
                    <w:t>116万个/a</w:t>
                  </w:r>
                </w:p>
              </w:tc>
              <w:tc>
                <w:tcPr>
                  <w:tcW w:w="466" w:type="pct"/>
                  <w:vAlign w:val="center"/>
                </w:tcPr>
                <w:p w14:paraId="3C1B7118">
                  <w:pPr>
                    <w:spacing w:line="276" w:lineRule="auto"/>
                    <w:jc w:val="center"/>
                    <w:rPr>
                      <w:sz w:val="21"/>
                      <w:szCs w:val="21"/>
                    </w:rPr>
                  </w:pPr>
                  <w:r>
                    <w:rPr>
                      <w:rFonts w:hint="eastAsia"/>
                      <w:sz w:val="21"/>
                      <w:szCs w:val="21"/>
                    </w:rPr>
                    <w:t>12万只</w:t>
                  </w:r>
                </w:p>
              </w:tc>
              <w:tc>
                <w:tcPr>
                  <w:tcW w:w="667" w:type="pct"/>
                  <w:vAlign w:val="center"/>
                </w:tcPr>
                <w:p w14:paraId="50C66E93">
                  <w:pPr>
                    <w:spacing w:line="276" w:lineRule="auto"/>
                    <w:jc w:val="center"/>
                    <w:rPr>
                      <w:sz w:val="21"/>
                      <w:szCs w:val="21"/>
                    </w:rPr>
                  </w:pPr>
                  <w:r>
                    <w:rPr>
                      <w:rFonts w:hint="eastAsia"/>
                      <w:sz w:val="21"/>
                      <w:szCs w:val="21"/>
                    </w:rPr>
                    <w:t>焊接区</w:t>
                  </w:r>
                </w:p>
              </w:tc>
              <w:tc>
                <w:tcPr>
                  <w:tcW w:w="579" w:type="pct"/>
                  <w:vAlign w:val="center"/>
                </w:tcPr>
                <w:p w14:paraId="24C25955">
                  <w:pPr>
                    <w:spacing w:line="276" w:lineRule="auto"/>
                    <w:jc w:val="center"/>
                    <w:rPr>
                      <w:sz w:val="21"/>
                      <w:szCs w:val="21"/>
                    </w:rPr>
                  </w:pPr>
                  <w:r>
                    <w:rPr>
                      <w:rFonts w:hint="eastAsia"/>
                      <w:sz w:val="21"/>
                      <w:szCs w:val="21"/>
                    </w:rPr>
                    <w:t>固体</w:t>
                  </w:r>
                </w:p>
              </w:tc>
              <w:tc>
                <w:tcPr>
                  <w:tcW w:w="767" w:type="pct"/>
                  <w:vAlign w:val="center"/>
                </w:tcPr>
                <w:p w14:paraId="4A05340C">
                  <w:pPr>
                    <w:spacing w:line="276" w:lineRule="auto"/>
                    <w:jc w:val="center"/>
                    <w:rPr>
                      <w:sz w:val="21"/>
                      <w:szCs w:val="21"/>
                    </w:rPr>
                  </w:pPr>
                  <w:r>
                    <w:rPr>
                      <w:rFonts w:hint="eastAsia"/>
                      <w:sz w:val="21"/>
                      <w:szCs w:val="21"/>
                    </w:rPr>
                    <w:t>/</w:t>
                  </w:r>
                </w:p>
              </w:tc>
              <w:tc>
                <w:tcPr>
                  <w:tcW w:w="506" w:type="pct"/>
                  <w:vAlign w:val="center"/>
                </w:tcPr>
                <w:p w14:paraId="7D16CCF5">
                  <w:pPr>
                    <w:spacing w:line="276" w:lineRule="auto"/>
                    <w:jc w:val="center"/>
                    <w:rPr>
                      <w:sz w:val="21"/>
                      <w:szCs w:val="21"/>
                    </w:rPr>
                  </w:pPr>
                  <w:r>
                    <w:rPr>
                      <w:rFonts w:hint="eastAsia"/>
                      <w:sz w:val="21"/>
                      <w:szCs w:val="21"/>
                    </w:rPr>
                    <w:t>/</w:t>
                  </w:r>
                </w:p>
              </w:tc>
              <w:tc>
                <w:tcPr>
                  <w:tcW w:w="426" w:type="pct"/>
                  <w:vMerge w:val="continue"/>
                  <w:vAlign w:val="center"/>
                </w:tcPr>
                <w:p w14:paraId="2FB3D4CF">
                  <w:pPr>
                    <w:spacing w:line="276" w:lineRule="auto"/>
                    <w:jc w:val="center"/>
                    <w:rPr>
                      <w:sz w:val="21"/>
                      <w:szCs w:val="21"/>
                    </w:rPr>
                  </w:pPr>
                </w:p>
              </w:tc>
            </w:tr>
            <w:tr w14:paraId="1DF58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BB05A8E">
                  <w:pPr>
                    <w:spacing w:line="276" w:lineRule="auto"/>
                    <w:jc w:val="center"/>
                    <w:rPr>
                      <w:sz w:val="21"/>
                      <w:szCs w:val="21"/>
                    </w:rPr>
                  </w:pPr>
                  <w:r>
                    <w:rPr>
                      <w:rFonts w:hint="eastAsia"/>
                      <w:sz w:val="21"/>
                      <w:szCs w:val="21"/>
                    </w:rPr>
                    <w:t>4</w:t>
                  </w:r>
                </w:p>
              </w:tc>
              <w:tc>
                <w:tcPr>
                  <w:tcW w:w="631" w:type="pct"/>
                  <w:vAlign w:val="center"/>
                </w:tcPr>
                <w:p w14:paraId="62D18953">
                  <w:pPr>
                    <w:spacing w:line="276" w:lineRule="auto"/>
                    <w:jc w:val="center"/>
                    <w:rPr>
                      <w:sz w:val="21"/>
                      <w:szCs w:val="21"/>
                    </w:rPr>
                  </w:pPr>
                  <w:r>
                    <w:rPr>
                      <w:rFonts w:hint="eastAsia"/>
                      <w:sz w:val="21"/>
                      <w:szCs w:val="21"/>
                    </w:rPr>
                    <w:t>球头</w:t>
                  </w:r>
                </w:p>
              </w:tc>
              <w:tc>
                <w:tcPr>
                  <w:tcW w:w="710" w:type="pct"/>
                  <w:vAlign w:val="center"/>
                </w:tcPr>
                <w:p w14:paraId="2AF4486B">
                  <w:pPr>
                    <w:spacing w:line="276" w:lineRule="auto"/>
                    <w:jc w:val="center"/>
                    <w:rPr>
                      <w:sz w:val="21"/>
                      <w:szCs w:val="21"/>
                    </w:rPr>
                  </w:pPr>
                  <w:r>
                    <w:rPr>
                      <w:rFonts w:hint="eastAsia"/>
                      <w:sz w:val="21"/>
                      <w:szCs w:val="21"/>
                    </w:rPr>
                    <w:t>100万个/a</w:t>
                  </w:r>
                </w:p>
              </w:tc>
              <w:tc>
                <w:tcPr>
                  <w:tcW w:w="466" w:type="pct"/>
                  <w:vAlign w:val="center"/>
                </w:tcPr>
                <w:p w14:paraId="2FD17385">
                  <w:pPr>
                    <w:spacing w:line="276" w:lineRule="auto"/>
                    <w:jc w:val="center"/>
                    <w:rPr>
                      <w:sz w:val="21"/>
                      <w:szCs w:val="21"/>
                    </w:rPr>
                  </w:pPr>
                  <w:r>
                    <w:rPr>
                      <w:rFonts w:hint="eastAsia"/>
                      <w:sz w:val="21"/>
                      <w:szCs w:val="21"/>
                    </w:rPr>
                    <w:t>10万只</w:t>
                  </w:r>
                </w:p>
              </w:tc>
              <w:tc>
                <w:tcPr>
                  <w:tcW w:w="667" w:type="pct"/>
                  <w:vAlign w:val="center"/>
                </w:tcPr>
                <w:p w14:paraId="701FFFF7">
                  <w:pPr>
                    <w:spacing w:line="276" w:lineRule="auto"/>
                    <w:jc w:val="center"/>
                    <w:rPr>
                      <w:sz w:val="21"/>
                      <w:szCs w:val="21"/>
                    </w:rPr>
                  </w:pPr>
                  <w:r>
                    <w:rPr>
                      <w:rFonts w:hint="eastAsia"/>
                      <w:sz w:val="21"/>
                      <w:szCs w:val="21"/>
                    </w:rPr>
                    <w:t>装配区</w:t>
                  </w:r>
                </w:p>
              </w:tc>
              <w:tc>
                <w:tcPr>
                  <w:tcW w:w="579" w:type="pct"/>
                  <w:vAlign w:val="center"/>
                </w:tcPr>
                <w:p w14:paraId="0B8B6EA5">
                  <w:pPr>
                    <w:spacing w:line="276" w:lineRule="auto"/>
                    <w:jc w:val="center"/>
                    <w:rPr>
                      <w:sz w:val="21"/>
                      <w:szCs w:val="21"/>
                    </w:rPr>
                  </w:pPr>
                  <w:r>
                    <w:rPr>
                      <w:rFonts w:hint="eastAsia"/>
                      <w:sz w:val="21"/>
                      <w:szCs w:val="21"/>
                    </w:rPr>
                    <w:t>固体</w:t>
                  </w:r>
                </w:p>
              </w:tc>
              <w:tc>
                <w:tcPr>
                  <w:tcW w:w="767" w:type="pct"/>
                  <w:vAlign w:val="center"/>
                </w:tcPr>
                <w:p w14:paraId="3D38BB8F">
                  <w:pPr>
                    <w:spacing w:line="276" w:lineRule="auto"/>
                    <w:jc w:val="center"/>
                    <w:rPr>
                      <w:sz w:val="21"/>
                      <w:szCs w:val="21"/>
                    </w:rPr>
                  </w:pPr>
                  <w:r>
                    <w:rPr>
                      <w:rFonts w:hint="eastAsia"/>
                      <w:sz w:val="21"/>
                      <w:szCs w:val="21"/>
                    </w:rPr>
                    <w:t>/</w:t>
                  </w:r>
                </w:p>
              </w:tc>
              <w:tc>
                <w:tcPr>
                  <w:tcW w:w="506" w:type="pct"/>
                  <w:vAlign w:val="center"/>
                </w:tcPr>
                <w:p w14:paraId="1C6E6891">
                  <w:pPr>
                    <w:spacing w:line="276" w:lineRule="auto"/>
                    <w:jc w:val="center"/>
                    <w:rPr>
                      <w:sz w:val="21"/>
                      <w:szCs w:val="21"/>
                    </w:rPr>
                  </w:pPr>
                  <w:r>
                    <w:rPr>
                      <w:rFonts w:hint="eastAsia"/>
                      <w:sz w:val="21"/>
                      <w:szCs w:val="21"/>
                    </w:rPr>
                    <w:t>/</w:t>
                  </w:r>
                </w:p>
              </w:tc>
              <w:tc>
                <w:tcPr>
                  <w:tcW w:w="426" w:type="pct"/>
                  <w:vMerge w:val="continue"/>
                  <w:vAlign w:val="center"/>
                </w:tcPr>
                <w:p w14:paraId="4D911CDE">
                  <w:pPr>
                    <w:spacing w:line="276" w:lineRule="auto"/>
                    <w:jc w:val="center"/>
                    <w:rPr>
                      <w:sz w:val="21"/>
                      <w:szCs w:val="21"/>
                    </w:rPr>
                  </w:pPr>
                </w:p>
              </w:tc>
            </w:tr>
            <w:tr w14:paraId="4C32BA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4242A2D7">
                  <w:pPr>
                    <w:spacing w:line="276" w:lineRule="auto"/>
                    <w:jc w:val="center"/>
                    <w:rPr>
                      <w:sz w:val="21"/>
                      <w:szCs w:val="21"/>
                    </w:rPr>
                  </w:pPr>
                  <w:r>
                    <w:rPr>
                      <w:rFonts w:hint="eastAsia"/>
                      <w:sz w:val="21"/>
                      <w:szCs w:val="21"/>
                    </w:rPr>
                    <w:t>5</w:t>
                  </w:r>
                </w:p>
              </w:tc>
              <w:tc>
                <w:tcPr>
                  <w:tcW w:w="631" w:type="pct"/>
                  <w:vAlign w:val="center"/>
                </w:tcPr>
                <w:p w14:paraId="5AEE720C">
                  <w:pPr>
                    <w:spacing w:line="276" w:lineRule="auto"/>
                    <w:jc w:val="center"/>
                    <w:rPr>
                      <w:sz w:val="21"/>
                      <w:szCs w:val="21"/>
                    </w:rPr>
                  </w:pPr>
                  <w:r>
                    <w:rPr>
                      <w:rFonts w:hint="eastAsia"/>
                      <w:sz w:val="21"/>
                      <w:szCs w:val="21"/>
                    </w:rPr>
                    <w:t>钢板</w:t>
                  </w:r>
                </w:p>
              </w:tc>
              <w:tc>
                <w:tcPr>
                  <w:tcW w:w="710" w:type="pct"/>
                  <w:vAlign w:val="center"/>
                </w:tcPr>
                <w:p w14:paraId="00316DFD">
                  <w:pPr>
                    <w:spacing w:line="276" w:lineRule="auto"/>
                    <w:jc w:val="center"/>
                    <w:rPr>
                      <w:sz w:val="21"/>
                      <w:szCs w:val="21"/>
                    </w:rPr>
                  </w:pPr>
                  <w:r>
                    <w:rPr>
                      <w:rFonts w:hint="eastAsia"/>
                      <w:sz w:val="21"/>
                      <w:szCs w:val="21"/>
                    </w:rPr>
                    <w:t>5000t/a</w:t>
                  </w:r>
                </w:p>
              </w:tc>
              <w:tc>
                <w:tcPr>
                  <w:tcW w:w="466" w:type="pct"/>
                  <w:vAlign w:val="center"/>
                </w:tcPr>
                <w:p w14:paraId="03E226EC">
                  <w:pPr>
                    <w:spacing w:line="276" w:lineRule="auto"/>
                    <w:jc w:val="center"/>
                    <w:rPr>
                      <w:sz w:val="21"/>
                      <w:szCs w:val="21"/>
                    </w:rPr>
                  </w:pPr>
                  <w:r>
                    <w:rPr>
                      <w:rFonts w:hint="eastAsia"/>
                      <w:sz w:val="21"/>
                      <w:szCs w:val="21"/>
                    </w:rPr>
                    <w:t>500t</w:t>
                  </w:r>
                </w:p>
              </w:tc>
              <w:tc>
                <w:tcPr>
                  <w:tcW w:w="667" w:type="pct"/>
                  <w:vAlign w:val="center"/>
                </w:tcPr>
                <w:p w14:paraId="5296E428">
                  <w:pPr>
                    <w:spacing w:line="276" w:lineRule="auto"/>
                    <w:jc w:val="center"/>
                    <w:rPr>
                      <w:sz w:val="21"/>
                      <w:szCs w:val="21"/>
                    </w:rPr>
                  </w:pPr>
                  <w:r>
                    <w:rPr>
                      <w:rFonts w:hint="eastAsia"/>
                      <w:sz w:val="21"/>
                      <w:szCs w:val="21"/>
                    </w:rPr>
                    <w:t>原料区</w:t>
                  </w:r>
                </w:p>
              </w:tc>
              <w:tc>
                <w:tcPr>
                  <w:tcW w:w="579" w:type="pct"/>
                  <w:vAlign w:val="center"/>
                </w:tcPr>
                <w:p w14:paraId="7EFA4EDC">
                  <w:pPr>
                    <w:spacing w:line="276" w:lineRule="auto"/>
                    <w:jc w:val="center"/>
                    <w:rPr>
                      <w:sz w:val="21"/>
                      <w:szCs w:val="21"/>
                    </w:rPr>
                  </w:pPr>
                  <w:r>
                    <w:rPr>
                      <w:rFonts w:hint="eastAsia"/>
                      <w:sz w:val="21"/>
                      <w:szCs w:val="21"/>
                    </w:rPr>
                    <w:t>固体</w:t>
                  </w:r>
                </w:p>
              </w:tc>
              <w:tc>
                <w:tcPr>
                  <w:tcW w:w="767" w:type="pct"/>
                  <w:vAlign w:val="center"/>
                </w:tcPr>
                <w:p w14:paraId="7DB13049">
                  <w:pPr>
                    <w:spacing w:line="276" w:lineRule="auto"/>
                    <w:jc w:val="center"/>
                    <w:rPr>
                      <w:sz w:val="21"/>
                      <w:szCs w:val="21"/>
                    </w:rPr>
                  </w:pPr>
                  <w:r>
                    <w:rPr>
                      <w:rFonts w:hint="eastAsia"/>
                      <w:sz w:val="21"/>
                      <w:szCs w:val="21"/>
                    </w:rPr>
                    <w:t>/</w:t>
                  </w:r>
                </w:p>
              </w:tc>
              <w:tc>
                <w:tcPr>
                  <w:tcW w:w="506" w:type="pct"/>
                  <w:vAlign w:val="center"/>
                </w:tcPr>
                <w:p w14:paraId="7A99481C">
                  <w:pPr>
                    <w:spacing w:line="276" w:lineRule="auto"/>
                    <w:jc w:val="center"/>
                    <w:rPr>
                      <w:sz w:val="21"/>
                      <w:szCs w:val="21"/>
                    </w:rPr>
                  </w:pPr>
                  <w:r>
                    <w:rPr>
                      <w:rFonts w:hint="eastAsia"/>
                      <w:sz w:val="21"/>
                      <w:szCs w:val="21"/>
                    </w:rPr>
                    <w:t>/</w:t>
                  </w:r>
                </w:p>
              </w:tc>
              <w:tc>
                <w:tcPr>
                  <w:tcW w:w="426" w:type="pct"/>
                  <w:vMerge w:val="continue"/>
                  <w:vAlign w:val="center"/>
                </w:tcPr>
                <w:p w14:paraId="4A99EDE6">
                  <w:pPr>
                    <w:spacing w:line="276" w:lineRule="auto"/>
                    <w:jc w:val="center"/>
                    <w:rPr>
                      <w:sz w:val="21"/>
                      <w:szCs w:val="21"/>
                    </w:rPr>
                  </w:pPr>
                </w:p>
              </w:tc>
            </w:tr>
            <w:tr w14:paraId="5A8FB5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56CE352E">
                  <w:pPr>
                    <w:spacing w:line="276" w:lineRule="auto"/>
                    <w:jc w:val="center"/>
                    <w:rPr>
                      <w:sz w:val="21"/>
                      <w:szCs w:val="21"/>
                    </w:rPr>
                  </w:pPr>
                  <w:r>
                    <w:rPr>
                      <w:rFonts w:hint="eastAsia"/>
                      <w:sz w:val="21"/>
                      <w:szCs w:val="21"/>
                    </w:rPr>
                    <w:t>6</w:t>
                  </w:r>
                </w:p>
              </w:tc>
              <w:tc>
                <w:tcPr>
                  <w:tcW w:w="631" w:type="pct"/>
                  <w:vAlign w:val="center"/>
                </w:tcPr>
                <w:p w14:paraId="5016A4EB">
                  <w:pPr>
                    <w:spacing w:line="276" w:lineRule="auto"/>
                    <w:jc w:val="center"/>
                    <w:rPr>
                      <w:sz w:val="21"/>
                      <w:szCs w:val="21"/>
                    </w:rPr>
                  </w:pPr>
                  <w:r>
                    <w:rPr>
                      <w:rFonts w:hint="eastAsia"/>
                      <w:sz w:val="21"/>
                      <w:szCs w:val="21"/>
                    </w:rPr>
                    <w:t>无缝钢管</w:t>
                  </w:r>
                </w:p>
              </w:tc>
              <w:tc>
                <w:tcPr>
                  <w:tcW w:w="710" w:type="pct"/>
                  <w:vAlign w:val="center"/>
                </w:tcPr>
                <w:p w14:paraId="57F89A90">
                  <w:pPr>
                    <w:spacing w:line="276" w:lineRule="auto"/>
                    <w:jc w:val="center"/>
                    <w:rPr>
                      <w:sz w:val="21"/>
                      <w:szCs w:val="21"/>
                    </w:rPr>
                  </w:pPr>
                  <w:r>
                    <w:rPr>
                      <w:rFonts w:hint="eastAsia"/>
                      <w:sz w:val="21"/>
                      <w:szCs w:val="21"/>
                    </w:rPr>
                    <w:t>200t/a</w:t>
                  </w:r>
                </w:p>
              </w:tc>
              <w:tc>
                <w:tcPr>
                  <w:tcW w:w="466" w:type="pct"/>
                  <w:vAlign w:val="center"/>
                </w:tcPr>
                <w:p w14:paraId="516F2787">
                  <w:pPr>
                    <w:spacing w:line="276" w:lineRule="auto"/>
                    <w:jc w:val="center"/>
                    <w:rPr>
                      <w:sz w:val="21"/>
                      <w:szCs w:val="21"/>
                    </w:rPr>
                  </w:pPr>
                  <w:r>
                    <w:rPr>
                      <w:rFonts w:hint="eastAsia"/>
                      <w:sz w:val="21"/>
                      <w:szCs w:val="21"/>
                    </w:rPr>
                    <w:t>20t</w:t>
                  </w:r>
                </w:p>
              </w:tc>
              <w:tc>
                <w:tcPr>
                  <w:tcW w:w="667" w:type="pct"/>
                  <w:vAlign w:val="center"/>
                </w:tcPr>
                <w:p w14:paraId="5122E070">
                  <w:pPr>
                    <w:spacing w:line="276" w:lineRule="auto"/>
                    <w:jc w:val="center"/>
                    <w:rPr>
                      <w:sz w:val="21"/>
                      <w:szCs w:val="21"/>
                    </w:rPr>
                  </w:pPr>
                  <w:r>
                    <w:rPr>
                      <w:rFonts w:hint="eastAsia"/>
                      <w:sz w:val="21"/>
                      <w:szCs w:val="21"/>
                    </w:rPr>
                    <w:t>原料区</w:t>
                  </w:r>
                </w:p>
              </w:tc>
              <w:tc>
                <w:tcPr>
                  <w:tcW w:w="579" w:type="pct"/>
                  <w:vAlign w:val="center"/>
                </w:tcPr>
                <w:p w14:paraId="2062CBCC">
                  <w:pPr>
                    <w:spacing w:line="276" w:lineRule="auto"/>
                    <w:jc w:val="center"/>
                    <w:rPr>
                      <w:sz w:val="21"/>
                      <w:szCs w:val="21"/>
                    </w:rPr>
                  </w:pPr>
                  <w:r>
                    <w:rPr>
                      <w:rFonts w:hint="eastAsia"/>
                      <w:sz w:val="21"/>
                      <w:szCs w:val="21"/>
                    </w:rPr>
                    <w:t>固体</w:t>
                  </w:r>
                </w:p>
              </w:tc>
              <w:tc>
                <w:tcPr>
                  <w:tcW w:w="767" w:type="pct"/>
                  <w:vAlign w:val="center"/>
                </w:tcPr>
                <w:p w14:paraId="275EA1AD">
                  <w:pPr>
                    <w:spacing w:line="276" w:lineRule="auto"/>
                    <w:jc w:val="center"/>
                    <w:rPr>
                      <w:sz w:val="21"/>
                      <w:szCs w:val="21"/>
                    </w:rPr>
                  </w:pPr>
                  <w:r>
                    <w:rPr>
                      <w:rFonts w:hint="eastAsia"/>
                      <w:sz w:val="21"/>
                      <w:szCs w:val="21"/>
                    </w:rPr>
                    <w:t>/</w:t>
                  </w:r>
                </w:p>
              </w:tc>
              <w:tc>
                <w:tcPr>
                  <w:tcW w:w="506" w:type="pct"/>
                  <w:vAlign w:val="center"/>
                </w:tcPr>
                <w:p w14:paraId="0F190FB2">
                  <w:pPr>
                    <w:spacing w:line="276" w:lineRule="auto"/>
                    <w:jc w:val="center"/>
                    <w:rPr>
                      <w:sz w:val="21"/>
                      <w:szCs w:val="21"/>
                    </w:rPr>
                  </w:pPr>
                  <w:r>
                    <w:rPr>
                      <w:rFonts w:hint="eastAsia"/>
                      <w:sz w:val="21"/>
                      <w:szCs w:val="21"/>
                    </w:rPr>
                    <w:t>/</w:t>
                  </w:r>
                </w:p>
              </w:tc>
              <w:tc>
                <w:tcPr>
                  <w:tcW w:w="426" w:type="pct"/>
                  <w:vMerge w:val="continue"/>
                  <w:vAlign w:val="center"/>
                </w:tcPr>
                <w:p w14:paraId="427D80F6">
                  <w:pPr>
                    <w:spacing w:line="276" w:lineRule="auto"/>
                    <w:jc w:val="center"/>
                    <w:rPr>
                      <w:sz w:val="21"/>
                      <w:szCs w:val="21"/>
                    </w:rPr>
                  </w:pPr>
                </w:p>
              </w:tc>
            </w:tr>
            <w:tr w14:paraId="4FE5B2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F0B50D1">
                  <w:pPr>
                    <w:spacing w:line="276" w:lineRule="auto"/>
                    <w:jc w:val="center"/>
                    <w:rPr>
                      <w:sz w:val="21"/>
                      <w:szCs w:val="21"/>
                    </w:rPr>
                  </w:pPr>
                  <w:r>
                    <w:rPr>
                      <w:rFonts w:hint="eastAsia"/>
                      <w:sz w:val="21"/>
                      <w:szCs w:val="21"/>
                    </w:rPr>
                    <w:t>7</w:t>
                  </w:r>
                </w:p>
              </w:tc>
              <w:tc>
                <w:tcPr>
                  <w:tcW w:w="631" w:type="pct"/>
                  <w:vAlign w:val="center"/>
                </w:tcPr>
                <w:p w14:paraId="03F3330A">
                  <w:pPr>
                    <w:spacing w:line="276" w:lineRule="auto"/>
                    <w:jc w:val="center"/>
                    <w:rPr>
                      <w:sz w:val="21"/>
                      <w:szCs w:val="21"/>
                    </w:rPr>
                  </w:pPr>
                  <w:r>
                    <w:rPr>
                      <w:rFonts w:hint="eastAsia"/>
                      <w:sz w:val="21"/>
                      <w:szCs w:val="21"/>
                    </w:rPr>
                    <w:t>清洗剂</w:t>
                  </w:r>
                </w:p>
              </w:tc>
              <w:tc>
                <w:tcPr>
                  <w:tcW w:w="710" w:type="pct"/>
                  <w:vAlign w:val="center"/>
                </w:tcPr>
                <w:p w14:paraId="553AE255">
                  <w:pPr>
                    <w:spacing w:line="276" w:lineRule="auto"/>
                    <w:jc w:val="center"/>
                    <w:rPr>
                      <w:sz w:val="21"/>
                      <w:szCs w:val="21"/>
                    </w:rPr>
                  </w:pPr>
                  <w:r>
                    <w:rPr>
                      <w:rFonts w:hint="eastAsia"/>
                      <w:sz w:val="21"/>
                      <w:szCs w:val="21"/>
                      <w:lang w:val="en-US" w:eastAsia="zh-CN"/>
                    </w:rPr>
                    <w:t>18.2</w:t>
                  </w:r>
                  <w:r>
                    <w:rPr>
                      <w:rFonts w:hint="eastAsia"/>
                      <w:sz w:val="21"/>
                      <w:szCs w:val="21"/>
                    </w:rPr>
                    <w:t>t/a</w:t>
                  </w:r>
                </w:p>
              </w:tc>
              <w:tc>
                <w:tcPr>
                  <w:tcW w:w="466" w:type="pct"/>
                  <w:vAlign w:val="center"/>
                </w:tcPr>
                <w:p w14:paraId="172E9059">
                  <w:pPr>
                    <w:spacing w:line="276" w:lineRule="auto"/>
                    <w:jc w:val="center"/>
                    <w:rPr>
                      <w:sz w:val="21"/>
                      <w:szCs w:val="21"/>
                    </w:rPr>
                  </w:pPr>
                  <w:r>
                    <w:rPr>
                      <w:rFonts w:hint="eastAsia"/>
                      <w:sz w:val="21"/>
                      <w:szCs w:val="21"/>
                    </w:rPr>
                    <w:t>2t</w:t>
                  </w:r>
                </w:p>
              </w:tc>
              <w:tc>
                <w:tcPr>
                  <w:tcW w:w="667" w:type="pct"/>
                  <w:vAlign w:val="center"/>
                </w:tcPr>
                <w:p w14:paraId="12FDCDE8">
                  <w:pPr>
                    <w:spacing w:line="276" w:lineRule="auto"/>
                    <w:jc w:val="center"/>
                    <w:rPr>
                      <w:sz w:val="21"/>
                      <w:szCs w:val="21"/>
                    </w:rPr>
                  </w:pPr>
                  <w:r>
                    <w:rPr>
                      <w:rFonts w:hint="eastAsia"/>
                      <w:sz w:val="21"/>
                      <w:szCs w:val="21"/>
                    </w:rPr>
                    <w:t>清洗区</w:t>
                  </w:r>
                </w:p>
              </w:tc>
              <w:tc>
                <w:tcPr>
                  <w:tcW w:w="579" w:type="pct"/>
                  <w:vAlign w:val="center"/>
                </w:tcPr>
                <w:p w14:paraId="50AB65BE">
                  <w:pPr>
                    <w:spacing w:line="276" w:lineRule="auto"/>
                    <w:jc w:val="center"/>
                    <w:rPr>
                      <w:sz w:val="21"/>
                      <w:szCs w:val="21"/>
                    </w:rPr>
                  </w:pPr>
                  <w:r>
                    <w:rPr>
                      <w:rFonts w:hint="eastAsia"/>
                      <w:sz w:val="21"/>
                      <w:szCs w:val="21"/>
                    </w:rPr>
                    <w:t>液体</w:t>
                  </w:r>
                </w:p>
              </w:tc>
              <w:tc>
                <w:tcPr>
                  <w:tcW w:w="767" w:type="pct"/>
                  <w:vAlign w:val="center"/>
                </w:tcPr>
                <w:p w14:paraId="72870476">
                  <w:pPr>
                    <w:spacing w:line="276" w:lineRule="auto"/>
                    <w:jc w:val="center"/>
                    <w:rPr>
                      <w:sz w:val="21"/>
                      <w:szCs w:val="21"/>
                    </w:rPr>
                  </w:pPr>
                  <w:r>
                    <w:rPr>
                      <w:rFonts w:hint="eastAsia"/>
                      <w:sz w:val="21"/>
                      <w:szCs w:val="21"/>
                    </w:rPr>
                    <w:t>桶装250L</w:t>
                  </w:r>
                </w:p>
              </w:tc>
              <w:tc>
                <w:tcPr>
                  <w:tcW w:w="506" w:type="pct"/>
                  <w:vAlign w:val="center"/>
                </w:tcPr>
                <w:p w14:paraId="75ADAD06">
                  <w:pPr>
                    <w:spacing w:line="276" w:lineRule="auto"/>
                    <w:jc w:val="center"/>
                    <w:rPr>
                      <w:sz w:val="21"/>
                      <w:szCs w:val="21"/>
                    </w:rPr>
                  </w:pPr>
                  <w:r>
                    <w:rPr>
                      <w:rFonts w:hint="eastAsia"/>
                      <w:sz w:val="21"/>
                      <w:szCs w:val="21"/>
                    </w:rPr>
                    <w:t>清洗</w:t>
                  </w:r>
                </w:p>
              </w:tc>
              <w:tc>
                <w:tcPr>
                  <w:tcW w:w="426" w:type="pct"/>
                  <w:vMerge w:val="continue"/>
                  <w:vAlign w:val="center"/>
                </w:tcPr>
                <w:p w14:paraId="288B0F15">
                  <w:pPr>
                    <w:spacing w:line="276" w:lineRule="auto"/>
                    <w:jc w:val="center"/>
                    <w:rPr>
                      <w:sz w:val="21"/>
                      <w:szCs w:val="21"/>
                    </w:rPr>
                  </w:pPr>
                </w:p>
              </w:tc>
            </w:tr>
            <w:tr w14:paraId="5C5EEB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2B069215">
                  <w:pPr>
                    <w:spacing w:line="276" w:lineRule="auto"/>
                    <w:jc w:val="center"/>
                    <w:rPr>
                      <w:sz w:val="21"/>
                      <w:szCs w:val="21"/>
                    </w:rPr>
                  </w:pPr>
                  <w:r>
                    <w:rPr>
                      <w:rFonts w:hint="eastAsia"/>
                      <w:sz w:val="21"/>
                      <w:szCs w:val="21"/>
                    </w:rPr>
                    <w:t>8</w:t>
                  </w:r>
                </w:p>
              </w:tc>
              <w:tc>
                <w:tcPr>
                  <w:tcW w:w="631" w:type="pct"/>
                  <w:vAlign w:val="center"/>
                </w:tcPr>
                <w:p w14:paraId="12AB31A8">
                  <w:pPr>
                    <w:spacing w:line="276" w:lineRule="auto"/>
                    <w:jc w:val="center"/>
                    <w:rPr>
                      <w:sz w:val="21"/>
                      <w:szCs w:val="21"/>
                    </w:rPr>
                  </w:pPr>
                  <w:r>
                    <w:rPr>
                      <w:rFonts w:hint="eastAsia"/>
                      <w:sz w:val="21"/>
                      <w:szCs w:val="21"/>
                    </w:rPr>
                    <w:t>光亮剂</w:t>
                  </w:r>
                </w:p>
              </w:tc>
              <w:tc>
                <w:tcPr>
                  <w:tcW w:w="710" w:type="pct"/>
                  <w:vAlign w:val="center"/>
                </w:tcPr>
                <w:p w14:paraId="609E8B75">
                  <w:pPr>
                    <w:spacing w:line="276" w:lineRule="auto"/>
                    <w:jc w:val="center"/>
                    <w:rPr>
                      <w:sz w:val="21"/>
                      <w:szCs w:val="21"/>
                    </w:rPr>
                  </w:pPr>
                  <w:r>
                    <w:rPr>
                      <w:rFonts w:hint="eastAsia"/>
                      <w:sz w:val="21"/>
                      <w:szCs w:val="21"/>
                    </w:rPr>
                    <w:t>0.1t/a</w:t>
                  </w:r>
                </w:p>
              </w:tc>
              <w:tc>
                <w:tcPr>
                  <w:tcW w:w="466" w:type="pct"/>
                  <w:vAlign w:val="center"/>
                </w:tcPr>
                <w:p w14:paraId="6873494F">
                  <w:pPr>
                    <w:spacing w:line="276" w:lineRule="auto"/>
                    <w:jc w:val="center"/>
                    <w:rPr>
                      <w:sz w:val="21"/>
                      <w:szCs w:val="21"/>
                    </w:rPr>
                  </w:pPr>
                  <w:r>
                    <w:rPr>
                      <w:rFonts w:hint="eastAsia"/>
                      <w:sz w:val="21"/>
                      <w:szCs w:val="21"/>
                    </w:rPr>
                    <w:t>0.1t</w:t>
                  </w:r>
                </w:p>
              </w:tc>
              <w:tc>
                <w:tcPr>
                  <w:tcW w:w="667" w:type="pct"/>
                  <w:vAlign w:val="center"/>
                </w:tcPr>
                <w:p w14:paraId="6DB8F27D">
                  <w:pPr>
                    <w:spacing w:line="276" w:lineRule="auto"/>
                    <w:jc w:val="center"/>
                    <w:rPr>
                      <w:sz w:val="21"/>
                      <w:szCs w:val="21"/>
                    </w:rPr>
                  </w:pPr>
                  <w:r>
                    <w:rPr>
                      <w:rFonts w:hint="eastAsia"/>
                      <w:sz w:val="21"/>
                      <w:szCs w:val="21"/>
                    </w:rPr>
                    <w:t>抛丸区</w:t>
                  </w:r>
                </w:p>
              </w:tc>
              <w:tc>
                <w:tcPr>
                  <w:tcW w:w="579" w:type="pct"/>
                  <w:vAlign w:val="center"/>
                </w:tcPr>
                <w:p w14:paraId="1828F200">
                  <w:pPr>
                    <w:spacing w:line="276" w:lineRule="auto"/>
                    <w:jc w:val="center"/>
                    <w:rPr>
                      <w:sz w:val="21"/>
                      <w:szCs w:val="21"/>
                    </w:rPr>
                  </w:pPr>
                  <w:r>
                    <w:rPr>
                      <w:rFonts w:hint="eastAsia"/>
                      <w:sz w:val="21"/>
                      <w:szCs w:val="21"/>
                    </w:rPr>
                    <w:t>液体</w:t>
                  </w:r>
                </w:p>
              </w:tc>
              <w:tc>
                <w:tcPr>
                  <w:tcW w:w="767" w:type="pct"/>
                  <w:vAlign w:val="center"/>
                </w:tcPr>
                <w:p w14:paraId="76588D68">
                  <w:pPr>
                    <w:spacing w:line="276" w:lineRule="auto"/>
                    <w:jc w:val="center"/>
                    <w:rPr>
                      <w:sz w:val="21"/>
                      <w:szCs w:val="21"/>
                    </w:rPr>
                  </w:pPr>
                  <w:r>
                    <w:rPr>
                      <w:rFonts w:hint="eastAsia"/>
                      <w:sz w:val="21"/>
                      <w:szCs w:val="21"/>
                    </w:rPr>
                    <w:t>桶装10kg</w:t>
                  </w:r>
                </w:p>
              </w:tc>
              <w:tc>
                <w:tcPr>
                  <w:tcW w:w="506" w:type="pct"/>
                  <w:vAlign w:val="center"/>
                </w:tcPr>
                <w:p w14:paraId="3AF208D2">
                  <w:pPr>
                    <w:spacing w:line="276" w:lineRule="auto"/>
                    <w:jc w:val="center"/>
                    <w:rPr>
                      <w:sz w:val="21"/>
                      <w:szCs w:val="21"/>
                    </w:rPr>
                  </w:pPr>
                  <w:r>
                    <w:rPr>
                      <w:rFonts w:hint="eastAsia"/>
                      <w:sz w:val="21"/>
                      <w:szCs w:val="21"/>
                    </w:rPr>
                    <w:t>振光</w:t>
                  </w:r>
                </w:p>
              </w:tc>
              <w:tc>
                <w:tcPr>
                  <w:tcW w:w="426" w:type="pct"/>
                  <w:vMerge w:val="continue"/>
                  <w:vAlign w:val="center"/>
                </w:tcPr>
                <w:p w14:paraId="5CE2326D">
                  <w:pPr>
                    <w:spacing w:line="276" w:lineRule="auto"/>
                    <w:jc w:val="center"/>
                    <w:rPr>
                      <w:sz w:val="21"/>
                      <w:szCs w:val="21"/>
                    </w:rPr>
                  </w:pPr>
                </w:p>
              </w:tc>
            </w:tr>
            <w:tr w14:paraId="65BB4A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EB56906">
                  <w:pPr>
                    <w:spacing w:line="276" w:lineRule="auto"/>
                    <w:jc w:val="center"/>
                    <w:rPr>
                      <w:sz w:val="21"/>
                      <w:szCs w:val="21"/>
                    </w:rPr>
                  </w:pPr>
                  <w:r>
                    <w:rPr>
                      <w:rFonts w:hint="eastAsia"/>
                      <w:sz w:val="21"/>
                      <w:szCs w:val="21"/>
                    </w:rPr>
                    <w:t>9</w:t>
                  </w:r>
                </w:p>
              </w:tc>
              <w:tc>
                <w:tcPr>
                  <w:tcW w:w="631" w:type="pct"/>
                  <w:vAlign w:val="center"/>
                </w:tcPr>
                <w:p w14:paraId="15305B57">
                  <w:pPr>
                    <w:spacing w:line="276" w:lineRule="auto"/>
                    <w:jc w:val="center"/>
                    <w:rPr>
                      <w:sz w:val="21"/>
                      <w:szCs w:val="21"/>
                    </w:rPr>
                  </w:pPr>
                  <w:r>
                    <w:rPr>
                      <w:rFonts w:hint="eastAsia"/>
                      <w:sz w:val="21"/>
                      <w:szCs w:val="21"/>
                    </w:rPr>
                    <w:t>研磨石子</w:t>
                  </w:r>
                </w:p>
              </w:tc>
              <w:tc>
                <w:tcPr>
                  <w:tcW w:w="710" w:type="pct"/>
                  <w:vAlign w:val="center"/>
                </w:tcPr>
                <w:p w14:paraId="43D55169">
                  <w:pPr>
                    <w:spacing w:line="276" w:lineRule="auto"/>
                    <w:jc w:val="center"/>
                    <w:rPr>
                      <w:sz w:val="21"/>
                      <w:szCs w:val="21"/>
                    </w:rPr>
                  </w:pPr>
                  <w:r>
                    <w:rPr>
                      <w:rFonts w:hint="eastAsia"/>
                      <w:sz w:val="21"/>
                      <w:szCs w:val="21"/>
                    </w:rPr>
                    <w:t>1t/a</w:t>
                  </w:r>
                </w:p>
              </w:tc>
              <w:tc>
                <w:tcPr>
                  <w:tcW w:w="466" w:type="pct"/>
                  <w:vAlign w:val="center"/>
                </w:tcPr>
                <w:p w14:paraId="79649650">
                  <w:pPr>
                    <w:spacing w:line="276" w:lineRule="auto"/>
                    <w:jc w:val="center"/>
                    <w:rPr>
                      <w:sz w:val="21"/>
                      <w:szCs w:val="21"/>
                    </w:rPr>
                  </w:pPr>
                  <w:r>
                    <w:rPr>
                      <w:rFonts w:hint="eastAsia"/>
                      <w:sz w:val="21"/>
                      <w:szCs w:val="21"/>
                    </w:rPr>
                    <w:t>0.5t</w:t>
                  </w:r>
                </w:p>
              </w:tc>
              <w:tc>
                <w:tcPr>
                  <w:tcW w:w="667" w:type="pct"/>
                  <w:vAlign w:val="center"/>
                </w:tcPr>
                <w:p w14:paraId="76CDC481">
                  <w:pPr>
                    <w:spacing w:line="276" w:lineRule="auto"/>
                    <w:jc w:val="center"/>
                    <w:rPr>
                      <w:sz w:val="21"/>
                      <w:szCs w:val="21"/>
                    </w:rPr>
                  </w:pPr>
                  <w:r>
                    <w:rPr>
                      <w:rFonts w:hint="eastAsia"/>
                      <w:sz w:val="21"/>
                      <w:szCs w:val="21"/>
                    </w:rPr>
                    <w:t>抛丸区</w:t>
                  </w:r>
                </w:p>
              </w:tc>
              <w:tc>
                <w:tcPr>
                  <w:tcW w:w="579" w:type="pct"/>
                  <w:vAlign w:val="center"/>
                </w:tcPr>
                <w:p w14:paraId="059B003F">
                  <w:pPr>
                    <w:spacing w:line="276" w:lineRule="auto"/>
                    <w:jc w:val="center"/>
                    <w:rPr>
                      <w:sz w:val="21"/>
                      <w:szCs w:val="21"/>
                    </w:rPr>
                  </w:pPr>
                  <w:r>
                    <w:rPr>
                      <w:rFonts w:hint="eastAsia"/>
                      <w:sz w:val="21"/>
                      <w:szCs w:val="21"/>
                    </w:rPr>
                    <w:t>固体</w:t>
                  </w:r>
                </w:p>
              </w:tc>
              <w:tc>
                <w:tcPr>
                  <w:tcW w:w="767" w:type="pct"/>
                  <w:vAlign w:val="center"/>
                </w:tcPr>
                <w:p w14:paraId="6A582EC5">
                  <w:pPr>
                    <w:spacing w:line="276" w:lineRule="auto"/>
                    <w:jc w:val="center"/>
                    <w:rPr>
                      <w:sz w:val="21"/>
                      <w:szCs w:val="21"/>
                    </w:rPr>
                  </w:pPr>
                  <w:r>
                    <w:rPr>
                      <w:rFonts w:hint="eastAsia"/>
                      <w:sz w:val="21"/>
                      <w:szCs w:val="21"/>
                    </w:rPr>
                    <w:t>袋装25kg</w:t>
                  </w:r>
                </w:p>
              </w:tc>
              <w:tc>
                <w:tcPr>
                  <w:tcW w:w="506" w:type="pct"/>
                  <w:vAlign w:val="center"/>
                </w:tcPr>
                <w:p w14:paraId="7B842ACD">
                  <w:pPr>
                    <w:spacing w:line="276" w:lineRule="auto"/>
                    <w:jc w:val="center"/>
                    <w:rPr>
                      <w:sz w:val="21"/>
                      <w:szCs w:val="21"/>
                    </w:rPr>
                  </w:pPr>
                  <w:r>
                    <w:rPr>
                      <w:rFonts w:hint="eastAsia"/>
                      <w:sz w:val="21"/>
                      <w:szCs w:val="21"/>
                    </w:rPr>
                    <w:t>振光</w:t>
                  </w:r>
                </w:p>
              </w:tc>
              <w:tc>
                <w:tcPr>
                  <w:tcW w:w="426" w:type="pct"/>
                  <w:vMerge w:val="continue"/>
                  <w:vAlign w:val="center"/>
                </w:tcPr>
                <w:p w14:paraId="3863280E">
                  <w:pPr>
                    <w:spacing w:line="276" w:lineRule="auto"/>
                    <w:jc w:val="center"/>
                    <w:rPr>
                      <w:sz w:val="21"/>
                      <w:szCs w:val="21"/>
                    </w:rPr>
                  </w:pPr>
                </w:p>
              </w:tc>
            </w:tr>
            <w:tr w14:paraId="7F74D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57CD4F36">
                  <w:pPr>
                    <w:spacing w:line="276" w:lineRule="auto"/>
                    <w:jc w:val="center"/>
                    <w:rPr>
                      <w:sz w:val="21"/>
                      <w:szCs w:val="21"/>
                    </w:rPr>
                  </w:pPr>
                  <w:r>
                    <w:rPr>
                      <w:rFonts w:hint="eastAsia"/>
                      <w:sz w:val="21"/>
                      <w:szCs w:val="21"/>
                    </w:rPr>
                    <w:t>10</w:t>
                  </w:r>
                </w:p>
              </w:tc>
              <w:tc>
                <w:tcPr>
                  <w:tcW w:w="631" w:type="pct"/>
                  <w:vAlign w:val="center"/>
                </w:tcPr>
                <w:p w14:paraId="315BEF8E">
                  <w:pPr>
                    <w:spacing w:line="276" w:lineRule="auto"/>
                    <w:jc w:val="center"/>
                    <w:rPr>
                      <w:sz w:val="21"/>
                      <w:szCs w:val="21"/>
                    </w:rPr>
                  </w:pPr>
                  <w:r>
                    <w:rPr>
                      <w:rFonts w:hint="eastAsia"/>
                      <w:sz w:val="21"/>
                      <w:szCs w:val="21"/>
                    </w:rPr>
                    <w:t>钢丸</w:t>
                  </w:r>
                </w:p>
              </w:tc>
              <w:tc>
                <w:tcPr>
                  <w:tcW w:w="710" w:type="pct"/>
                  <w:vAlign w:val="center"/>
                </w:tcPr>
                <w:p w14:paraId="495B2B7F">
                  <w:pPr>
                    <w:spacing w:line="276" w:lineRule="auto"/>
                    <w:jc w:val="center"/>
                    <w:rPr>
                      <w:sz w:val="21"/>
                      <w:szCs w:val="21"/>
                    </w:rPr>
                  </w:pPr>
                  <w:r>
                    <w:rPr>
                      <w:rFonts w:hint="eastAsia"/>
                      <w:sz w:val="21"/>
                      <w:szCs w:val="21"/>
                    </w:rPr>
                    <w:t>10t/a</w:t>
                  </w:r>
                </w:p>
              </w:tc>
              <w:tc>
                <w:tcPr>
                  <w:tcW w:w="466" w:type="pct"/>
                  <w:vAlign w:val="center"/>
                </w:tcPr>
                <w:p w14:paraId="17A065A9">
                  <w:pPr>
                    <w:spacing w:line="276" w:lineRule="auto"/>
                    <w:jc w:val="center"/>
                    <w:rPr>
                      <w:sz w:val="21"/>
                      <w:szCs w:val="21"/>
                    </w:rPr>
                  </w:pPr>
                  <w:r>
                    <w:rPr>
                      <w:rFonts w:hint="eastAsia"/>
                      <w:sz w:val="21"/>
                      <w:szCs w:val="21"/>
                    </w:rPr>
                    <w:t>1t</w:t>
                  </w:r>
                </w:p>
              </w:tc>
              <w:tc>
                <w:tcPr>
                  <w:tcW w:w="667" w:type="pct"/>
                  <w:vAlign w:val="center"/>
                </w:tcPr>
                <w:p w14:paraId="1A8559F3">
                  <w:pPr>
                    <w:spacing w:line="276" w:lineRule="auto"/>
                    <w:jc w:val="center"/>
                    <w:rPr>
                      <w:sz w:val="21"/>
                      <w:szCs w:val="21"/>
                    </w:rPr>
                  </w:pPr>
                  <w:r>
                    <w:rPr>
                      <w:rFonts w:hint="eastAsia"/>
                      <w:sz w:val="21"/>
                      <w:szCs w:val="21"/>
                    </w:rPr>
                    <w:t>抛丸区</w:t>
                  </w:r>
                </w:p>
              </w:tc>
              <w:tc>
                <w:tcPr>
                  <w:tcW w:w="579" w:type="pct"/>
                  <w:vAlign w:val="center"/>
                </w:tcPr>
                <w:p w14:paraId="780F5D24">
                  <w:pPr>
                    <w:spacing w:line="276" w:lineRule="auto"/>
                    <w:jc w:val="center"/>
                    <w:rPr>
                      <w:sz w:val="21"/>
                      <w:szCs w:val="21"/>
                    </w:rPr>
                  </w:pPr>
                  <w:r>
                    <w:rPr>
                      <w:rFonts w:hint="eastAsia"/>
                      <w:sz w:val="21"/>
                      <w:szCs w:val="21"/>
                    </w:rPr>
                    <w:t>固体</w:t>
                  </w:r>
                </w:p>
              </w:tc>
              <w:tc>
                <w:tcPr>
                  <w:tcW w:w="767" w:type="pct"/>
                  <w:vAlign w:val="center"/>
                </w:tcPr>
                <w:p w14:paraId="71DD1818">
                  <w:pPr>
                    <w:spacing w:line="276" w:lineRule="auto"/>
                    <w:jc w:val="center"/>
                    <w:rPr>
                      <w:sz w:val="21"/>
                      <w:szCs w:val="21"/>
                    </w:rPr>
                  </w:pPr>
                  <w:r>
                    <w:rPr>
                      <w:rFonts w:hint="eastAsia"/>
                      <w:sz w:val="21"/>
                      <w:szCs w:val="21"/>
                    </w:rPr>
                    <w:t>袋装25kg</w:t>
                  </w:r>
                </w:p>
              </w:tc>
              <w:tc>
                <w:tcPr>
                  <w:tcW w:w="506" w:type="pct"/>
                  <w:vAlign w:val="center"/>
                </w:tcPr>
                <w:p w14:paraId="39CCCEDF">
                  <w:pPr>
                    <w:spacing w:line="276" w:lineRule="auto"/>
                    <w:jc w:val="center"/>
                    <w:rPr>
                      <w:sz w:val="21"/>
                      <w:szCs w:val="21"/>
                    </w:rPr>
                  </w:pPr>
                  <w:r>
                    <w:rPr>
                      <w:rFonts w:hint="eastAsia"/>
                      <w:sz w:val="21"/>
                      <w:szCs w:val="21"/>
                    </w:rPr>
                    <w:t>抛丸</w:t>
                  </w:r>
                </w:p>
              </w:tc>
              <w:tc>
                <w:tcPr>
                  <w:tcW w:w="426" w:type="pct"/>
                  <w:vMerge w:val="continue"/>
                  <w:vAlign w:val="center"/>
                </w:tcPr>
                <w:p w14:paraId="21C63518">
                  <w:pPr>
                    <w:spacing w:line="276" w:lineRule="auto"/>
                    <w:jc w:val="center"/>
                    <w:rPr>
                      <w:sz w:val="21"/>
                      <w:szCs w:val="21"/>
                    </w:rPr>
                  </w:pPr>
                </w:p>
              </w:tc>
            </w:tr>
            <w:tr w14:paraId="15CCE9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1DFBA97">
                  <w:pPr>
                    <w:spacing w:line="276" w:lineRule="auto"/>
                    <w:jc w:val="center"/>
                    <w:rPr>
                      <w:sz w:val="21"/>
                      <w:szCs w:val="21"/>
                    </w:rPr>
                  </w:pPr>
                  <w:r>
                    <w:rPr>
                      <w:rFonts w:hint="eastAsia"/>
                      <w:sz w:val="21"/>
                      <w:szCs w:val="21"/>
                    </w:rPr>
                    <w:t>11</w:t>
                  </w:r>
                </w:p>
              </w:tc>
              <w:tc>
                <w:tcPr>
                  <w:tcW w:w="631" w:type="pct"/>
                  <w:vAlign w:val="center"/>
                </w:tcPr>
                <w:p w14:paraId="367A0D03">
                  <w:pPr>
                    <w:spacing w:line="276" w:lineRule="auto"/>
                    <w:jc w:val="center"/>
                    <w:rPr>
                      <w:sz w:val="21"/>
                      <w:szCs w:val="21"/>
                    </w:rPr>
                  </w:pPr>
                  <w:r>
                    <w:rPr>
                      <w:rFonts w:hint="eastAsia"/>
                      <w:sz w:val="21"/>
                      <w:szCs w:val="21"/>
                    </w:rPr>
                    <w:t>氧气</w:t>
                  </w:r>
                </w:p>
              </w:tc>
              <w:tc>
                <w:tcPr>
                  <w:tcW w:w="710" w:type="pct"/>
                  <w:vAlign w:val="center"/>
                </w:tcPr>
                <w:p w14:paraId="44F1C279">
                  <w:pPr>
                    <w:spacing w:line="276" w:lineRule="auto"/>
                    <w:jc w:val="center"/>
                    <w:rPr>
                      <w:sz w:val="21"/>
                      <w:szCs w:val="21"/>
                    </w:rPr>
                  </w:pPr>
                  <w:r>
                    <w:rPr>
                      <w:rFonts w:hint="eastAsia"/>
                      <w:sz w:val="21"/>
                      <w:szCs w:val="21"/>
                    </w:rPr>
                    <w:t>10t/a</w:t>
                  </w:r>
                </w:p>
              </w:tc>
              <w:tc>
                <w:tcPr>
                  <w:tcW w:w="466" w:type="pct"/>
                  <w:vAlign w:val="center"/>
                </w:tcPr>
                <w:p w14:paraId="35F04834">
                  <w:pPr>
                    <w:spacing w:line="276" w:lineRule="auto"/>
                    <w:jc w:val="center"/>
                    <w:rPr>
                      <w:sz w:val="21"/>
                      <w:szCs w:val="21"/>
                    </w:rPr>
                  </w:pPr>
                  <w:r>
                    <w:rPr>
                      <w:rFonts w:hint="eastAsia"/>
                      <w:sz w:val="21"/>
                      <w:szCs w:val="21"/>
                    </w:rPr>
                    <w:t>1t</w:t>
                  </w:r>
                </w:p>
              </w:tc>
              <w:tc>
                <w:tcPr>
                  <w:tcW w:w="667" w:type="pct"/>
                  <w:vAlign w:val="center"/>
                </w:tcPr>
                <w:p w14:paraId="3BC3541B">
                  <w:pPr>
                    <w:spacing w:line="276" w:lineRule="auto"/>
                    <w:jc w:val="center"/>
                    <w:rPr>
                      <w:sz w:val="21"/>
                      <w:szCs w:val="21"/>
                    </w:rPr>
                  </w:pPr>
                  <w:r>
                    <w:rPr>
                      <w:rFonts w:hint="eastAsia"/>
                      <w:sz w:val="21"/>
                      <w:szCs w:val="21"/>
                    </w:rPr>
                    <w:t>焊接区</w:t>
                  </w:r>
                </w:p>
              </w:tc>
              <w:tc>
                <w:tcPr>
                  <w:tcW w:w="579" w:type="pct"/>
                  <w:vAlign w:val="center"/>
                </w:tcPr>
                <w:p w14:paraId="7CC027A6">
                  <w:pPr>
                    <w:spacing w:line="276" w:lineRule="auto"/>
                    <w:jc w:val="center"/>
                    <w:rPr>
                      <w:sz w:val="21"/>
                      <w:szCs w:val="21"/>
                    </w:rPr>
                  </w:pPr>
                  <w:r>
                    <w:rPr>
                      <w:rFonts w:hint="eastAsia"/>
                      <w:sz w:val="21"/>
                      <w:szCs w:val="21"/>
                    </w:rPr>
                    <w:t>气体</w:t>
                  </w:r>
                </w:p>
              </w:tc>
              <w:tc>
                <w:tcPr>
                  <w:tcW w:w="767" w:type="pct"/>
                  <w:vAlign w:val="center"/>
                </w:tcPr>
                <w:p w14:paraId="55E96558">
                  <w:pPr>
                    <w:spacing w:line="276" w:lineRule="auto"/>
                    <w:jc w:val="center"/>
                    <w:rPr>
                      <w:sz w:val="21"/>
                      <w:szCs w:val="21"/>
                    </w:rPr>
                  </w:pPr>
                  <w:r>
                    <w:rPr>
                      <w:rFonts w:hint="eastAsia"/>
                      <w:sz w:val="21"/>
                      <w:szCs w:val="21"/>
                    </w:rPr>
                    <w:t>瓶装10-10.5兆帕</w:t>
                  </w:r>
                </w:p>
              </w:tc>
              <w:tc>
                <w:tcPr>
                  <w:tcW w:w="506" w:type="pct"/>
                  <w:vAlign w:val="center"/>
                </w:tcPr>
                <w:p w14:paraId="0870690A">
                  <w:pPr>
                    <w:spacing w:line="276" w:lineRule="auto"/>
                    <w:jc w:val="center"/>
                    <w:rPr>
                      <w:sz w:val="21"/>
                      <w:szCs w:val="21"/>
                    </w:rPr>
                  </w:pPr>
                  <w:r>
                    <w:rPr>
                      <w:rFonts w:hint="eastAsia"/>
                      <w:sz w:val="21"/>
                      <w:szCs w:val="21"/>
                    </w:rPr>
                    <w:t>焊接</w:t>
                  </w:r>
                </w:p>
              </w:tc>
              <w:tc>
                <w:tcPr>
                  <w:tcW w:w="426" w:type="pct"/>
                  <w:vMerge w:val="continue"/>
                  <w:vAlign w:val="center"/>
                </w:tcPr>
                <w:p w14:paraId="53DE2611">
                  <w:pPr>
                    <w:spacing w:line="276" w:lineRule="auto"/>
                    <w:jc w:val="center"/>
                    <w:rPr>
                      <w:sz w:val="21"/>
                      <w:szCs w:val="21"/>
                    </w:rPr>
                  </w:pPr>
                </w:p>
              </w:tc>
            </w:tr>
            <w:tr w14:paraId="543C3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7E09D799">
                  <w:pPr>
                    <w:spacing w:line="276" w:lineRule="auto"/>
                    <w:jc w:val="center"/>
                    <w:rPr>
                      <w:sz w:val="21"/>
                      <w:szCs w:val="21"/>
                    </w:rPr>
                  </w:pPr>
                  <w:r>
                    <w:rPr>
                      <w:rFonts w:hint="eastAsia"/>
                      <w:sz w:val="21"/>
                      <w:szCs w:val="21"/>
                    </w:rPr>
                    <w:t>12</w:t>
                  </w:r>
                </w:p>
              </w:tc>
              <w:tc>
                <w:tcPr>
                  <w:tcW w:w="631" w:type="pct"/>
                  <w:vAlign w:val="center"/>
                </w:tcPr>
                <w:p w14:paraId="0A538F16">
                  <w:pPr>
                    <w:spacing w:line="276" w:lineRule="auto"/>
                    <w:jc w:val="center"/>
                    <w:rPr>
                      <w:sz w:val="21"/>
                      <w:szCs w:val="21"/>
                    </w:rPr>
                  </w:pPr>
                  <w:r>
                    <w:rPr>
                      <w:sz w:val="21"/>
                      <w:szCs w:val="21"/>
                    </w:rPr>
                    <w:t>混合气（CO</w:t>
                  </w:r>
                  <w:r>
                    <w:rPr>
                      <w:sz w:val="21"/>
                      <w:szCs w:val="21"/>
                      <w:vertAlign w:val="subscript"/>
                    </w:rPr>
                    <w:t>2</w:t>
                  </w:r>
                  <w:r>
                    <w:rPr>
                      <w:sz w:val="21"/>
                      <w:szCs w:val="21"/>
                    </w:rPr>
                    <w:t>、氩气）</w:t>
                  </w:r>
                </w:p>
              </w:tc>
              <w:tc>
                <w:tcPr>
                  <w:tcW w:w="710" w:type="pct"/>
                  <w:vAlign w:val="center"/>
                </w:tcPr>
                <w:p w14:paraId="1DE8E617">
                  <w:pPr>
                    <w:spacing w:line="276" w:lineRule="auto"/>
                    <w:jc w:val="center"/>
                    <w:rPr>
                      <w:sz w:val="21"/>
                      <w:szCs w:val="21"/>
                    </w:rPr>
                  </w:pPr>
                  <w:r>
                    <w:rPr>
                      <w:rFonts w:hint="eastAsia"/>
                      <w:sz w:val="21"/>
                      <w:szCs w:val="21"/>
                    </w:rPr>
                    <w:t>1200t/a</w:t>
                  </w:r>
                </w:p>
              </w:tc>
              <w:tc>
                <w:tcPr>
                  <w:tcW w:w="466" w:type="pct"/>
                  <w:vAlign w:val="center"/>
                </w:tcPr>
                <w:p w14:paraId="6A5C3B9A">
                  <w:pPr>
                    <w:spacing w:line="276" w:lineRule="auto"/>
                    <w:jc w:val="center"/>
                    <w:rPr>
                      <w:sz w:val="21"/>
                      <w:szCs w:val="21"/>
                    </w:rPr>
                  </w:pPr>
                  <w:r>
                    <w:rPr>
                      <w:rFonts w:hint="eastAsia"/>
                      <w:sz w:val="21"/>
                      <w:szCs w:val="21"/>
                    </w:rPr>
                    <w:t>5t</w:t>
                  </w:r>
                </w:p>
              </w:tc>
              <w:tc>
                <w:tcPr>
                  <w:tcW w:w="667" w:type="pct"/>
                  <w:vAlign w:val="center"/>
                </w:tcPr>
                <w:p w14:paraId="15114444">
                  <w:pPr>
                    <w:spacing w:line="276" w:lineRule="auto"/>
                    <w:jc w:val="center"/>
                    <w:rPr>
                      <w:sz w:val="21"/>
                      <w:szCs w:val="21"/>
                    </w:rPr>
                  </w:pPr>
                  <w:r>
                    <w:rPr>
                      <w:rFonts w:hint="eastAsia"/>
                      <w:sz w:val="21"/>
                      <w:szCs w:val="21"/>
                    </w:rPr>
                    <w:t>焊接区</w:t>
                  </w:r>
                </w:p>
              </w:tc>
              <w:tc>
                <w:tcPr>
                  <w:tcW w:w="579" w:type="pct"/>
                  <w:vAlign w:val="center"/>
                </w:tcPr>
                <w:p w14:paraId="7FA68C1A">
                  <w:pPr>
                    <w:spacing w:line="276" w:lineRule="auto"/>
                    <w:jc w:val="center"/>
                    <w:rPr>
                      <w:sz w:val="21"/>
                      <w:szCs w:val="21"/>
                    </w:rPr>
                  </w:pPr>
                  <w:r>
                    <w:rPr>
                      <w:rFonts w:hint="eastAsia"/>
                      <w:sz w:val="21"/>
                      <w:szCs w:val="21"/>
                    </w:rPr>
                    <w:t>气体</w:t>
                  </w:r>
                </w:p>
              </w:tc>
              <w:tc>
                <w:tcPr>
                  <w:tcW w:w="767" w:type="pct"/>
                  <w:vAlign w:val="center"/>
                </w:tcPr>
                <w:p w14:paraId="631C8284">
                  <w:pPr>
                    <w:spacing w:line="276" w:lineRule="auto"/>
                    <w:jc w:val="center"/>
                    <w:rPr>
                      <w:sz w:val="21"/>
                      <w:szCs w:val="21"/>
                    </w:rPr>
                  </w:pPr>
                  <w:r>
                    <w:rPr>
                      <w:rFonts w:hint="eastAsia"/>
                      <w:sz w:val="21"/>
                      <w:szCs w:val="21"/>
                    </w:rPr>
                    <w:t>瓶装12-13兆帕</w:t>
                  </w:r>
                </w:p>
              </w:tc>
              <w:tc>
                <w:tcPr>
                  <w:tcW w:w="506" w:type="pct"/>
                  <w:vAlign w:val="center"/>
                </w:tcPr>
                <w:p w14:paraId="2CAE2591">
                  <w:pPr>
                    <w:spacing w:line="276" w:lineRule="auto"/>
                    <w:jc w:val="center"/>
                    <w:rPr>
                      <w:sz w:val="21"/>
                      <w:szCs w:val="21"/>
                    </w:rPr>
                  </w:pPr>
                  <w:r>
                    <w:rPr>
                      <w:rFonts w:hint="eastAsia"/>
                      <w:sz w:val="21"/>
                      <w:szCs w:val="21"/>
                    </w:rPr>
                    <w:t>焊接</w:t>
                  </w:r>
                </w:p>
              </w:tc>
              <w:tc>
                <w:tcPr>
                  <w:tcW w:w="426" w:type="pct"/>
                  <w:vMerge w:val="continue"/>
                  <w:vAlign w:val="center"/>
                </w:tcPr>
                <w:p w14:paraId="4CF20285">
                  <w:pPr>
                    <w:spacing w:line="276" w:lineRule="auto"/>
                    <w:jc w:val="center"/>
                    <w:rPr>
                      <w:sz w:val="21"/>
                      <w:szCs w:val="21"/>
                    </w:rPr>
                  </w:pPr>
                </w:p>
              </w:tc>
            </w:tr>
            <w:tr w14:paraId="77B8D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52453485">
                  <w:pPr>
                    <w:spacing w:line="276" w:lineRule="auto"/>
                    <w:jc w:val="center"/>
                    <w:rPr>
                      <w:sz w:val="21"/>
                      <w:szCs w:val="21"/>
                    </w:rPr>
                  </w:pPr>
                  <w:r>
                    <w:rPr>
                      <w:rFonts w:hint="eastAsia"/>
                      <w:sz w:val="21"/>
                      <w:szCs w:val="21"/>
                    </w:rPr>
                    <w:t>13</w:t>
                  </w:r>
                </w:p>
              </w:tc>
              <w:tc>
                <w:tcPr>
                  <w:tcW w:w="631" w:type="pct"/>
                  <w:vAlign w:val="center"/>
                </w:tcPr>
                <w:p w14:paraId="3A32A828">
                  <w:pPr>
                    <w:spacing w:line="276" w:lineRule="auto"/>
                    <w:jc w:val="center"/>
                    <w:rPr>
                      <w:sz w:val="21"/>
                      <w:szCs w:val="21"/>
                    </w:rPr>
                  </w:pPr>
                  <w:r>
                    <w:rPr>
                      <w:rFonts w:hint="eastAsia"/>
                      <w:sz w:val="21"/>
                      <w:szCs w:val="21"/>
                    </w:rPr>
                    <w:t>无铅焊条</w:t>
                  </w:r>
                </w:p>
              </w:tc>
              <w:tc>
                <w:tcPr>
                  <w:tcW w:w="710" w:type="pct"/>
                  <w:vAlign w:val="center"/>
                </w:tcPr>
                <w:p w14:paraId="38B44B10">
                  <w:pPr>
                    <w:spacing w:line="276" w:lineRule="auto"/>
                    <w:jc w:val="center"/>
                    <w:rPr>
                      <w:sz w:val="21"/>
                      <w:szCs w:val="21"/>
                    </w:rPr>
                  </w:pPr>
                  <w:r>
                    <w:rPr>
                      <w:rFonts w:hint="eastAsia"/>
                      <w:sz w:val="21"/>
                      <w:szCs w:val="21"/>
                    </w:rPr>
                    <w:t>120t/a</w:t>
                  </w:r>
                </w:p>
              </w:tc>
              <w:tc>
                <w:tcPr>
                  <w:tcW w:w="466" w:type="pct"/>
                  <w:vAlign w:val="center"/>
                </w:tcPr>
                <w:p w14:paraId="7EFD30B5">
                  <w:pPr>
                    <w:spacing w:line="276" w:lineRule="auto"/>
                    <w:jc w:val="center"/>
                    <w:rPr>
                      <w:sz w:val="21"/>
                      <w:szCs w:val="21"/>
                    </w:rPr>
                  </w:pPr>
                  <w:r>
                    <w:rPr>
                      <w:rFonts w:hint="eastAsia"/>
                      <w:sz w:val="21"/>
                      <w:szCs w:val="21"/>
                    </w:rPr>
                    <w:t>10t</w:t>
                  </w:r>
                </w:p>
              </w:tc>
              <w:tc>
                <w:tcPr>
                  <w:tcW w:w="667" w:type="pct"/>
                  <w:vAlign w:val="center"/>
                </w:tcPr>
                <w:p w14:paraId="447BE65D">
                  <w:pPr>
                    <w:spacing w:line="276" w:lineRule="auto"/>
                    <w:jc w:val="center"/>
                    <w:rPr>
                      <w:sz w:val="21"/>
                      <w:szCs w:val="21"/>
                    </w:rPr>
                  </w:pPr>
                  <w:r>
                    <w:rPr>
                      <w:rFonts w:hint="eastAsia"/>
                      <w:sz w:val="21"/>
                      <w:szCs w:val="21"/>
                    </w:rPr>
                    <w:t>焊接区</w:t>
                  </w:r>
                </w:p>
              </w:tc>
              <w:tc>
                <w:tcPr>
                  <w:tcW w:w="579" w:type="pct"/>
                  <w:vAlign w:val="center"/>
                </w:tcPr>
                <w:p w14:paraId="22415A66">
                  <w:pPr>
                    <w:spacing w:line="276" w:lineRule="auto"/>
                    <w:jc w:val="center"/>
                    <w:rPr>
                      <w:sz w:val="21"/>
                      <w:szCs w:val="21"/>
                    </w:rPr>
                  </w:pPr>
                  <w:r>
                    <w:rPr>
                      <w:rFonts w:hint="eastAsia"/>
                      <w:sz w:val="21"/>
                      <w:szCs w:val="21"/>
                    </w:rPr>
                    <w:t>固体</w:t>
                  </w:r>
                </w:p>
              </w:tc>
              <w:tc>
                <w:tcPr>
                  <w:tcW w:w="767" w:type="pct"/>
                  <w:vAlign w:val="center"/>
                </w:tcPr>
                <w:p w14:paraId="4F7F426F">
                  <w:pPr>
                    <w:spacing w:line="276" w:lineRule="auto"/>
                    <w:jc w:val="center"/>
                    <w:rPr>
                      <w:sz w:val="21"/>
                      <w:szCs w:val="21"/>
                    </w:rPr>
                  </w:pPr>
                  <w:r>
                    <w:rPr>
                      <w:rFonts w:hint="eastAsia"/>
                      <w:sz w:val="21"/>
                      <w:szCs w:val="21"/>
                    </w:rPr>
                    <w:t>盒装20kg</w:t>
                  </w:r>
                </w:p>
              </w:tc>
              <w:tc>
                <w:tcPr>
                  <w:tcW w:w="506" w:type="pct"/>
                  <w:vAlign w:val="center"/>
                </w:tcPr>
                <w:p w14:paraId="493136E6">
                  <w:pPr>
                    <w:spacing w:line="276" w:lineRule="auto"/>
                    <w:jc w:val="center"/>
                    <w:rPr>
                      <w:sz w:val="21"/>
                      <w:szCs w:val="21"/>
                    </w:rPr>
                  </w:pPr>
                  <w:r>
                    <w:rPr>
                      <w:rFonts w:hint="eastAsia"/>
                      <w:sz w:val="21"/>
                      <w:szCs w:val="21"/>
                    </w:rPr>
                    <w:t>焊接</w:t>
                  </w:r>
                </w:p>
              </w:tc>
              <w:tc>
                <w:tcPr>
                  <w:tcW w:w="426" w:type="pct"/>
                  <w:vMerge w:val="continue"/>
                  <w:vAlign w:val="center"/>
                </w:tcPr>
                <w:p w14:paraId="2F58BEAC">
                  <w:pPr>
                    <w:spacing w:line="276" w:lineRule="auto"/>
                    <w:jc w:val="center"/>
                    <w:rPr>
                      <w:sz w:val="21"/>
                      <w:szCs w:val="21"/>
                    </w:rPr>
                  </w:pPr>
                </w:p>
              </w:tc>
            </w:tr>
            <w:tr w14:paraId="0E4AF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3CD32427">
                  <w:pPr>
                    <w:spacing w:line="276" w:lineRule="auto"/>
                    <w:jc w:val="center"/>
                    <w:rPr>
                      <w:sz w:val="21"/>
                      <w:szCs w:val="21"/>
                    </w:rPr>
                  </w:pPr>
                  <w:r>
                    <w:rPr>
                      <w:rFonts w:hint="eastAsia"/>
                      <w:sz w:val="21"/>
                      <w:szCs w:val="21"/>
                    </w:rPr>
                    <w:t>14</w:t>
                  </w:r>
                </w:p>
              </w:tc>
              <w:tc>
                <w:tcPr>
                  <w:tcW w:w="631" w:type="pct"/>
                  <w:vAlign w:val="center"/>
                </w:tcPr>
                <w:p w14:paraId="213246DE">
                  <w:pPr>
                    <w:spacing w:line="276" w:lineRule="auto"/>
                    <w:jc w:val="center"/>
                    <w:rPr>
                      <w:sz w:val="21"/>
                      <w:szCs w:val="21"/>
                    </w:rPr>
                  </w:pPr>
                  <w:r>
                    <w:rPr>
                      <w:rFonts w:hint="eastAsia"/>
                      <w:sz w:val="21"/>
                      <w:szCs w:val="21"/>
                    </w:rPr>
                    <w:t>混炼胶</w:t>
                  </w:r>
                </w:p>
              </w:tc>
              <w:tc>
                <w:tcPr>
                  <w:tcW w:w="710" w:type="pct"/>
                  <w:vAlign w:val="center"/>
                </w:tcPr>
                <w:p w14:paraId="7E6A2076">
                  <w:pPr>
                    <w:spacing w:line="276" w:lineRule="auto"/>
                    <w:jc w:val="center"/>
                    <w:rPr>
                      <w:sz w:val="21"/>
                      <w:szCs w:val="21"/>
                    </w:rPr>
                  </w:pPr>
                  <w:r>
                    <w:rPr>
                      <w:rFonts w:hint="eastAsia"/>
                      <w:sz w:val="21"/>
                      <w:szCs w:val="21"/>
                    </w:rPr>
                    <w:t>250t/a</w:t>
                  </w:r>
                </w:p>
              </w:tc>
              <w:tc>
                <w:tcPr>
                  <w:tcW w:w="466" w:type="pct"/>
                  <w:vAlign w:val="center"/>
                </w:tcPr>
                <w:p w14:paraId="1D2A5AB0">
                  <w:pPr>
                    <w:spacing w:line="276" w:lineRule="auto"/>
                    <w:jc w:val="center"/>
                    <w:rPr>
                      <w:sz w:val="21"/>
                      <w:szCs w:val="21"/>
                    </w:rPr>
                  </w:pPr>
                  <w:r>
                    <w:rPr>
                      <w:rFonts w:hint="eastAsia"/>
                      <w:sz w:val="21"/>
                      <w:szCs w:val="21"/>
                    </w:rPr>
                    <w:t>25t</w:t>
                  </w:r>
                </w:p>
              </w:tc>
              <w:tc>
                <w:tcPr>
                  <w:tcW w:w="667" w:type="pct"/>
                  <w:vMerge w:val="restart"/>
                  <w:vAlign w:val="center"/>
                </w:tcPr>
                <w:p w14:paraId="307FF937">
                  <w:pPr>
                    <w:spacing w:line="276" w:lineRule="auto"/>
                    <w:jc w:val="center"/>
                    <w:rPr>
                      <w:sz w:val="21"/>
                      <w:szCs w:val="21"/>
                    </w:rPr>
                  </w:pPr>
                  <w:r>
                    <w:rPr>
                      <w:rFonts w:hint="eastAsia"/>
                      <w:sz w:val="21"/>
                      <w:szCs w:val="21"/>
                    </w:rPr>
                    <w:t>硫化注胶区</w:t>
                  </w:r>
                </w:p>
              </w:tc>
              <w:tc>
                <w:tcPr>
                  <w:tcW w:w="579" w:type="pct"/>
                  <w:vAlign w:val="center"/>
                </w:tcPr>
                <w:p w14:paraId="1143ED25">
                  <w:pPr>
                    <w:spacing w:line="276" w:lineRule="auto"/>
                    <w:jc w:val="center"/>
                    <w:rPr>
                      <w:sz w:val="21"/>
                      <w:szCs w:val="21"/>
                    </w:rPr>
                  </w:pPr>
                  <w:r>
                    <w:rPr>
                      <w:rFonts w:hint="eastAsia"/>
                      <w:sz w:val="21"/>
                      <w:szCs w:val="21"/>
                    </w:rPr>
                    <w:t>液体</w:t>
                  </w:r>
                </w:p>
              </w:tc>
              <w:tc>
                <w:tcPr>
                  <w:tcW w:w="767" w:type="pct"/>
                  <w:vAlign w:val="center"/>
                </w:tcPr>
                <w:p w14:paraId="0C9769DF">
                  <w:pPr>
                    <w:spacing w:line="276" w:lineRule="auto"/>
                    <w:jc w:val="center"/>
                    <w:rPr>
                      <w:sz w:val="21"/>
                      <w:szCs w:val="21"/>
                    </w:rPr>
                  </w:pPr>
                  <w:r>
                    <w:rPr>
                      <w:rFonts w:hint="eastAsia"/>
                      <w:sz w:val="21"/>
                      <w:szCs w:val="21"/>
                    </w:rPr>
                    <w:t>桶装25kg</w:t>
                  </w:r>
                </w:p>
              </w:tc>
              <w:tc>
                <w:tcPr>
                  <w:tcW w:w="506" w:type="pct"/>
                  <w:vAlign w:val="center"/>
                </w:tcPr>
                <w:p w14:paraId="11D6D09D">
                  <w:pPr>
                    <w:spacing w:line="276" w:lineRule="auto"/>
                    <w:jc w:val="center"/>
                    <w:rPr>
                      <w:sz w:val="21"/>
                      <w:szCs w:val="21"/>
                    </w:rPr>
                  </w:pPr>
                  <w:r>
                    <w:rPr>
                      <w:rFonts w:hint="eastAsia"/>
                      <w:sz w:val="21"/>
                      <w:szCs w:val="21"/>
                    </w:rPr>
                    <w:t>硫化</w:t>
                  </w:r>
                </w:p>
              </w:tc>
              <w:tc>
                <w:tcPr>
                  <w:tcW w:w="426" w:type="pct"/>
                  <w:vMerge w:val="continue"/>
                  <w:vAlign w:val="center"/>
                </w:tcPr>
                <w:p w14:paraId="4621FC55">
                  <w:pPr>
                    <w:spacing w:line="276" w:lineRule="auto"/>
                    <w:jc w:val="center"/>
                    <w:rPr>
                      <w:sz w:val="21"/>
                      <w:szCs w:val="21"/>
                    </w:rPr>
                  </w:pPr>
                </w:p>
              </w:tc>
            </w:tr>
            <w:tr w14:paraId="603658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67C19CA1">
                  <w:pPr>
                    <w:spacing w:line="276" w:lineRule="auto"/>
                    <w:jc w:val="center"/>
                    <w:rPr>
                      <w:sz w:val="21"/>
                      <w:szCs w:val="21"/>
                    </w:rPr>
                  </w:pPr>
                  <w:r>
                    <w:rPr>
                      <w:rFonts w:hint="eastAsia"/>
                      <w:sz w:val="21"/>
                      <w:szCs w:val="21"/>
                    </w:rPr>
                    <w:t>15</w:t>
                  </w:r>
                </w:p>
              </w:tc>
              <w:tc>
                <w:tcPr>
                  <w:tcW w:w="631" w:type="pct"/>
                  <w:vAlign w:val="center"/>
                </w:tcPr>
                <w:p w14:paraId="579839FE">
                  <w:pPr>
                    <w:spacing w:line="276" w:lineRule="auto"/>
                    <w:jc w:val="center"/>
                    <w:rPr>
                      <w:sz w:val="21"/>
                      <w:szCs w:val="21"/>
                    </w:rPr>
                  </w:pPr>
                  <w:r>
                    <w:rPr>
                      <w:rFonts w:hint="eastAsia"/>
                      <w:sz w:val="21"/>
                      <w:szCs w:val="21"/>
                    </w:rPr>
                    <w:t>脱模剂</w:t>
                  </w:r>
                </w:p>
              </w:tc>
              <w:tc>
                <w:tcPr>
                  <w:tcW w:w="710" w:type="pct"/>
                  <w:vAlign w:val="center"/>
                </w:tcPr>
                <w:p w14:paraId="1D9F7774">
                  <w:pPr>
                    <w:spacing w:line="276" w:lineRule="auto"/>
                    <w:jc w:val="center"/>
                    <w:rPr>
                      <w:sz w:val="21"/>
                      <w:szCs w:val="21"/>
                    </w:rPr>
                  </w:pPr>
                  <w:r>
                    <w:rPr>
                      <w:rFonts w:hint="eastAsia"/>
                      <w:sz w:val="21"/>
                      <w:szCs w:val="21"/>
                    </w:rPr>
                    <w:t>0.8t/a</w:t>
                  </w:r>
                </w:p>
              </w:tc>
              <w:tc>
                <w:tcPr>
                  <w:tcW w:w="466" w:type="pct"/>
                  <w:vAlign w:val="center"/>
                </w:tcPr>
                <w:p w14:paraId="745E8946">
                  <w:pPr>
                    <w:spacing w:line="276" w:lineRule="auto"/>
                    <w:jc w:val="center"/>
                    <w:rPr>
                      <w:sz w:val="21"/>
                      <w:szCs w:val="21"/>
                    </w:rPr>
                  </w:pPr>
                  <w:r>
                    <w:rPr>
                      <w:rFonts w:hint="eastAsia"/>
                      <w:sz w:val="21"/>
                      <w:szCs w:val="21"/>
                    </w:rPr>
                    <w:t>0.1t</w:t>
                  </w:r>
                </w:p>
              </w:tc>
              <w:tc>
                <w:tcPr>
                  <w:tcW w:w="667" w:type="pct"/>
                  <w:vMerge w:val="continue"/>
                  <w:vAlign w:val="center"/>
                </w:tcPr>
                <w:p w14:paraId="027BDEA1">
                  <w:pPr>
                    <w:spacing w:line="276" w:lineRule="auto"/>
                    <w:jc w:val="center"/>
                    <w:rPr>
                      <w:sz w:val="21"/>
                      <w:szCs w:val="21"/>
                    </w:rPr>
                  </w:pPr>
                </w:p>
              </w:tc>
              <w:tc>
                <w:tcPr>
                  <w:tcW w:w="579" w:type="pct"/>
                  <w:vAlign w:val="center"/>
                </w:tcPr>
                <w:p w14:paraId="6A63E00F">
                  <w:pPr>
                    <w:spacing w:line="276" w:lineRule="auto"/>
                    <w:jc w:val="center"/>
                    <w:rPr>
                      <w:sz w:val="21"/>
                      <w:szCs w:val="21"/>
                    </w:rPr>
                  </w:pPr>
                  <w:r>
                    <w:rPr>
                      <w:rFonts w:hint="eastAsia"/>
                      <w:sz w:val="21"/>
                      <w:szCs w:val="21"/>
                    </w:rPr>
                    <w:t>液体</w:t>
                  </w:r>
                </w:p>
              </w:tc>
              <w:tc>
                <w:tcPr>
                  <w:tcW w:w="767" w:type="pct"/>
                  <w:vAlign w:val="center"/>
                </w:tcPr>
                <w:p w14:paraId="2BC66E6C">
                  <w:pPr>
                    <w:spacing w:line="276" w:lineRule="auto"/>
                    <w:jc w:val="center"/>
                    <w:rPr>
                      <w:sz w:val="21"/>
                      <w:szCs w:val="21"/>
                    </w:rPr>
                  </w:pPr>
                  <w:r>
                    <w:rPr>
                      <w:rFonts w:hint="eastAsia"/>
                      <w:sz w:val="21"/>
                      <w:szCs w:val="21"/>
                    </w:rPr>
                    <w:t>桶装20kg</w:t>
                  </w:r>
                </w:p>
              </w:tc>
              <w:tc>
                <w:tcPr>
                  <w:tcW w:w="506" w:type="pct"/>
                  <w:vAlign w:val="center"/>
                </w:tcPr>
                <w:p w14:paraId="7DC239AD">
                  <w:pPr>
                    <w:spacing w:line="276" w:lineRule="auto"/>
                    <w:jc w:val="center"/>
                    <w:rPr>
                      <w:sz w:val="21"/>
                      <w:szCs w:val="21"/>
                    </w:rPr>
                  </w:pPr>
                  <w:r>
                    <w:rPr>
                      <w:rFonts w:hint="eastAsia"/>
                      <w:sz w:val="21"/>
                      <w:szCs w:val="21"/>
                    </w:rPr>
                    <w:t>脱模</w:t>
                  </w:r>
                </w:p>
              </w:tc>
              <w:tc>
                <w:tcPr>
                  <w:tcW w:w="426" w:type="pct"/>
                  <w:vMerge w:val="continue"/>
                  <w:vAlign w:val="center"/>
                </w:tcPr>
                <w:p w14:paraId="52C679B8">
                  <w:pPr>
                    <w:spacing w:line="276" w:lineRule="auto"/>
                    <w:jc w:val="center"/>
                    <w:rPr>
                      <w:sz w:val="21"/>
                      <w:szCs w:val="21"/>
                    </w:rPr>
                  </w:pPr>
                </w:p>
              </w:tc>
            </w:tr>
            <w:tr w14:paraId="4DF23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304BF6D8">
                  <w:pPr>
                    <w:spacing w:line="276" w:lineRule="auto"/>
                    <w:jc w:val="center"/>
                    <w:rPr>
                      <w:sz w:val="21"/>
                      <w:szCs w:val="21"/>
                    </w:rPr>
                  </w:pPr>
                  <w:r>
                    <w:rPr>
                      <w:rFonts w:hint="eastAsia"/>
                      <w:sz w:val="21"/>
                      <w:szCs w:val="21"/>
                    </w:rPr>
                    <w:t>16</w:t>
                  </w:r>
                </w:p>
              </w:tc>
              <w:tc>
                <w:tcPr>
                  <w:tcW w:w="631" w:type="pct"/>
                  <w:vAlign w:val="center"/>
                </w:tcPr>
                <w:p w14:paraId="6664473B">
                  <w:pPr>
                    <w:spacing w:line="276" w:lineRule="auto"/>
                    <w:jc w:val="center"/>
                    <w:rPr>
                      <w:sz w:val="21"/>
                      <w:szCs w:val="21"/>
                    </w:rPr>
                  </w:pPr>
                  <w:r>
                    <w:rPr>
                      <w:rFonts w:hint="eastAsia"/>
                      <w:sz w:val="21"/>
                      <w:szCs w:val="21"/>
                    </w:rPr>
                    <w:t>黑胶（Chemlok 6125）</w:t>
                  </w:r>
                </w:p>
              </w:tc>
              <w:tc>
                <w:tcPr>
                  <w:tcW w:w="710" w:type="pct"/>
                  <w:vAlign w:val="center"/>
                </w:tcPr>
                <w:p w14:paraId="2A0E8AF9">
                  <w:pPr>
                    <w:spacing w:line="276" w:lineRule="auto"/>
                    <w:jc w:val="center"/>
                    <w:rPr>
                      <w:sz w:val="21"/>
                      <w:szCs w:val="21"/>
                    </w:rPr>
                  </w:pPr>
                  <w:r>
                    <w:rPr>
                      <w:rFonts w:hint="eastAsia"/>
                      <w:sz w:val="21"/>
                      <w:szCs w:val="21"/>
                    </w:rPr>
                    <w:t>4t/a</w:t>
                  </w:r>
                </w:p>
              </w:tc>
              <w:tc>
                <w:tcPr>
                  <w:tcW w:w="466" w:type="pct"/>
                  <w:vAlign w:val="center"/>
                </w:tcPr>
                <w:p w14:paraId="75D5652A">
                  <w:pPr>
                    <w:spacing w:line="276" w:lineRule="auto"/>
                    <w:jc w:val="center"/>
                    <w:rPr>
                      <w:sz w:val="21"/>
                      <w:szCs w:val="21"/>
                    </w:rPr>
                  </w:pPr>
                  <w:r>
                    <w:rPr>
                      <w:rFonts w:hint="eastAsia"/>
                      <w:sz w:val="21"/>
                      <w:szCs w:val="21"/>
                    </w:rPr>
                    <w:t>0.4t</w:t>
                  </w:r>
                </w:p>
              </w:tc>
              <w:tc>
                <w:tcPr>
                  <w:tcW w:w="667" w:type="pct"/>
                  <w:vAlign w:val="center"/>
                </w:tcPr>
                <w:p w14:paraId="14ED0263">
                  <w:pPr>
                    <w:spacing w:line="276" w:lineRule="auto"/>
                    <w:jc w:val="center"/>
                    <w:rPr>
                      <w:sz w:val="21"/>
                      <w:szCs w:val="21"/>
                    </w:rPr>
                  </w:pPr>
                  <w:r>
                    <w:rPr>
                      <w:rFonts w:hint="eastAsia"/>
                      <w:sz w:val="21"/>
                      <w:szCs w:val="21"/>
                    </w:rPr>
                    <w:t>涂胶区</w:t>
                  </w:r>
                </w:p>
              </w:tc>
              <w:tc>
                <w:tcPr>
                  <w:tcW w:w="579" w:type="pct"/>
                  <w:vAlign w:val="center"/>
                </w:tcPr>
                <w:p w14:paraId="1AFC99FE">
                  <w:pPr>
                    <w:spacing w:line="276" w:lineRule="auto"/>
                    <w:jc w:val="center"/>
                    <w:rPr>
                      <w:sz w:val="21"/>
                      <w:szCs w:val="21"/>
                    </w:rPr>
                  </w:pPr>
                  <w:r>
                    <w:rPr>
                      <w:rFonts w:hint="eastAsia"/>
                      <w:sz w:val="21"/>
                      <w:szCs w:val="21"/>
                    </w:rPr>
                    <w:t>液体</w:t>
                  </w:r>
                </w:p>
              </w:tc>
              <w:tc>
                <w:tcPr>
                  <w:tcW w:w="767" w:type="pct"/>
                  <w:vAlign w:val="center"/>
                </w:tcPr>
                <w:p w14:paraId="4DE05881">
                  <w:pPr>
                    <w:spacing w:line="276" w:lineRule="auto"/>
                    <w:jc w:val="center"/>
                    <w:rPr>
                      <w:sz w:val="21"/>
                      <w:szCs w:val="21"/>
                    </w:rPr>
                  </w:pPr>
                  <w:r>
                    <w:rPr>
                      <w:rFonts w:hint="eastAsia"/>
                      <w:sz w:val="21"/>
                      <w:szCs w:val="21"/>
                    </w:rPr>
                    <w:t>桶装25kg</w:t>
                  </w:r>
                </w:p>
              </w:tc>
              <w:tc>
                <w:tcPr>
                  <w:tcW w:w="506" w:type="pct"/>
                  <w:vMerge w:val="restart"/>
                  <w:vAlign w:val="center"/>
                </w:tcPr>
                <w:p w14:paraId="6ECE329D">
                  <w:pPr>
                    <w:spacing w:line="276" w:lineRule="auto"/>
                    <w:jc w:val="center"/>
                    <w:rPr>
                      <w:sz w:val="21"/>
                      <w:szCs w:val="21"/>
                    </w:rPr>
                  </w:pPr>
                  <w:r>
                    <w:rPr>
                      <w:rFonts w:hint="eastAsia"/>
                      <w:sz w:val="21"/>
                      <w:szCs w:val="21"/>
                    </w:rPr>
                    <w:t>涂胶</w:t>
                  </w:r>
                </w:p>
              </w:tc>
              <w:tc>
                <w:tcPr>
                  <w:tcW w:w="426" w:type="pct"/>
                  <w:vMerge w:val="continue"/>
                  <w:vAlign w:val="center"/>
                </w:tcPr>
                <w:p w14:paraId="77FF016D">
                  <w:pPr>
                    <w:spacing w:line="276" w:lineRule="auto"/>
                    <w:jc w:val="center"/>
                    <w:rPr>
                      <w:sz w:val="21"/>
                      <w:szCs w:val="21"/>
                    </w:rPr>
                  </w:pPr>
                </w:p>
              </w:tc>
            </w:tr>
            <w:tr w14:paraId="60EE85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A5A7B41">
                  <w:pPr>
                    <w:spacing w:line="276" w:lineRule="auto"/>
                    <w:jc w:val="center"/>
                    <w:rPr>
                      <w:sz w:val="21"/>
                      <w:szCs w:val="21"/>
                    </w:rPr>
                  </w:pPr>
                  <w:r>
                    <w:rPr>
                      <w:rFonts w:hint="eastAsia"/>
                      <w:sz w:val="21"/>
                      <w:szCs w:val="21"/>
                    </w:rPr>
                    <w:t>17</w:t>
                  </w:r>
                </w:p>
              </w:tc>
              <w:tc>
                <w:tcPr>
                  <w:tcW w:w="631" w:type="pct"/>
                  <w:vAlign w:val="center"/>
                </w:tcPr>
                <w:p w14:paraId="0509D6D0">
                  <w:pPr>
                    <w:spacing w:line="276" w:lineRule="auto"/>
                    <w:jc w:val="center"/>
                    <w:rPr>
                      <w:sz w:val="21"/>
                      <w:szCs w:val="21"/>
                    </w:rPr>
                  </w:pPr>
                  <w:r>
                    <w:rPr>
                      <w:rFonts w:hint="eastAsia"/>
                      <w:sz w:val="21"/>
                      <w:szCs w:val="21"/>
                    </w:rPr>
                    <w:t>灰胶（Chemlok 205）</w:t>
                  </w:r>
                </w:p>
              </w:tc>
              <w:tc>
                <w:tcPr>
                  <w:tcW w:w="710" w:type="pct"/>
                  <w:vAlign w:val="center"/>
                </w:tcPr>
                <w:p w14:paraId="6FEFD9C7">
                  <w:pPr>
                    <w:spacing w:line="276" w:lineRule="auto"/>
                    <w:jc w:val="center"/>
                    <w:rPr>
                      <w:sz w:val="21"/>
                      <w:szCs w:val="21"/>
                    </w:rPr>
                  </w:pPr>
                  <w:r>
                    <w:rPr>
                      <w:rFonts w:hint="eastAsia"/>
                      <w:sz w:val="21"/>
                      <w:szCs w:val="21"/>
                    </w:rPr>
                    <w:t>4t/a</w:t>
                  </w:r>
                </w:p>
              </w:tc>
              <w:tc>
                <w:tcPr>
                  <w:tcW w:w="466" w:type="pct"/>
                  <w:vAlign w:val="center"/>
                </w:tcPr>
                <w:p w14:paraId="3704D45C">
                  <w:pPr>
                    <w:spacing w:line="276" w:lineRule="auto"/>
                    <w:jc w:val="center"/>
                    <w:rPr>
                      <w:sz w:val="21"/>
                      <w:szCs w:val="21"/>
                    </w:rPr>
                  </w:pPr>
                  <w:r>
                    <w:rPr>
                      <w:rFonts w:hint="eastAsia"/>
                      <w:sz w:val="21"/>
                      <w:szCs w:val="21"/>
                    </w:rPr>
                    <w:t>0.4t</w:t>
                  </w:r>
                </w:p>
              </w:tc>
              <w:tc>
                <w:tcPr>
                  <w:tcW w:w="667" w:type="pct"/>
                  <w:vAlign w:val="center"/>
                </w:tcPr>
                <w:p w14:paraId="2045F558">
                  <w:pPr>
                    <w:spacing w:line="276" w:lineRule="auto"/>
                    <w:jc w:val="center"/>
                    <w:rPr>
                      <w:sz w:val="21"/>
                      <w:szCs w:val="21"/>
                    </w:rPr>
                  </w:pPr>
                  <w:r>
                    <w:rPr>
                      <w:rFonts w:hint="eastAsia"/>
                      <w:sz w:val="21"/>
                      <w:szCs w:val="21"/>
                    </w:rPr>
                    <w:t>涂胶区</w:t>
                  </w:r>
                </w:p>
              </w:tc>
              <w:tc>
                <w:tcPr>
                  <w:tcW w:w="579" w:type="pct"/>
                  <w:vAlign w:val="center"/>
                </w:tcPr>
                <w:p w14:paraId="2DD5DD4C">
                  <w:pPr>
                    <w:spacing w:line="276" w:lineRule="auto"/>
                    <w:jc w:val="center"/>
                    <w:rPr>
                      <w:sz w:val="21"/>
                      <w:szCs w:val="21"/>
                    </w:rPr>
                  </w:pPr>
                  <w:r>
                    <w:rPr>
                      <w:rFonts w:hint="eastAsia"/>
                      <w:sz w:val="21"/>
                      <w:szCs w:val="21"/>
                    </w:rPr>
                    <w:t>液体</w:t>
                  </w:r>
                </w:p>
              </w:tc>
              <w:tc>
                <w:tcPr>
                  <w:tcW w:w="767" w:type="pct"/>
                  <w:vAlign w:val="center"/>
                </w:tcPr>
                <w:p w14:paraId="4E86E51E">
                  <w:pPr>
                    <w:spacing w:line="276" w:lineRule="auto"/>
                    <w:jc w:val="center"/>
                    <w:rPr>
                      <w:sz w:val="21"/>
                      <w:szCs w:val="21"/>
                    </w:rPr>
                  </w:pPr>
                  <w:r>
                    <w:rPr>
                      <w:rFonts w:hint="eastAsia"/>
                      <w:sz w:val="21"/>
                      <w:szCs w:val="21"/>
                    </w:rPr>
                    <w:t>桶装25kg</w:t>
                  </w:r>
                </w:p>
              </w:tc>
              <w:tc>
                <w:tcPr>
                  <w:tcW w:w="506" w:type="pct"/>
                  <w:vMerge w:val="continue"/>
                  <w:vAlign w:val="center"/>
                </w:tcPr>
                <w:p w14:paraId="7CB32E96">
                  <w:pPr>
                    <w:spacing w:line="276" w:lineRule="auto"/>
                    <w:jc w:val="center"/>
                    <w:rPr>
                      <w:sz w:val="21"/>
                      <w:szCs w:val="21"/>
                    </w:rPr>
                  </w:pPr>
                </w:p>
              </w:tc>
              <w:tc>
                <w:tcPr>
                  <w:tcW w:w="426" w:type="pct"/>
                  <w:vMerge w:val="continue"/>
                  <w:vAlign w:val="center"/>
                </w:tcPr>
                <w:p w14:paraId="1846DC44">
                  <w:pPr>
                    <w:spacing w:line="276" w:lineRule="auto"/>
                    <w:jc w:val="center"/>
                    <w:rPr>
                      <w:sz w:val="21"/>
                      <w:szCs w:val="21"/>
                    </w:rPr>
                  </w:pPr>
                </w:p>
              </w:tc>
            </w:tr>
            <w:tr w14:paraId="7BECF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150331A4">
                  <w:pPr>
                    <w:spacing w:line="276" w:lineRule="auto"/>
                    <w:jc w:val="center"/>
                    <w:rPr>
                      <w:sz w:val="21"/>
                      <w:szCs w:val="21"/>
                    </w:rPr>
                  </w:pPr>
                  <w:r>
                    <w:rPr>
                      <w:rFonts w:hint="eastAsia"/>
                      <w:sz w:val="21"/>
                      <w:szCs w:val="21"/>
                    </w:rPr>
                    <w:t>18</w:t>
                  </w:r>
                </w:p>
              </w:tc>
              <w:tc>
                <w:tcPr>
                  <w:tcW w:w="631" w:type="pct"/>
                  <w:vAlign w:val="center"/>
                </w:tcPr>
                <w:p w14:paraId="5EA2C04F">
                  <w:pPr>
                    <w:spacing w:line="276" w:lineRule="auto"/>
                    <w:jc w:val="center"/>
                    <w:rPr>
                      <w:sz w:val="21"/>
                      <w:szCs w:val="21"/>
                    </w:rPr>
                  </w:pPr>
                  <w:r>
                    <w:rPr>
                      <w:rFonts w:hint="eastAsia"/>
                      <w:sz w:val="21"/>
                      <w:szCs w:val="21"/>
                    </w:rPr>
                    <w:t>机油</w:t>
                  </w:r>
                </w:p>
              </w:tc>
              <w:tc>
                <w:tcPr>
                  <w:tcW w:w="710" w:type="pct"/>
                  <w:vAlign w:val="center"/>
                </w:tcPr>
                <w:p w14:paraId="1AD601ED">
                  <w:pPr>
                    <w:spacing w:line="276" w:lineRule="auto"/>
                    <w:jc w:val="center"/>
                    <w:rPr>
                      <w:sz w:val="21"/>
                      <w:szCs w:val="21"/>
                    </w:rPr>
                  </w:pPr>
                  <w:r>
                    <w:rPr>
                      <w:rFonts w:hint="eastAsia"/>
                      <w:sz w:val="21"/>
                      <w:szCs w:val="21"/>
                    </w:rPr>
                    <w:t>0.5t/a</w:t>
                  </w:r>
                </w:p>
              </w:tc>
              <w:tc>
                <w:tcPr>
                  <w:tcW w:w="466" w:type="pct"/>
                  <w:vAlign w:val="center"/>
                </w:tcPr>
                <w:p w14:paraId="70405AD4">
                  <w:pPr>
                    <w:spacing w:line="276" w:lineRule="auto"/>
                    <w:jc w:val="center"/>
                    <w:rPr>
                      <w:sz w:val="21"/>
                      <w:szCs w:val="21"/>
                    </w:rPr>
                  </w:pPr>
                  <w:r>
                    <w:rPr>
                      <w:rFonts w:hint="eastAsia"/>
                      <w:sz w:val="21"/>
                      <w:szCs w:val="21"/>
                    </w:rPr>
                    <w:t>/</w:t>
                  </w:r>
                </w:p>
              </w:tc>
              <w:tc>
                <w:tcPr>
                  <w:tcW w:w="667" w:type="pct"/>
                  <w:vAlign w:val="center"/>
                </w:tcPr>
                <w:p w14:paraId="5EF19B62">
                  <w:pPr>
                    <w:spacing w:line="276" w:lineRule="auto"/>
                    <w:jc w:val="center"/>
                    <w:rPr>
                      <w:sz w:val="21"/>
                      <w:szCs w:val="21"/>
                    </w:rPr>
                  </w:pPr>
                  <w:r>
                    <w:rPr>
                      <w:rFonts w:hint="eastAsia"/>
                      <w:sz w:val="21"/>
                      <w:szCs w:val="21"/>
                    </w:rPr>
                    <w:t>原料区</w:t>
                  </w:r>
                </w:p>
              </w:tc>
              <w:tc>
                <w:tcPr>
                  <w:tcW w:w="579" w:type="pct"/>
                  <w:vAlign w:val="center"/>
                </w:tcPr>
                <w:p w14:paraId="4CF01353">
                  <w:pPr>
                    <w:spacing w:line="276" w:lineRule="auto"/>
                    <w:jc w:val="center"/>
                    <w:rPr>
                      <w:sz w:val="21"/>
                      <w:szCs w:val="21"/>
                    </w:rPr>
                  </w:pPr>
                  <w:r>
                    <w:rPr>
                      <w:rFonts w:hint="eastAsia"/>
                      <w:sz w:val="21"/>
                      <w:szCs w:val="21"/>
                    </w:rPr>
                    <w:t>液体</w:t>
                  </w:r>
                </w:p>
              </w:tc>
              <w:tc>
                <w:tcPr>
                  <w:tcW w:w="767" w:type="pct"/>
                  <w:vAlign w:val="center"/>
                </w:tcPr>
                <w:p w14:paraId="6A9AB414">
                  <w:pPr>
                    <w:spacing w:line="276" w:lineRule="auto"/>
                    <w:jc w:val="center"/>
                    <w:rPr>
                      <w:sz w:val="21"/>
                      <w:szCs w:val="21"/>
                    </w:rPr>
                  </w:pPr>
                  <w:r>
                    <w:rPr>
                      <w:rFonts w:hint="eastAsia"/>
                      <w:sz w:val="21"/>
                      <w:szCs w:val="21"/>
                    </w:rPr>
                    <w:t>桶装25kg</w:t>
                  </w:r>
                </w:p>
              </w:tc>
              <w:tc>
                <w:tcPr>
                  <w:tcW w:w="506" w:type="pct"/>
                  <w:vAlign w:val="center"/>
                </w:tcPr>
                <w:p w14:paraId="7C594E81">
                  <w:pPr>
                    <w:spacing w:line="276" w:lineRule="auto"/>
                    <w:jc w:val="center"/>
                    <w:rPr>
                      <w:sz w:val="21"/>
                      <w:szCs w:val="21"/>
                    </w:rPr>
                  </w:pPr>
                  <w:r>
                    <w:rPr>
                      <w:rFonts w:hint="eastAsia"/>
                      <w:sz w:val="21"/>
                      <w:szCs w:val="21"/>
                    </w:rPr>
                    <w:t>/</w:t>
                  </w:r>
                </w:p>
              </w:tc>
              <w:tc>
                <w:tcPr>
                  <w:tcW w:w="426" w:type="pct"/>
                  <w:vMerge w:val="continue"/>
                  <w:vAlign w:val="center"/>
                </w:tcPr>
                <w:p w14:paraId="710A7B0A">
                  <w:pPr>
                    <w:spacing w:line="276" w:lineRule="auto"/>
                    <w:jc w:val="center"/>
                    <w:rPr>
                      <w:sz w:val="21"/>
                      <w:szCs w:val="21"/>
                    </w:rPr>
                  </w:pPr>
                </w:p>
              </w:tc>
            </w:tr>
            <w:tr w14:paraId="26E81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9"/>
                  <w:vAlign w:val="center"/>
                </w:tcPr>
                <w:p w14:paraId="0F347C5C">
                  <w:pPr>
                    <w:spacing w:line="276" w:lineRule="auto"/>
                    <w:jc w:val="center"/>
                    <w:rPr>
                      <w:b/>
                      <w:sz w:val="21"/>
                      <w:szCs w:val="21"/>
                    </w:rPr>
                  </w:pPr>
                  <w:r>
                    <w:rPr>
                      <w:b/>
                      <w:sz w:val="21"/>
                      <w:szCs w:val="21"/>
                    </w:rPr>
                    <w:t>能源消耗</w:t>
                  </w:r>
                </w:p>
              </w:tc>
            </w:tr>
            <w:tr w14:paraId="4D292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8" w:hRule="atLeast"/>
                <w:jc w:val="center"/>
              </w:trPr>
              <w:tc>
                <w:tcPr>
                  <w:tcW w:w="244" w:type="pct"/>
                  <w:vAlign w:val="center"/>
                </w:tcPr>
                <w:p w14:paraId="47AE8D18">
                  <w:pPr>
                    <w:spacing w:line="276" w:lineRule="auto"/>
                    <w:jc w:val="center"/>
                    <w:rPr>
                      <w:sz w:val="21"/>
                      <w:szCs w:val="21"/>
                    </w:rPr>
                  </w:pPr>
                  <w:r>
                    <w:rPr>
                      <w:sz w:val="21"/>
                      <w:szCs w:val="21"/>
                    </w:rPr>
                    <w:t>1</w:t>
                  </w:r>
                </w:p>
              </w:tc>
              <w:tc>
                <w:tcPr>
                  <w:tcW w:w="631" w:type="pct"/>
                  <w:vAlign w:val="center"/>
                </w:tcPr>
                <w:p w14:paraId="48596B26">
                  <w:pPr>
                    <w:spacing w:line="276" w:lineRule="auto"/>
                    <w:jc w:val="center"/>
                    <w:rPr>
                      <w:sz w:val="21"/>
                      <w:szCs w:val="21"/>
                    </w:rPr>
                  </w:pPr>
                  <w:r>
                    <w:rPr>
                      <w:sz w:val="21"/>
                      <w:szCs w:val="21"/>
                    </w:rPr>
                    <w:t>水</w:t>
                  </w:r>
                </w:p>
              </w:tc>
              <w:tc>
                <w:tcPr>
                  <w:tcW w:w="710" w:type="pct"/>
                  <w:vAlign w:val="center"/>
                </w:tcPr>
                <w:p w14:paraId="372D3B0F">
                  <w:pPr>
                    <w:spacing w:line="276" w:lineRule="auto"/>
                    <w:jc w:val="center"/>
                    <w:rPr>
                      <w:sz w:val="21"/>
                      <w:szCs w:val="21"/>
                    </w:rPr>
                  </w:pPr>
                  <w:r>
                    <w:rPr>
                      <w:rFonts w:hint="eastAsia"/>
                      <w:sz w:val="21"/>
                      <w:szCs w:val="21"/>
                    </w:rPr>
                    <w:t>573.168</w:t>
                  </w:r>
                  <w:r>
                    <w:rPr>
                      <w:sz w:val="21"/>
                      <w:szCs w:val="21"/>
                    </w:rPr>
                    <w:t>m</w:t>
                  </w:r>
                  <w:r>
                    <w:rPr>
                      <w:sz w:val="21"/>
                      <w:szCs w:val="21"/>
                      <w:vertAlign w:val="superscript"/>
                    </w:rPr>
                    <w:t>3</w:t>
                  </w:r>
                  <w:r>
                    <w:rPr>
                      <w:sz w:val="21"/>
                      <w:szCs w:val="21"/>
                    </w:rPr>
                    <w:t>/a</w:t>
                  </w:r>
                </w:p>
              </w:tc>
              <w:tc>
                <w:tcPr>
                  <w:tcW w:w="466" w:type="pct"/>
                  <w:vAlign w:val="center"/>
                </w:tcPr>
                <w:p w14:paraId="003A9DB4">
                  <w:pPr>
                    <w:spacing w:line="276" w:lineRule="auto"/>
                    <w:jc w:val="center"/>
                    <w:rPr>
                      <w:sz w:val="21"/>
                      <w:szCs w:val="21"/>
                    </w:rPr>
                  </w:pPr>
                  <w:r>
                    <w:rPr>
                      <w:sz w:val="21"/>
                      <w:szCs w:val="21"/>
                    </w:rPr>
                    <w:t>/</w:t>
                  </w:r>
                </w:p>
              </w:tc>
              <w:tc>
                <w:tcPr>
                  <w:tcW w:w="667" w:type="pct"/>
                  <w:vAlign w:val="center"/>
                </w:tcPr>
                <w:p w14:paraId="03C6DD88">
                  <w:pPr>
                    <w:spacing w:line="276" w:lineRule="auto"/>
                    <w:jc w:val="center"/>
                    <w:rPr>
                      <w:sz w:val="21"/>
                      <w:szCs w:val="21"/>
                    </w:rPr>
                  </w:pPr>
                  <w:r>
                    <w:rPr>
                      <w:sz w:val="21"/>
                      <w:szCs w:val="21"/>
                    </w:rPr>
                    <w:t>/</w:t>
                  </w:r>
                </w:p>
              </w:tc>
              <w:tc>
                <w:tcPr>
                  <w:tcW w:w="579" w:type="pct"/>
                  <w:vAlign w:val="center"/>
                </w:tcPr>
                <w:p w14:paraId="7F3C3617">
                  <w:pPr>
                    <w:spacing w:line="276" w:lineRule="auto"/>
                    <w:jc w:val="center"/>
                    <w:rPr>
                      <w:sz w:val="21"/>
                      <w:szCs w:val="21"/>
                    </w:rPr>
                  </w:pPr>
                  <w:r>
                    <w:rPr>
                      <w:sz w:val="21"/>
                      <w:szCs w:val="21"/>
                    </w:rPr>
                    <w:t>/</w:t>
                  </w:r>
                </w:p>
              </w:tc>
              <w:tc>
                <w:tcPr>
                  <w:tcW w:w="767" w:type="pct"/>
                  <w:vAlign w:val="center"/>
                </w:tcPr>
                <w:p w14:paraId="08DDAC57">
                  <w:pPr>
                    <w:spacing w:line="276" w:lineRule="auto"/>
                    <w:jc w:val="center"/>
                    <w:rPr>
                      <w:sz w:val="21"/>
                      <w:szCs w:val="21"/>
                    </w:rPr>
                  </w:pPr>
                  <w:r>
                    <w:rPr>
                      <w:sz w:val="21"/>
                      <w:szCs w:val="21"/>
                    </w:rPr>
                    <w:t>/</w:t>
                  </w:r>
                </w:p>
              </w:tc>
              <w:tc>
                <w:tcPr>
                  <w:tcW w:w="506" w:type="pct"/>
                  <w:vAlign w:val="center"/>
                </w:tcPr>
                <w:p w14:paraId="32C3EE68">
                  <w:pPr>
                    <w:spacing w:line="276" w:lineRule="auto"/>
                    <w:jc w:val="center"/>
                    <w:rPr>
                      <w:sz w:val="21"/>
                      <w:szCs w:val="21"/>
                    </w:rPr>
                  </w:pPr>
                  <w:r>
                    <w:rPr>
                      <w:sz w:val="21"/>
                      <w:szCs w:val="21"/>
                    </w:rPr>
                    <w:t>/</w:t>
                  </w:r>
                </w:p>
              </w:tc>
              <w:tc>
                <w:tcPr>
                  <w:tcW w:w="426" w:type="pct"/>
                  <w:vAlign w:val="center"/>
                </w:tcPr>
                <w:p w14:paraId="4FFF3234">
                  <w:pPr>
                    <w:spacing w:line="276" w:lineRule="auto"/>
                    <w:jc w:val="center"/>
                    <w:rPr>
                      <w:sz w:val="21"/>
                      <w:szCs w:val="21"/>
                    </w:rPr>
                  </w:pPr>
                  <w:r>
                    <w:rPr>
                      <w:sz w:val="21"/>
                      <w:szCs w:val="21"/>
                    </w:rPr>
                    <w:t>市政管网</w:t>
                  </w:r>
                </w:p>
              </w:tc>
            </w:tr>
            <w:tr w14:paraId="2EA11C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44" w:type="pct"/>
                  <w:vAlign w:val="center"/>
                </w:tcPr>
                <w:p w14:paraId="49BFDEC9">
                  <w:pPr>
                    <w:spacing w:line="276" w:lineRule="auto"/>
                    <w:jc w:val="center"/>
                    <w:rPr>
                      <w:sz w:val="21"/>
                      <w:szCs w:val="21"/>
                    </w:rPr>
                  </w:pPr>
                  <w:r>
                    <w:rPr>
                      <w:sz w:val="21"/>
                      <w:szCs w:val="21"/>
                    </w:rPr>
                    <w:t>2</w:t>
                  </w:r>
                </w:p>
              </w:tc>
              <w:tc>
                <w:tcPr>
                  <w:tcW w:w="631" w:type="pct"/>
                  <w:vAlign w:val="center"/>
                </w:tcPr>
                <w:p w14:paraId="40483541">
                  <w:pPr>
                    <w:spacing w:line="276" w:lineRule="auto"/>
                    <w:jc w:val="center"/>
                    <w:rPr>
                      <w:sz w:val="21"/>
                      <w:szCs w:val="21"/>
                    </w:rPr>
                  </w:pPr>
                  <w:r>
                    <w:rPr>
                      <w:sz w:val="21"/>
                      <w:szCs w:val="21"/>
                    </w:rPr>
                    <w:t>电</w:t>
                  </w:r>
                </w:p>
              </w:tc>
              <w:tc>
                <w:tcPr>
                  <w:tcW w:w="710" w:type="pct"/>
                  <w:vAlign w:val="center"/>
                </w:tcPr>
                <w:p w14:paraId="3C194306">
                  <w:pPr>
                    <w:spacing w:line="276" w:lineRule="auto"/>
                    <w:jc w:val="center"/>
                    <w:rPr>
                      <w:sz w:val="21"/>
                      <w:szCs w:val="21"/>
                    </w:rPr>
                  </w:pPr>
                  <w:r>
                    <w:rPr>
                      <w:rFonts w:hint="eastAsia"/>
                      <w:sz w:val="21"/>
                      <w:szCs w:val="21"/>
                    </w:rPr>
                    <w:t>200</w:t>
                  </w:r>
                  <w:r>
                    <w:rPr>
                      <w:sz w:val="21"/>
                      <w:szCs w:val="21"/>
                    </w:rPr>
                    <w:t>万kWh/a</w:t>
                  </w:r>
                </w:p>
              </w:tc>
              <w:tc>
                <w:tcPr>
                  <w:tcW w:w="466" w:type="pct"/>
                  <w:vAlign w:val="center"/>
                </w:tcPr>
                <w:p w14:paraId="18E04C34">
                  <w:pPr>
                    <w:spacing w:line="276" w:lineRule="auto"/>
                    <w:jc w:val="center"/>
                    <w:rPr>
                      <w:sz w:val="21"/>
                      <w:szCs w:val="21"/>
                    </w:rPr>
                  </w:pPr>
                  <w:r>
                    <w:rPr>
                      <w:sz w:val="21"/>
                      <w:szCs w:val="21"/>
                    </w:rPr>
                    <w:t>/</w:t>
                  </w:r>
                </w:p>
              </w:tc>
              <w:tc>
                <w:tcPr>
                  <w:tcW w:w="667" w:type="pct"/>
                  <w:vAlign w:val="center"/>
                </w:tcPr>
                <w:p w14:paraId="02E2D3E7">
                  <w:pPr>
                    <w:spacing w:line="276" w:lineRule="auto"/>
                    <w:jc w:val="center"/>
                    <w:rPr>
                      <w:sz w:val="21"/>
                      <w:szCs w:val="21"/>
                    </w:rPr>
                  </w:pPr>
                  <w:r>
                    <w:rPr>
                      <w:sz w:val="21"/>
                      <w:szCs w:val="21"/>
                    </w:rPr>
                    <w:t>/</w:t>
                  </w:r>
                </w:p>
              </w:tc>
              <w:tc>
                <w:tcPr>
                  <w:tcW w:w="579" w:type="pct"/>
                  <w:vAlign w:val="center"/>
                </w:tcPr>
                <w:p w14:paraId="423F6B84">
                  <w:pPr>
                    <w:spacing w:line="276" w:lineRule="auto"/>
                    <w:jc w:val="center"/>
                    <w:rPr>
                      <w:sz w:val="21"/>
                      <w:szCs w:val="21"/>
                    </w:rPr>
                  </w:pPr>
                  <w:r>
                    <w:rPr>
                      <w:sz w:val="21"/>
                      <w:szCs w:val="21"/>
                    </w:rPr>
                    <w:t>/</w:t>
                  </w:r>
                </w:p>
              </w:tc>
              <w:tc>
                <w:tcPr>
                  <w:tcW w:w="767" w:type="pct"/>
                  <w:vAlign w:val="center"/>
                </w:tcPr>
                <w:p w14:paraId="0A0F362C">
                  <w:pPr>
                    <w:spacing w:line="276" w:lineRule="auto"/>
                    <w:jc w:val="center"/>
                    <w:rPr>
                      <w:sz w:val="21"/>
                      <w:szCs w:val="21"/>
                    </w:rPr>
                  </w:pPr>
                  <w:r>
                    <w:rPr>
                      <w:sz w:val="21"/>
                      <w:szCs w:val="21"/>
                    </w:rPr>
                    <w:t>/</w:t>
                  </w:r>
                </w:p>
              </w:tc>
              <w:tc>
                <w:tcPr>
                  <w:tcW w:w="506" w:type="pct"/>
                  <w:vAlign w:val="center"/>
                </w:tcPr>
                <w:p w14:paraId="6FA78D90">
                  <w:pPr>
                    <w:spacing w:line="276" w:lineRule="auto"/>
                    <w:jc w:val="center"/>
                    <w:rPr>
                      <w:sz w:val="21"/>
                      <w:szCs w:val="21"/>
                    </w:rPr>
                  </w:pPr>
                  <w:r>
                    <w:rPr>
                      <w:sz w:val="21"/>
                      <w:szCs w:val="21"/>
                    </w:rPr>
                    <w:t>/</w:t>
                  </w:r>
                </w:p>
              </w:tc>
              <w:tc>
                <w:tcPr>
                  <w:tcW w:w="426" w:type="pct"/>
                  <w:vAlign w:val="center"/>
                </w:tcPr>
                <w:p w14:paraId="619C0C13">
                  <w:pPr>
                    <w:spacing w:line="276" w:lineRule="auto"/>
                    <w:jc w:val="center"/>
                    <w:rPr>
                      <w:sz w:val="21"/>
                      <w:szCs w:val="21"/>
                    </w:rPr>
                  </w:pPr>
                  <w:r>
                    <w:rPr>
                      <w:sz w:val="21"/>
                      <w:szCs w:val="21"/>
                    </w:rPr>
                    <w:t>市政电网</w:t>
                  </w:r>
                </w:p>
              </w:tc>
            </w:tr>
            <w:tr w14:paraId="2B038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720" w:type="pct"/>
                  <w:gridSpan w:val="5"/>
                  <w:vAlign w:val="center"/>
                </w:tcPr>
                <w:p w14:paraId="1CDC7F35">
                  <w:pPr>
                    <w:spacing w:line="276" w:lineRule="auto"/>
                    <w:jc w:val="center"/>
                  </w:pPr>
                  <w:r>
                    <w:drawing>
                      <wp:inline distT="0" distB="0" distL="114300" distR="114300">
                        <wp:extent cx="2054860" cy="2232025"/>
                        <wp:effectExtent l="0" t="0" r="2540" b="15875"/>
                        <wp:docPr id="4" name="图片 4" descr="60d0512348837d740f1007001ab3d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0d0512348837d740f1007001ab3d2ec"/>
                                <pic:cNvPicPr>
                                  <a:picLocks noChangeAspect="1"/>
                                </pic:cNvPicPr>
                              </pic:nvPicPr>
                              <pic:blipFill>
                                <a:blip r:embed="rId8"/>
                                <a:srcRect t="19410" b="19483"/>
                                <a:stretch>
                                  <a:fillRect/>
                                </a:stretch>
                              </pic:blipFill>
                              <pic:spPr>
                                <a:xfrm>
                                  <a:off x="0" y="0"/>
                                  <a:ext cx="2054860" cy="2232025"/>
                                </a:xfrm>
                                <a:prstGeom prst="rect">
                                  <a:avLst/>
                                </a:prstGeom>
                              </pic:spPr>
                            </pic:pic>
                          </a:graphicData>
                        </a:graphic>
                      </wp:inline>
                    </w:drawing>
                  </w:r>
                </w:p>
              </w:tc>
              <w:tc>
                <w:tcPr>
                  <w:tcW w:w="2279" w:type="pct"/>
                  <w:gridSpan w:val="4"/>
                  <w:vAlign w:val="center"/>
                </w:tcPr>
                <w:p w14:paraId="207FA77A">
                  <w:pPr>
                    <w:spacing w:line="276" w:lineRule="auto"/>
                    <w:jc w:val="center"/>
                    <w:rPr>
                      <w:sz w:val="21"/>
                      <w:szCs w:val="21"/>
                    </w:rPr>
                  </w:pPr>
                  <w:r>
                    <w:rPr>
                      <w:rFonts w:hint="eastAsia"/>
                      <w:sz w:val="21"/>
                      <w:szCs w:val="21"/>
                    </w:rPr>
                    <w:drawing>
                      <wp:inline distT="0" distB="0" distL="114300" distR="114300">
                        <wp:extent cx="2012950" cy="2232025"/>
                        <wp:effectExtent l="0" t="0" r="6350" b="15875"/>
                        <wp:docPr id="5" name="图片 5" descr="1c07f309a4fb357ff02c53cbc9c147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07f309a4fb357ff02c53cbc9c147c6"/>
                                <pic:cNvPicPr>
                                  <a:picLocks noChangeAspect="1"/>
                                </pic:cNvPicPr>
                              </pic:nvPicPr>
                              <pic:blipFill>
                                <a:blip r:embed="rId9"/>
                                <a:srcRect t="18510" b="19031"/>
                                <a:stretch>
                                  <a:fillRect/>
                                </a:stretch>
                              </pic:blipFill>
                              <pic:spPr>
                                <a:xfrm>
                                  <a:off x="0" y="0"/>
                                  <a:ext cx="2012950" cy="2232025"/>
                                </a:xfrm>
                                <a:prstGeom prst="rect">
                                  <a:avLst/>
                                </a:prstGeom>
                              </pic:spPr>
                            </pic:pic>
                          </a:graphicData>
                        </a:graphic>
                      </wp:inline>
                    </w:drawing>
                  </w:r>
                </w:p>
              </w:tc>
            </w:tr>
            <w:tr w14:paraId="2C396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2720" w:type="pct"/>
                  <w:gridSpan w:val="5"/>
                  <w:vAlign w:val="center"/>
                </w:tcPr>
                <w:p w14:paraId="7F4350F3">
                  <w:pPr>
                    <w:spacing w:line="276" w:lineRule="auto"/>
                    <w:jc w:val="center"/>
                    <w:rPr>
                      <w:sz w:val="21"/>
                      <w:szCs w:val="21"/>
                    </w:rPr>
                  </w:pPr>
                  <w:r>
                    <w:rPr>
                      <w:rFonts w:hint="eastAsia"/>
                      <w:sz w:val="21"/>
                      <w:szCs w:val="21"/>
                    </w:rPr>
                    <w:t>衬套芯子</w:t>
                  </w:r>
                </w:p>
              </w:tc>
              <w:tc>
                <w:tcPr>
                  <w:tcW w:w="2279" w:type="pct"/>
                  <w:gridSpan w:val="4"/>
                  <w:vAlign w:val="center"/>
                </w:tcPr>
                <w:p w14:paraId="2DA05A32">
                  <w:pPr>
                    <w:spacing w:line="276" w:lineRule="auto"/>
                    <w:jc w:val="center"/>
                    <w:rPr>
                      <w:sz w:val="21"/>
                      <w:szCs w:val="21"/>
                    </w:rPr>
                  </w:pPr>
                  <w:r>
                    <w:rPr>
                      <w:rFonts w:hint="eastAsia"/>
                      <w:sz w:val="21"/>
                      <w:szCs w:val="21"/>
                    </w:rPr>
                    <w:t>衬套外管</w:t>
                  </w:r>
                </w:p>
              </w:tc>
            </w:tr>
          </w:tbl>
          <w:p w14:paraId="6D70F8EC">
            <w:pPr>
              <w:spacing w:line="360" w:lineRule="auto"/>
              <w:jc w:val="center"/>
              <w:rPr>
                <w:b/>
              </w:rPr>
            </w:pPr>
            <w:r>
              <w:rPr>
                <w:rFonts w:hint="eastAsia" w:eastAsia="黑体"/>
              </w:rPr>
              <w:t>表2-6混炼胶理化性质一览表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529"/>
              <w:gridCol w:w="1107"/>
              <w:gridCol w:w="4229"/>
            </w:tblGrid>
            <w:tr w14:paraId="453B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noWrap/>
                  <w:vAlign w:val="center"/>
                </w:tcPr>
                <w:p w14:paraId="3DF6F453">
                  <w:pPr>
                    <w:spacing w:line="276" w:lineRule="auto"/>
                    <w:jc w:val="center"/>
                    <w:rPr>
                      <w:b/>
                      <w:sz w:val="21"/>
                      <w:szCs w:val="21"/>
                    </w:rPr>
                  </w:pPr>
                  <w:r>
                    <w:rPr>
                      <w:rFonts w:hint="eastAsia"/>
                      <w:b/>
                      <w:sz w:val="21"/>
                      <w:szCs w:val="21"/>
                    </w:rPr>
                    <w:t>名称</w:t>
                  </w:r>
                </w:p>
              </w:tc>
              <w:tc>
                <w:tcPr>
                  <w:tcW w:w="985" w:type="pct"/>
                  <w:noWrap/>
                  <w:vAlign w:val="center"/>
                </w:tcPr>
                <w:p w14:paraId="6DC36745">
                  <w:pPr>
                    <w:spacing w:line="276" w:lineRule="auto"/>
                    <w:jc w:val="center"/>
                    <w:rPr>
                      <w:b/>
                      <w:sz w:val="21"/>
                      <w:szCs w:val="21"/>
                    </w:rPr>
                  </w:pPr>
                  <w:r>
                    <w:rPr>
                      <w:rFonts w:hint="eastAsia"/>
                      <w:b/>
                      <w:sz w:val="21"/>
                      <w:szCs w:val="21"/>
                    </w:rPr>
                    <w:t>主要成分</w:t>
                  </w:r>
                </w:p>
              </w:tc>
              <w:tc>
                <w:tcPr>
                  <w:tcW w:w="713" w:type="pct"/>
                  <w:noWrap/>
                </w:tcPr>
                <w:p w14:paraId="191E14D7">
                  <w:pPr>
                    <w:spacing w:line="276" w:lineRule="auto"/>
                    <w:jc w:val="center"/>
                    <w:rPr>
                      <w:b/>
                      <w:sz w:val="21"/>
                      <w:szCs w:val="21"/>
                    </w:rPr>
                  </w:pPr>
                  <w:r>
                    <w:rPr>
                      <w:rFonts w:hint="eastAsia"/>
                      <w:b/>
                      <w:sz w:val="21"/>
                      <w:szCs w:val="21"/>
                    </w:rPr>
                    <w:t>含量</w:t>
                  </w:r>
                </w:p>
              </w:tc>
              <w:tc>
                <w:tcPr>
                  <w:tcW w:w="2723" w:type="pct"/>
                  <w:noWrap/>
                  <w:vAlign w:val="center"/>
                </w:tcPr>
                <w:p w14:paraId="378D560D">
                  <w:pPr>
                    <w:spacing w:line="276" w:lineRule="auto"/>
                    <w:jc w:val="center"/>
                    <w:rPr>
                      <w:b/>
                      <w:sz w:val="21"/>
                      <w:szCs w:val="21"/>
                    </w:rPr>
                  </w:pPr>
                  <w:r>
                    <w:rPr>
                      <w:rFonts w:hint="eastAsia"/>
                      <w:b/>
                      <w:sz w:val="21"/>
                      <w:szCs w:val="21"/>
                    </w:rPr>
                    <w:t>理化性质</w:t>
                  </w:r>
                </w:p>
              </w:tc>
            </w:tr>
            <w:tr w14:paraId="4070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noWrap/>
                  <w:vAlign w:val="center"/>
                </w:tcPr>
                <w:p w14:paraId="190B51C4">
                  <w:pPr>
                    <w:spacing w:line="276" w:lineRule="auto"/>
                    <w:jc w:val="center"/>
                    <w:rPr>
                      <w:bCs/>
                      <w:sz w:val="21"/>
                      <w:szCs w:val="21"/>
                    </w:rPr>
                  </w:pPr>
                  <w:r>
                    <w:rPr>
                      <w:rFonts w:hint="eastAsia"/>
                      <w:bCs/>
                      <w:sz w:val="21"/>
                      <w:szCs w:val="21"/>
                    </w:rPr>
                    <w:t>天然胶</w:t>
                  </w:r>
                </w:p>
              </w:tc>
              <w:tc>
                <w:tcPr>
                  <w:tcW w:w="985" w:type="pct"/>
                  <w:noWrap/>
                  <w:vAlign w:val="center"/>
                </w:tcPr>
                <w:p w14:paraId="1C17F98C">
                  <w:pPr>
                    <w:spacing w:line="276" w:lineRule="auto"/>
                    <w:jc w:val="center"/>
                    <w:rPr>
                      <w:bCs/>
                      <w:sz w:val="21"/>
                      <w:szCs w:val="21"/>
                    </w:rPr>
                  </w:pPr>
                  <w:r>
                    <w:rPr>
                      <w:rFonts w:hint="eastAsia"/>
                      <w:bCs/>
                      <w:sz w:val="21"/>
                      <w:szCs w:val="21"/>
                    </w:rPr>
                    <w:t>（C</w:t>
                  </w:r>
                  <w:r>
                    <w:rPr>
                      <w:rFonts w:hint="eastAsia"/>
                      <w:bCs/>
                      <w:sz w:val="21"/>
                      <w:szCs w:val="21"/>
                      <w:vertAlign w:val="subscript"/>
                    </w:rPr>
                    <w:t>3</w:t>
                  </w:r>
                  <w:r>
                    <w:rPr>
                      <w:rFonts w:hint="eastAsia"/>
                      <w:bCs/>
                      <w:sz w:val="21"/>
                      <w:szCs w:val="21"/>
                    </w:rPr>
                    <w:t>H</w:t>
                  </w:r>
                  <w:r>
                    <w:rPr>
                      <w:rFonts w:hint="eastAsia"/>
                      <w:bCs/>
                      <w:sz w:val="21"/>
                      <w:szCs w:val="21"/>
                      <w:vertAlign w:val="subscript"/>
                    </w:rPr>
                    <w:t>8</w:t>
                  </w:r>
                  <w:r>
                    <w:rPr>
                      <w:rFonts w:hint="eastAsia"/>
                      <w:bCs/>
                      <w:sz w:val="21"/>
                      <w:szCs w:val="21"/>
                    </w:rPr>
                    <w:t>）n</w:t>
                  </w:r>
                </w:p>
              </w:tc>
              <w:tc>
                <w:tcPr>
                  <w:tcW w:w="713" w:type="pct"/>
                  <w:noWrap/>
                  <w:vAlign w:val="center"/>
                </w:tcPr>
                <w:p w14:paraId="0494C629">
                  <w:pPr>
                    <w:spacing w:line="276" w:lineRule="auto"/>
                    <w:jc w:val="center"/>
                    <w:rPr>
                      <w:bCs/>
                      <w:sz w:val="21"/>
                      <w:szCs w:val="21"/>
                    </w:rPr>
                  </w:pPr>
                  <w:r>
                    <w:rPr>
                      <w:rFonts w:hint="eastAsia"/>
                      <w:bCs/>
                      <w:sz w:val="21"/>
                      <w:szCs w:val="21"/>
                    </w:rPr>
                    <w:t>≤50%</w:t>
                  </w:r>
                </w:p>
              </w:tc>
              <w:tc>
                <w:tcPr>
                  <w:tcW w:w="2723" w:type="pct"/>
                  <w:noWrap/>
                  <w:vAlign w:val="center"/>
                </w:tcPr>
                <w:p w14:paraId="13D65202">
                  <w:pPr>
                    <w:spacing w:line="276" w:lineRule="auto"/>
                    <w:jc w:val="center"/>
                    <w:rPr>
                      <w:bCs/>
                      <w:sz w:val="21"/>
                      <w:szCs w:val="21"/>
                    </w:rPr>
                  </w:pPr>
                  <w:r>
                    <w:rPr>
                      <w:rFonts w:hint="eastAsia"/>
                      <w:bCs/>
                      <w:sz w:val="21"/>
                      <w:szCs w:val="21"/>
                    </w:rPr>
                    <w:t>天然橡胶是一种以聚异戊二烯为主要成分的天然高分子化合物，分子式是（C</w:t>
                  </w:r>
                  <w:r>
                    <w:rPr>
                      <w:rFonts w:hint="eastAsia"/>
                      <w:bCs/>
                      <w:sz w:val="21"/>
                      <w:szCs w:val="21"/>
                      <w:vertAlign w:val="subscript"/>
                    </w:rPr>
                    <w:t>3</w:t>
                  </w:r>
                  <w:r>
                    <w:rPr>
                      <w:rFonts w:hint="eastAsia"/>
                      <w:bCs/>
                      <w:sz w:val="21"/>
                      <w:szCs w:val="21"/>
                    </w:rPr>
                    <w:t>H</w:t>
                  </w:r>
                  <w:r>
                    <w:rPr>
                      <w:rFonts w:hint="eastAsia"/>
                      <w:bCs/>
                      <w:sz w:val="21"/>
                      <w:szCs w:val="21"/>
                      <w:vertAlign w:val="subscript"/>
                    </w:rPr>
                    <w:t>8</w:t>
                  </w:r>
                  <w:r>
                    <w:rPr>
                      <w:rFonts w:hint="eastAsia"/>
                      <w:bCs/>
                      <w:sz w:val="21"/>
                      <w:szCs w:val="21"/>
                    </w:rPr>
                    <w:t>）n，其成分中91%~94%是橡胶烃（聚异戊二烯），其余为蛋白质、脂肪酸、灰分、糖类等非橡胶物质。天然橡胶是应用最广的通用橡胶。一般为片状固体，相对密度0.94，折射率1.522，弹性膜量2~4MPa，常温下有较高弹性，略有塑性，低温时结晶硬化。有较好的耐碱性，但不耐强酸。不溶于水、低级酮和醇类，在非极性溶剂和三氯甲烷、四氯化碳等中能溶胀</w:t>
                  </w:r>
                </w:p>
              </w:tc>
            </w:tr>
            <w:tr w14:paraId="2405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77" w:type="pct"/>
                  <w:noWrap/>
                  <w:vAlign w:val="center"/>
                </w:tcPr>
                <w:p w14:paraId="62D7A9BD">
                  <w:pPr>
                    <w:spacing w:line="276" w:lineRule="auto"/>
                    <w:jc w:val="center"/>
                    <w:rPr>
                      <w:bCs/>
                      <w:sz w:val="21"/>
                      <w:szCs w:val="21"/>
                    </w:rPr>
                  </w:pPr>
                  <w:r>
                    <w:rPr>
                      <w:rFonts w:hint="eastAsia"/>
                      <w:bCs/>
                      <w:sz w:val="21"/>
                      <w:szCs w:val="21"/>
                    </w:rPr>
                    <w:t>促进剂</w:t>
                  </w:r>
                </w:p>
              </w:tc>
              <w:tc>
                <w:tcPr>
                  <w:tcW w:w="985" w:type="pct"/>
                  <w:noWrap/>
                  <w:vAlign w:val="center"/>
                </w:tcPr>
                <w:p w14:paraId="6B58B5A7">
                  <w:pPr>
                    <w:spacing w:line="276" w:lineRule="auto"/>
                    <w:jc w:val="center"/>
                    <w:rPr>
                      <w:bCs/>
                      <w:sz w:val="21"/>
                      <w:szCs w:val="21"/>
                    </w:rPr>
                  </w:pPr>
                  <w:r>
                    <w:rPr>
                      <w:rFonts w:hint="eastAsia"/>
                      <w:bCs/>
                      <w:sz w:val="21"/>
                      <w:szCs w:val="21"/>
                    </w:rPr>
                    <w:t>硫磺（S）</w:t>
                  </w:r>
                </w:p>
              </w:tc>
              <w:tc>
                <w:tcPr>
                  <w:tcW w:w="713" w:type="pct"/>
                  <w:noWrap/>
                  <w:vAlign w:val="center"/>
                </w:tcPr>
                <w:p w14:paraId="537D1C64">
                  <w:pPr>
                    <w:spacing w:line="276" w:lineRule="auto"/>
                    <w:jc w:val="center"/>
                    <w:rPr>
                      <w:bCs/>
                      <w:sz w:val="21"/>
                      <w:szCs w:val="21"/>
                    </w:rPr>
                  </w:pPr>
                  <w:r>
                    <w:rPr>
                      <w:rFonts w:hint="eastAsia"/>
                      <w:bCs/>
                      <w:sz w:val="21"/>
                      <w:szCs w:val="21"/>
                    </w:rPr>
                    <w:t>≤1%</w:t>
                  </w:r>
                </w:p>
              </w:tc>
              <w:tc>
                <w:tcPr>
                  <w:tcW w:w="2723" w:type="pct"/>
                  <w:noWrap/>
                  <w:vAlign w:val="center"/>
                </w:tcPr>
                <w:p w14:paraId="67A8E6A9">
                  <w:pPr>
                    <w:spacing w:line="276" w:lineRule="auto"/>
                    <w:jc w:val="center"/>
                    <w:rPr>
                      <w:bCs/>
                      <w:sz w:val="21"/>
                      <w:szCs w:val="21"/>
                    </w:rPr>
                  </w:pPr>
                  <w:r>
                    <w:rPr>
                      <w:rFonts w:hint="eastAsia"/>
                      <w:bCs/>
                      <w:sz w:val="21"/>
                      <w:szCs w:val="21"/>
                    </w:rPr>
                    <w:t>是橡胶工业中最重要的硫化剂，价格低廉，在天然胶及</w:t>
                  </w:r>
                  <w:r>
                    <w:fldChar w:fldCharType="begin"/>
                  </w:r>
                  <w:r>
                    <w:instrText xml:space="preserve"> HYPERLINK "https://baike.baidu.com/item/%E5%90%88%E6%88%90%E6%A9%A1%E8%83%B6/828950?fromModule=lemma_inlink" \t "_blank" </w:instrText>
                  </w:r>
                  <w:r>
                    <w:fldChar w:fldCharType="separate"/>
                  </w:r>
                  <w:r>
                    <w:rPr>
                      <w:rFonts w:hint="eastAsia"/>
                      <w:bCs/>
                      <w:sz w:val="21"/>
                      <w:szCs w:val="21"/>
                    </w:rPr>
                    <w:t>合成橡胶</w:t>
                  </w:r>
                  <w:r>
                    <w:rPr>
                      <w:rFonts w:hint="eastAsia"/>
                      <w:bCs/>
                      <w:sz w:val="21"/>
                      <w:szCs w:val="21"/>
                    </w:rPr>
                    <w:fldChar w:fldCharType="end"/>
                  </w:r>
                  <w:r>
                    <w:rPr>
                      <w:rFonts w:hint="eastAsia"/>
                      <w:bCs/>
                      <w:sz w:val="21"/>
                      <w:szCs w:val="21"/>
                    </w:rPr>
                    <w:t>中使用最广泛。它是通过80%硫磺和20%高聚物（</w:t>
                  </w:r>
                  <w:r>
                    <w:fldChar w:fldCharType="begin"/>
                  </w:r>
                  <w:r>
                    <w:instrText xml:space="preserve"> HYPERLINK "https://baike.baidu.com/item/%E4%B8%89%E5%85%83%E4%B9%99%E4%B8%99%E6%A9%A1%E8%83%B6/4359176?fromModule=lemma_inlink" \t "_blank" </w:instrText>
                  </w:r>
                  <w:r>
                    <w:fldChar w:fldCharType="separate"/>
                  </w:r>
                  <w:r>
                    <w:rPr>
                      <w:rFonts w:hint="eastAsia"/>
                      <w:bCs/>
                      <w:sz w:val="21"/>
                      <w:szCs w:val="21"/>
                    </w:rPr>
                    <w:t>三元乙丙橡胶</w:t>
                  </w:r>
                  <w:r>
                    <w:rPr>
                      <w:rFonts w:hint="eastAsia"/>
                      <w:bCs/>
                      <w:sz w:val="21"/>
                      <w:szCs w:val="21"/>
                    </w:rPr>
                    <w:fldChar w:fldCharType="end"/>
                  </w:r>
                  <w:r>
                    <w:rPr>
                      <w:rFonts w:hint="eastAsia"/>
                      <w:bCs/>
                      <w:sz w:val="21"/>
                      <w:szCs w:val="21"/>
                    </w:rPr>
                    <w:t>、丙烯酸橡胶等）预分散制得的橡胶母粒，外观呈黄色，比重1.96-2.07g/cm</w:t>
                  </w:r>
                  <w:r>
                    <w:rPr>
                      <w:rFonts w:hint="eastAsia"/>
                      <w:bCs/>
                      <w:sz w:val="21"/>
                      <w:szCs w:val="21"/>
                      <w:vertAlign w:val="superscript"/>
                    </w:rPr>
                    <w:t>3</w:t>
                  </w:r>
                  <w:r>
                    <w:rPr>
                      <w:rFonts w:hint="eastAsia"/>
                      <w:bCs/>
                      <w:sz w:val="21"/>
                      <w:szCs w:val="21"/>
                    </w:rPr>
                    <w:t>，熔点112.8-119.3℃，溶于二硫化碳、四氯化碳和苯，不溶于水，稍溶于乙醇和乙醚。具有更好的分散性、可以缩短混炼时间，与胶料的相容性更好、无粉尘飞扬，改善工作环境等特点</w:t>
                  </w:r>
                </w:p>
              </w:tc>
            </w:tr>
            <w:tr w14:paraId="62FC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96" w:type="dxa"/>
                  <w:vAlign w:val="center"/>
                </w:tcPr>
                <w:p w14:paraId="6F2C36C6">
                  <w:pPr>
                    <w:spacing w:line="276" w:lineRule="auto"/>
                    <w:jc w:val="center"/>
                    <w:rPr>
                      <w:bCs/>
                      <w:sz w:val="21"/>
                      <w:szCs w:val="21"/>
                    </w:rPr>
                  </w:pPr>
                  <w:r>
                    <w:rPr>
                      <w:rFonts w:hint="eastAsia"/>
                      <w:bCs/>
                      <w:sz w:val="21"/>
                      <w:szCs w:val="21"/>
                    </w:rPr>
                    <w:t>防老剂</w:t>
                  </w:r>
                </w:p>
              </w:tc>
              <w:tc>
                <w:tcPr>
                  <w:tcW w:w="985" w:type="pct"/>
                  <w:vAlign w:val="center"/>
                </w:tcPr>
                <w:p w14:paraId="3A256BA4">
                  <w:pPr>
                    <w:spacing w:line="276" w:lineRule="auto"/>
                    <w:jc w:val="center"/>
                    <w:rPr>
                      <w:bCs/>
                      <w:sz w:val="21"/>
                      <w:szCs w:val="21"/>
                    </w:rPr>
                  </w:pPr>
                  <w:r>
                    <w:rPr>
                      <w:rFonts w:hint="eastAsia"/>
                      <w:bCs/>
                      <w:sz w:val="21"/>
                      <w:szCs w:val="21"/>
                    </w:rPr>
                    <w:t>C</w:t>
                  </w:r>
                  <w:r>
                    <w:rPr>
                      <w:rFonts w:hint="eastAsia"/>
                      <w:bCs/>
                      <w:sz w:val="21"/>
                      <w:szCs w:val="21"/>
                      <w:vertAlign w:val="subscript"/>
                    </w:rPr>
                    <w:t>15</w:t>
                  </w:r>
                  <w:r>
                    <w:rPr>
                      <w:rFonts w:hint="eastAsia"/>
                      <w:bCs/>
                      <w:sz w:val="21"/>
                      <w:szCs w:val="21"/>
                    </w:rPr>
                    <w:t>H</w:t>
                  </w:r>
                  <w:r>
                    <w:rPr>
                      <w:rFonts w:hint="eastAsia"/>
                      <w:bCs/>
                      <w:sz w:val="21"/>
                      <w:szCs w:val="21"/>
                      <w:vertAlign w:val="subscript"/>
                    </w:rPr>
                    <w:t>18</w:t>
                  </w:r>
                  <w:r>
                    <w:rPr>
                      <w:rFonts w:hint="eastAsia"/>
                      <w:bCs/>
                      <w:sz w:val="21"/>
                      <w:szCs w:val="21"/>
                    </w:rPr>
                    <w:t>N</w:t>
                  </w:r>
                  <w:r>
                    <w:rPr>
                      <w:rFonts w:hint="eastAsia"/>
                      <w:bCs/>
                      <w:sz w:val="21"/>
                      <w:szCs w:val="21"/>
                      <w:vertAlign w:val="subscript"/>
                    </w:rPr>
                    <w:t>2</w:t>
                  </w:r>
                </w:p>
              </w:tc>
              <w:tc>
                <w:tcPr>
                  <w:tcW w:w="713" w:type="pct"/>
                  <w:vAlign w:val="center"/>
                </w:tcPr>
                <w:p w14:paraId="13BE62B3">
                  <w:pPr>
                    <w:spacing w:line="276" w:lineRule="auto"/>
                    <w:jc w:val="center"/>
                    <w:rPr>
                      <w:bCs/>
                      <w:sz w:val="21"/>
                      <w:szCs w:val="21"/>
                    </w:rPr>
                  </w:pPr>
                  <w:r>
                    <w:rPr>
                      <w:rFonts w:hint="eastAsia"/>
                      <w:bCs/>
                      <w:sz w:val="21"/>
                      <w:szCs w:val="21"/>
                    </w:rPr>
                    <w:t>≤14%</w:t>
                  </w:r>
                </w:p>
              </w:tc>
              <w:tc>
                <w:tcPr>
                  <w:tcW w:w="2723" w:type="pct"/>
                  <w:vAlign w:val="center"/>
                </w:tcPr>
                <w:p w14:paraId="67FDF15E">
                  <w:pPr>
                    <w:spacing w:line="276" w:lineRule="auto"/>
                    <w:jc w:val="center"/>
                    <w:rPr>
                      <w:bCs/>
                      <w:sz w:val="21"/>
                      <w:szCs w:val="21"/>
                    </w:rPr>
                  </w:pPr>
                  <w:r>
                    <w:rPr>
                      <w:rFonts w:hint="eastAsia"/>
                      <w:bCs/>
                      <w:sz w:val="21"/>
                      <w:szCs w:val="21"/>
                    </w:rPr>
                    <w:t>N-异丙基-N’-苯基对苯二胺，分子式是C15H18N2，浅红色至紫红色、褐色粒状。暴露在空气中或日光下颜色逐渐变深，但不影响性能。溶于丙酮、甲苯、醋酸乙酯、二氯甲烷、乙醇，微溶于溶剂汽油和庚烷，不溶于水和酸。高效防老剂，用于天然橡胶及其他橡胶中特别有效。</w:t>
                  </w:r>
                </w:p>
              </w:tc>
            </w:tr>
            <w:tr w14:paraId="5B47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vAlign w:val="center"/>
                </w:tcPr>
                <w:p w14:paraId="4CA1A441">
                  <w:pPr>
                    <w:spacing w:line="276" w:lineRule="auto"/>
                    <w:jc w:val="center"/>
                    <w:rPr>
                      <w:bCs/>
                      <w:sz w:val="21"/>
                      <w:szCs w:val="21"/>
                    </w:rPr>
                  </w:pPr>
                  <w:r>
                    <w:rPr>
                      <w:rFonts w:hint="eastAsia"/>
                      <w:bCs/>
                      <w:sz w:val="21"/>
                      <w:szCs w:val="21"/>
                    </w:rPr>
                    <w:t>炭黑</w:t>
                  </w:r>
                </w:p>
              </w:tc>
              <w:tc>
                <w:tcPr>
                  <w:tcW w:w="1530" w:type="dxa"/>
                  <w:vAlign w:val="center"/>
                </w:tcPr>
                <w:p w14:paraId="53751E79">
                  <w:pPr>
                    <w:spacing w:line="276" w:lineRule="auto"/>
                    <w:jc w:val="center"/>
                    <w:rPr>
                      <w:bCs/>
                      <w:sz w:val="21"/>
                      <w:szCs w:val="21"/>
                    </w:rPr>
                  </w:pPr>
                  <w:r>
                    <w:rPr>
                      <w:rFonts w:hint="eastAsia"/>
                      <w:bCs/>
                      <w:sz w:val="21"/>
                      <w:szCs w:val="21"/>
                    </w:rPr>
                    <w:t>/</w:t>
                  </w:r>
                </w:p>
              </w:tc>
              <w:tc>
                <w:tcPr>
                  <w:tcW w:w="1108" w:type="dxa"/>
                  <w:vAlign w:val="center"/>
                </w:tcPr>
                <w:p w14:paraId="36FE9EAC">
                  <w:pPr>
                    <w:spacing w:line="276" w:lineRule="auto"/>
                    <w:jc w:val="center"/>
                    <w:rPr>
                      <w:bCs/>
                      <w:sz w:val="21"/>
                      <w:szCs w:val="21"/>
                    </w:rPr>
                  </w:pPr>
                  <w:r>
                    <w:rPr>
                      <w:rFonts w:hint="eastAsia"/>
                      <w:bCs/>
                      <w:sz w:val="21"/>
                      <w:szCs w:val="21"/>
                    </w:rPr>
                    <w:t>≤30%</w:t>
                  </w:r>
                </w:p>
              </w:tc>
              <w:tc>
                <w:tcPr>
                  <w:tcW w:w="4228" w:type="dxa"/>
                  <w:vAlign w:val="center"/>
                </w:tcPr>
                <w:p w14:paraId="7C9B81F0">
                  <w:pPr>
                    <w:spacing w:line="276" w:lineRule="auto"/>
                    <w:jc w:val="center"/>
                    <w:rPr>
                      <w:bCs/>
                      <w:sz w:val="21"/>
                      <w:szCs w:val="21"/>
                    </w:rPr>
                  </w:pPr>
                  <w:r>
                    <w:rPr>
                      <w:rFonts w:hint="eastAsia"/>
                      <w:bCs/>
                      <w:sz w:val="21"/>
                      <w:szCs w:val="21"/>
                    </w:rPr>
                    <w:t>是碳的结晶矿物之一，灰黑色或钢灰色，有金属光泽，低硬度，具有滑感，易染手，化学性能稳定，能传热导电，耐高温性良好。由于其晶体细小，可塑性强、粘附力良好。于450℃开始氧化。在常温时不活泼，仅用浓硝酸或氯酸钾强氧化剂处理，可得无传导性的石墨酸或石墨氧化物。在420℃吸收氟生成氟化碳而失去光泽和传导性。与其他气体仅是物理吸附而无反应，因而具有耐高温和良好的热稳定性、导电性、导热性、可塑性和耐酸、耐碱、耐有机溶剂腐蚀的化学稳定性，及突出的润滑性，但在真空条件下将失去其润滑性。黑色粉末。性质稳定。高温下可与多种金属形成碳化物，与氧等活泼非金属反应。</w:t>
                  </w:r>
                </w:p>
              </w:tc>
            </w:tr>
          </w:tbl>
          <w:p w14:paraId="267140B1">
            <w:pPr>
              <w:spacing w:line="360" w:lineRule="auto"/>
              <w:ind w:firstLine="482" w:firstLineChars="200"/>
              <w:jc w:val="left"/>
              <w:rPr>
                <w:b/>
              </w:rPr>
            </w:pPr>
            <w:r>
              <w:rPr>
                <w:rFonts w:hint="eastAsia"/>
                <w:b/>
              </w:rPr>
              <w:t>脱模剂理化性质：</w:t>
            </w:r>
          </w:p>
          <w:p w14:paraId="571F1986">
            <w:pPr>
              <w:pStyle w:val="7"/>
              <w:snapToGrid/>
              <w:spacing w:before="0" w:after="0" w:line="360" w:lineRule="auto"/>
              <w:ind w:firstLine="480" w:firstLineChars="200"/>
              <w:rPr>
                <w:sz w:val="24"/>
                <w:szCs w:val="24"/>
              </w:rPr>
            </w:pPr>
            <w:r>
              <w:rPr>
                <w:rFonts w:hint="eastAsia"/>
                <w:sz w:val="24"/>
                <w:szCs w:val="24"/>
              </w:rPr>
              <w:t>本项目使用脱模剂为M-603W氟改性硅树脂水性高浓缩型脱模剂。主要成分为水和氟改性硅树脂，成分比为：水占92~94%，</w:t>
            </w:r>
            <w:r>
              <w:rPr>
                <w:sz w:val="24"/>
                <w:szCs w:val="24"/>
              </w:rPr>
              <w:t>氟改性硅树脂</w:t>
            </w:r>
            <w:r>
              <w:rPr>
                <w:rFonts w:hint="eastAsia"/>
                <w:sz w:val="24"/>
                <w:szCs w:val="24"/>
              </w:rPr>
              <w:t>占6~8%。</w:t>
            </w:r>
          </w:p>
          <w:p w14:paraId="6BC38D1B">
            <w:pPr>
              <w:pStyle w:val="7"/>
              <w:snapToGrid/>
              <w:spacing w:before="0" w:after="0" w:line="360" w:lineRule="auto"/>
              <w:ind w:firstLine="480" w:firstLineChars="200"/>
              <w:rPr>
                <w:sz w:val="24"/>
                <w:szCs w:val="24"/>
              </w:rPr>
            </w:pPr>
            <w:r>
              <w:rPr>
                <w:rFonts w:hint="eastAsia"/>
                <w:sz w:val="24"/>
                <w:szCs w:val="24"/>
              </w:rPr>
              <w:t>氟改性硅树脂（又称氟硅树脂）是通过在有机硅链段中引入有机氟基团（如氟代烷基）形成的改性聚合物，氟改性硅树脂通常呈现为微黄色透明液体，部分产品以稠状液体形式存在，固含量范围在40%至52%之间。该类树脂可溶于酯类、苯类及酮类等常见有机溶剂，便于配制成涂料或涂层。其分子结构中的羟基基团允许通过自交联或添加固化剂实现成膜，固化过程可形成低表面张力的透明弹性膜。氟改性硅树脂具备优异的耐候性，能长期抵抗紫外线、湿热及盐雾环境的影响。其耐温范围较宽，典型工作区间为-50℃至300℃，部分改性体系在高温下仍能保持结构稳定。该树脂对多种化学品具有抗腐蚀性，包括酸、碱及溶剂环境，其交联密度高，能有效降低基材吸水率至0.02%以下。</w:t>
            </w:r>
          </w:p>
          <w:p w14:paraId="4E86A79C">
            <w:pPr>
              <w:spacing w:line="360" w:lineRule="auto"/>
              <w:ind w:firstLine="482" w:firstLineChars="200"/>
            </w:pPr>
            <w:r>
              <w:rPr>
                <w:b/>
                <w:bCs/>
              </w:rPr>
              <w:t>研磨光亮剂理化性质：</w:t>
            </w:r>
          </w:p>
          <w:p w14:paraId="53D86F22">
            <w:pPr>
              <w:spacing w:line="360" w:lineRule="auto"/>
              <w:ind w:firstLine="480" w:firstLineChars="200"/>
            </w:pPr>
            <w:r>
              <w:t>乳白色膏体，主要成分为柠檬酸钠17%、脂肪醇聚氧乙烯醚硫酸钠12%、氨基磺酸26%、乙醇胺25%、甜菜碱20%。pH值：约7.8，密度：0.85~0.89，可溶于水。</w:t>
            </w:r>
          </w:p>
          <w:p w14:paraId="59569101">
            <w:pPr>
              <w:pStyle w:val="7"/>
              <w:snapToGrid/>
              <w:spacing w:before="0" w:after="0" w:line="360" w:lineRule="auto"/>
              <w:ind w:firstLine="482" w:firstLineChars="200"/>
              <w:rPr>
                <w:rFonts w:eastAsia="黑体"/>
                <w:sz w:val="24"/>
                <w:szCs w:val="24"/>
              </w:rPr>
            </w:pPr>
            <w:r>
              <w:rPr>
                <w:b/>
                <w:bCs/>
                <w:sz w:val="24"/>
                <w:szCs w:val="24"/>
              </w:rPr>
              <w:t>溶剂型清洗剂理化性质：</w:t>
            </w:r>
          </w:p>
          <w:p w14:paraId="6235C78B">
            <w:pPr>
              <w:pStyle w:val="7"/>
              <w:snapToGrid/>
              <w:spacing w:before="0" w:after="0" w:line="360" w:lineRule="auto"/>
              <w:ind w:right="0"/>
              <w:jc w:val="center"/>
              <w:rPr>
                <w:rFonts w:eastAsia="黑体"/>
                <w:sz w:val="24"/>
                <w:szCs w:val="24"/>
              </w:rPr>
            </w:pPr>
          </w:p>
          <w:p w14:paraId="0906BFDD">
            <w:pPr>
              <w:pStyle w:val="7"/>
              <w:snapToGrid/>
              <w:spacing w:before="0" w:after="0" w:line="360" w:lineRule="auto"/>
              <w:ind w:right="0"/>
              <w:jc w:val="center"/>
              <w:rPr>
                <w:rFonts w:eastAsia="黑体"/>
                <w:sz w:val="24"/>
                <w:szCs w:val="24"/>
              </w:rPr>
            </w:pPr>
          </w:p>
          <w:p w14:paraId="00CA4DC5">
            <w:pPr>
              <w:pStyle w:val="7"/>
              <w:snapToGrid/>
              <w:spacing w:before="0" w:after="0" w:line="360" w:lineRule="auto"/>
              <w:ind w:right="0"/>
              <w:jc w:val="center"/>
              <w:rPr>
                <w:sz w:val="24"/>
                <w:szCs w:val="24"/>
              </w:rPr>
            </w:pPr>
            <w:r>
              <w:rPr>
                <w:rFonts w:eastAsia="黑体"/>
                <w:sz w:val="24"/>
                <w:szCs w:val="24"/>
              </w:rPr>
              <w:t>表2</w:t>
            </w:r>
            <w:r>
              <w:rPr>
                <w:rFonts w:hint="eastAsia" w:eastAsia="黑体"/>
                <w:sz w:val="24"/>
                <w:szCs w:val="24"/>
              </w:rPr>
              <w:t>-7</w:t>
            </w:r>
            <w:r>
              <w:rPr>
                <w:rFonts w:eastAsia="黑体"/>
                <w:sz w:val="24"/>
                <w:szCs w:val="24"/>
              </w:rPr>
              <w:t xml:space="preserve">  溶剂型漆料成分比例一览表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1709"/>
              <w:gridCol w:w="794"/>
              <w:gridCol w:w="4178"/>
            </w:tblGrid>
            <w:tr w14:paraId="289EAE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shd w:val="clear" w:color="auto" w:fill="auto"/>
                  <w:vAlign w:val="center"/>
                </w:tcPr>
                <w:p w14:paraId="4CD29DE3">
                  <w:pPr>
                    <w:spacing w:line="276" w:lineRule="auto"/>
                    <w:jc w:val="center"/>
                    <w:rPr>
                      <w:b/>
                      <w:sz w:val="21"/>
                      <w:szCs w:val="21"/>
                    </w:rPr>
                  </w:pPr>
                  <w:r>
                    <w:rPr>
                      <w:b/>
                      <w:sz w:val="21"/>
                      <w:szCs w:val="21"/>
                    </w:rPr>
                    <w:t>名称</w:t>
                  </w:r>
                </w:p>
              </w:tc>
              <w:tc>
                <w:tcPr>
                  <w:tcW w:w="1099" w:type="pct"/>
                  <w:shd w:val="clear" w:color="auto" w:fill="auto"/>
                  <w:vAlign w:val="center"/>
                </w:tcPr>
                <w:p w14:paraId="341945DF">
                  <w:pPr>
                    <w:spacing w:line="276" w:lineRule="auto"/>
                    <w:jc w:val="center"/>
                    <w:rPr>
                      <w:b/>
                      <w:sz w:val="21"/>
                      <w:szCs w:val="21"/>
                    </w:rPr>
                  </w:pPr>
                  <w:r>
                    <w:rPr>
                      <w:b/>
                      <w:sz w:val="21"/>
                      <w:szCs w:val="21"/>
                    </w:rPr>
                    <w:t>主要成分</w:t>
                  </w:r>
                </w:p>
              </w:tc>
              <w:tc>
                <w:tcPr>
                  <w:tcW w:w="511" w:type="pct"/>
                  <w:shd w:val="clear" w:color="auto" w:fill="auto"/>
                  <w:vAlign w:val="center"/>
                </w:tcPr>
                <w:p w14:paraId="77F5B33B">
                  <w:pPr>
                    <w:spacing w:line="276" w:lineRule="auto"/>
                    <w:jc w:val="center"/>
                    <w:rPr>
                      <w:b/>
                      <w:sz w:val="21"/>
                      <w:szCs w:val="21"/>
                    </w:rPr>
                  </w:pPr>
                  <w:r>
                    <w:rPr>
                      <w:b/>
                      <w:sz w:val="21"/>
                      <w:szCs w:val="21"/>
                    </w:rPr>
                    <w:t>含量</w:t>
                  </w:r>
                </w:p>
              </w:tc>
              <w:tc>
                <w:tcPr>
                  <w:tcW w:w="2687" w:type="pct"/>
                  <w:shd w:val="clear" w:color="auto" w:fill="auto"/>
                  <w:vAlign w:val="center"/>
                </w:tcPr>
                <w:p w14:paraId="6AB16C65">
                  <w:pPr>
                    <w:spacing w:line="276" w:lineRule="auto"/>
                    <w:jc w:val="center"/>
                    <w:rPr>
                      <w:b/>
                      <w:sz w:val="21"/>
                      <w:szCs w:val="21"/>
                    </w:rPr>
                  </w:pPr>
                  <w:r>
                    <w:rPr>
                      <w:b/>
                      <w:sz w:val="21"/>
                      <w:szCs w:val="21"/>
                    </w:rPr>
                    <w:t>理化性质</w:t>
                  </w:r>
                </w:p>
              </w:tc>
            </w:tr>
            <w:tr w14:paraId="039E60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shd w:val="clear" w:color="auto" w:fill="auto"/>
                  <w:noWrap/>
                  <w:vAlign w:val="center"/>
                </w:tcPr>
                <w:p w14:paraId="03605FAE">
                  <w:pPr>
                    <w:spacing w:line="276" w:lineRule="auto"/>
                    <w:jc w:val="center"/>
                    <w:rPr>
                      <w:bCs/>
                      <w:sz w:val="21"/>
                      <w:szCs w:val="21"/>
                    </w:rPr>
                  </w:pPr>
                  <w:r>
                    <w:rPr>
                      <w:bCs/>
                      <w:sz w:val="21"/>
                      <w:szCs w:val="21"/>
                    </w:rPr>
                    <w:t>清洗剂</w:t>
                  </w:r>
                </w:p>
              </w:tc>
              <w:tc>
                <w:tcPr>
                  <w:tcW w:w="1099" w:type="pct"/>
                  <w:shd w:val="clear" w:color="auto" w:fill="auto"/>
                  <w:vAlign w:val="center"/>
                </w:tcPr>
                <w:p w14:paraId="09BBAC28">
                  <w:pPr>
                    <w:spacing w:line="276" w:lineRule="auto"/>
                    <w:jc w:val="center"/>
                    <w:rPr>
                      <w:bCs/>
                      <w:sz w:val="21"/>
                      <w:szCs w:val="21"/>
                    </w:rPr>
                  </w:pPr>
                  <w:r>
                    <w:rPr>
                      <w:bCs/>
                      <w:sz w:val="21"/>
                      <w:szCs w:val="21"/>
                    </w:rPr>
                    <w:t>氢化碳氢化合物</w:t>
                  </w:r>
                </w:p>
              </w:tc>
              <w:tc>
                <w:tcPr>
                  <w:tcW w:w="511" w:type="pct"/>
                  <w:shd w:val="clear" w:color="auto" w:fill="auto"/>
                  <w:vAlign w:val="center"/>
                </w:tcPr>
                <w:p w14:paraId="490AB881">
                  <w:pPr>
                    <w:spacing w:line="276" w:lineRule="auto"/>
                    <w:jc w:val="center"/>
                    <w:rPr>
                      <w:bCs/>
                      <w:sz w:val="21"/>
                      <w:szCs w:val="21"/>
                    </w:rPr>
                  </w:pPr>
                  <w:r>
                    <w:rPr>
                      <w:bCs/>
                      <w:sz w:val="21"/>
                      <w:szCs w:val="21"/>
                    </w:rPr>
                    <w:t>100%</w:t>
                  </w:r>
                </w:p>
              </w:tc>
              <w:tc>
                <w:tcPr>
                  <w:tcW w:w="2687" w:type="pct"/>
                  <w:shd w:val="clear" w:color="auto" w:fill="auto"/>
                  <w:vAlign w:val="center"/>
                </w:tcPr>
                <w:p w14:paraId="01C500B0">
                  <w:pPr>
                    <w:spacing w:line="276" w:lineRule="auto"/>
                    <w:jc w:val="center"/>
                    <w:rPr>
                      <w:bCs/>
                      <w:sz w:val="21"/>
                      <w:szCs w:val="21"/>
                    </w:rPr>
                  </w:pPr>
                  <w:r>
                    <w:rPr>
                      <w:bCs/>
                      <w:sz w:val="21"/>
                      <w:szCs w:val="21"/>
                    </w:rPr>
                    <w:t>主要为异构烷烃，无色透明液体，相对密度（@20℃）：0.79，闪点：65℃，沸点：190~230℃，熔点：＜0℃，自燃温度：&gt;300℃，相对蒸气</w:t>
                  </w:r>
                  <w:r>
                    <w:rPr>
                      <w:rFonts w:hint="eastAsia"/>
                      <w:bCs/>
                      <w:sz w:val="21"/>
                      <w:szCs w:val="21"/>
                    </w:rPr>
                    <w:t>密度</w:t>
                  </w:r>
                  <w:r>
                    <w:rPr>
                      <w:bCs/>
                      <w:sz w:val="21"/>
                      <w:szCs w:val="21"/>
                    </w:rPr>
                    <w:t>（空气=1）：&gt;1@101kPa，溶于醇醚、苯、氯仿等多数有机溶剂</w:t>
                  </w:r>
                </w:p>
              </w:tc>
            </w:tr>
          </w:tbl>
          <w:p w14:paraId="0A1310B3">
            <w:pPr>
              <w:pStyle w:val="7"/>
              <w:snapToGrid/>
              <w:spacing w:before="0" w:after="0" w:line="360" w:lineRule="auto"/>
              <w:ind w:firstLine="482" w:firstLineChars="200"/>
              <w:rPr>
                <w:b/>
                <w:bCs/>
                <w:sz w:val="24"/>
                <w:szCs w:val="24"/>
              </w:rPr>
            </w:pPr>
            <w:r>
              <w:rPr>
                <w:b/>
                <w:bCs/>
                <w:sz w:val="24"/>
                <w:szCs w:val="24"/>
              </w:rPr>
              <w:t>清洗剂符合性分析：</w:t>
            </w:r>
          </w:p>
          <w:p w14:paraId="5378B33E">
            <w:pPr>
              <w:pStyle w:val="7"/>
              <w:snapToGrid/>
              <w:spacing w:before="0" w:after="0" w:line="360" w:lineRule="auto"/>
              <w:ind w:firstLine="480" w:firstLineChars="200"/>
              <w:rPr>
                <w:sz w:val="24"/>
                <w:szCs w:val="24"/>
              </w:rPr>
            </w:pPr>
            <w:r>
              <w:rPr>
                <w:sz w:val="24"/>
                <w:szCs w:val="24"/>
              </w:rPr>
              <w:t>根据厂家提供MSDS报告，清洗剂成分为异构烷烃，含量为100%，相对密度（@20℃）：0.79，挥发性有机物的占比为100%。从化学定义上，异构烷烃属于VOC，异构烷烃是一类碳氢化合物，具有挥发性，符合VOC（挥发性有机化合物）的基本化学定义，属于VOC分类中的烷烃类物质。根据计算可知清洗剂VOC含量约790g/L，满足《清洗剂挥发性有机化合物含量限值》（GB38508-2020）表1中“有机溶剂清洗剂”VOC含量限值不高于900g/L的要求。</w:t>
            </w:r>
          </w:p>
          <w:p w14:paraId="6AA12214">
            <w:pPr>
              <w:pStyle w:val="7"/>
              <w:snapToGrid/>
              <w:spacing w:before="0" w:after="0" w:line="360" w:lineRule="auto"/>
              <w:ind w:firstLine="482" w:firstLineChars="200"/>
              <w:rPr>
                <w:sz w:val="24"/>
                <w:szCs w:val="24"/>
              </w:rPr>
            </w:pPr>
            <w:r>
              <w:rPr>
                <w:rFonts w:hint="eastAsia"/>
                <w:b/>
                <w:bCs/>
                <w:sz w:val="24"/>
                <w:szCs w:val="24"/>
              </w:rPr>
              <w:t>溶剂型胶粘剂理化性质：</w:t>
            </w:r>
          </w:p>
          <w:p w14:paraId="37CC3683">
            <w:pPr>
              <w:pStyle w:val="7"/>
              <w:snapToGrid/>
              <w:spacing w:before="0" w:after="0" w:line="360" w:lineRule="auto"/>
              <w:ind w:right="0"/>
              <w:jc w:val="center"/>
              <w:rPr>
                <w:sz w:val="24"/>
                <w:szCs w:val="24"/>
              </w:rPr>
            </w:pPr>
            <w:r>
              <w:rPr>
                <w:rFonts w:hint="eastAsia" w:eastAsia="黑体"/>
                <w:sz w:val="24"/>
                <w:szCs w:val="24"/>
              </w:rPr>
              <w:t>表2-8  溶剂型漆料成分比例一览表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1708"/>
              <w:gridCol w:w="1228"/>
              <w:gridCol w:w="3745"/>
            </w:tblGrid>
            <w:tr w14:paraId="5E07D5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shd w:val="clear" w:color="auto" w:fill="auto"/>
                  <w:vAlign w:val="center"/>
                </w:tcPr>
                <w:p w14:paraId="3AEABD61">
                  <w:pPr>
                    <w:spacing w:line="276" w:lineRule="auto"/>
                    <w:jc w:val="center"/>
                    <w:rPr>
                      <w:b/>
                      <w:sz w:val="21"/>
                      <w:szCs w:val="21"/>
                    </w:rPr>
                  </w:pPr>
                  <w:r>
                    <w:rPr>
                      <w:rFonts w:hint="eastAsia"/>
                      <w:b/>
                      <w:sz w:val="21"/>
                      <w:szCs w:val="21"/>
                    </w:rPr>
                    <w:t>名称</w:t>
                  </w:r>
                </w:p>
              </w:tc>
              <w:tc>
                <w:tcPr>
                  <w:tcW w:w="1099" w:type="pct"/>
                  <w:shd w:val="clear" w:color="auto" w:fill="auto"/>
                  <w:vAlign w:val="center"/>
                </w:tcPr>
                <w:p w14:paraId="2FF20FE0">
                  <w:pPr>
                    <w:spacing w:line="276" w:lineRule="auto"/>
                    <w:jc w:val="center"/>
                    <w:rPr>
                      <w:b/>
                      <w:sz w:val="21"/>
                      <w:szCs w:val="21"/>
                    </w:rPr>
                  </w:pPr>
                  <w:r>
                    <w:rPr>
                      <w:rFonts w:hint="eastAsia"/>
                      <w:b/>
                      <w:sz w:val="21"/>
                      <w:szCs w:val="21"/>
                    </w:rPr>
                    <w:t>主要成分</w:t>
                  </w:r>
                </w:p>
              </w:tc>
              <w:tc>
                <w:tcPr>
                  <w:tcW w:w="790" w:type="pct"/>
                  <w:shd w:val="clear" w:color="auto" w:fill="auto"/>
                  <w:vAlign w:val="center"/>
                </w:tcPr>
                <w:p w14:paraId="1BA004D5">
                  <w:pPr>
                    <w:spacing w:line="276" w:lineRule="auto"/>
                    <w:jc w:val="center"/>
                    <w:rPr>
                      <w:b/>
                      <w:sz w:val="21"/>
                      <w:szCs w:val="21"/>
                    </w:rPr>
                  </w:pPr>
                  <w:r>
                    <w:rPr>
                      <w:rFonts w:hint="eastAsia"/>
                      <w:b/>
                      <w:sz w:val="21"/>
                      <w:szCs w:val="21"/>
                    </w:rPr>
                    <w:t>含量</w:t>
                  </w:r>
                </w:p>
              </w:tc>
              <w:tc>
                <w:tcPr>
                  <w:tcW w:w="2408" w:type="pct"/>
                  <w:shd w:val="clear" w:color="auto" w:fill="auto"/>
                  <w:vAlign w:val="center"/>
                </w:tcPr>
                <w:p w14:paraId="1DBB26BF">
                  <w:pPr>
                    <w:spacing w:line="276" w:lineRule="auto"/>
                    <w:jc w:val="center"/>
                    <w:rPr>
                      <w:b/>
                      <w:sz w:val="21"/>
                      <w:szCs w:val="21"/>
                    </w:rPr>
                  </w:pPr>
                  <w:r>
                    <w:rPr>
                      <w:rFonts w:hint="eastAsia"/>
                      <w:b/>
                      <w:sz w:val="21"/>
                      <w:szCs w:val="21"/>
                    </w:rPr>
                    <w:t>备注</w:t>
                  </w:r>
                </w:p>
              </w:tc>
            </w:tr>
            <w:tr w14:paraId="138DF4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restart"/>
                  <w:shd w:val="clear" w:color="auto" w:fill="auto"/>
                  <w:vAlign w:val="center"/>
                </w:tcPr>
                <w:p w14:paraId="11B43265">
                  <w:pPr>
                    <w:spacing w:line="276" w:lineRule="auto"/>
                    <w:jc w:val="center"/>
                    <w:rPr>
                      <w:bCs/>
                      <w:sz w:val="21"/>
                      <w:szCs w:val="21"/>
                    </w:rPr>
                  </w:pPr>
                  <w:r>
                    <w:rPr>
                      <w:rFonts w:hint="eastAsia"/>
                      <w:bCs/>
                      <w:sz w:val="21"/>
                      <w:szCs w:val="21"/>
                    </w:rPr>
                    <w:t>灰胶（Chemlok 205）</w:t>
                  </w:r>
                </w:p>
              </w:tc>
              <w:tc>
                <w:tcPr>
                  <w:tcW w:w="1099" w:type="pct"/>
                  <w:shd w:val="clear" w:color="auto" w:fill="auto"/>
                  <w:vAlign w:val="center"/>
                </w:tcPr>
                <w:p w14:paraId="0326926C">
                  <w:pPr>
                    <w:spacing w:line="276" w:lineRule="auto"/>
                    <w:jc w:val="center"/>
                    <w:rPr>
                      <w:bCs/>
                      <w:sz w:val="21"/>
                      <w:szCs w:val="21"/>
                    </w:rPr>
                  </w:pPr>
                  <w:r>
                    <w:rPr>
                      <w:rFonts w:hint="eastAsia"/>
                      <w:bCs/>
                      <w:sz w:val="21"/>
                      <w:szCs w:val="21"/>
                    </w:rPr>
                    <w:t>甲基异丁基酮</w:t>
                  </w:r>
                </w:p>
              </w:tc>
              <w:tc>
                <w:tcPr>
                  <w:tcW w:w="790" w:type="pct"/>
                  <w:shd w:val="clear" w:color="auto" w:fill="auto"/>
                  <w:vAlign w:val="center"/>
                </w:tcPr>
                <w:p w14:paraId="76D13182">
                  <w:pPr>
                    <w:spacing w:line="276" w:lineRule="auto"/>
                    <w:jc w:val="center"/>
                    <w:rPr>
                      <w:bCs/>
                      <w:sz w:val="21"/>
                      <w:szCs w:val="21"/>
                    </w:rPr>
                  </w:pPr>
                  <w:r>
                    <w:rPr>
                      <w:rFonts w:hint="eastAsia"/>
                      <w:bCs/>
                      <w:sz w:val="21"/>
                      <w:szCs w:val="21"/>
                    </w:rPr>
                    <w:t>＜60%</w:t>
                  </w:r>
                </w:p>
              </w:tc>
              <w:tc>
                <w:tcPr>
                  <w:tcW w:w="2408" w:type="pct"/>
                  <w:vMerge w:val="restart"/>
                  <w:shd w:val="clear" w:color="auto" w:fill="auto"/>
                  <w:vAlign w:val="center"/>
                </w:tcPr>
                <w:p w14:paraId="773F0DD5">
                  <w:pPr>
                    <w:spacing w:line="276" w:lineRule="auto"/>
                    <w:jc w:val="center"/>
                    <w:rPr>
                      <w:bCs/>
                      <w:sz w:val="21"/>
                      <w:szCs w:val="21"/>
                    </w:rPr>
                  </w:pPr>
                  <w:r>
                    <w:rPr>
                      <w:rFonts w:hint="eastAsia"/>
                      <w:bCs/>
                      <w:sz w:val="21"/>
                      <w:szCs w:val="21"/>
                    </w:rPr>
                    <w:t>灰色液体溶剂，根据该样品SGS检测报告可知，该溶剂型胶粘剂VOC量为692g/L。</w:t>
                  </w:r>
                </w:p>
              </w:tc>
            </w:tr>
            <w:tr w14:paraId="5183DE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58843B76">
                  <w:pPr>
                    <w:spacing w:line="276" w:lineRule="auto"/>
                    <w:jc w:val="center"/>
                    <w:rPr>
                      <w:bCs/>
                      <w:sz w:val="21"/>
                      <w:szCs w:val="21"/>
                    </w:rPr>
                  </w:pPr>
                </w:p>
              </w:tc>
              <w:tc>
                <w:tcPr>
                  <w:tcW w:w="1099" w:type="pct"/>
                  <w:shd w:val="clear" w:color="auto" w:fill="auto"/>
                  <w:vAlign w:val="center"/>
                </w:tcPr>
                <w:p w14:paraId="5D48A09F">
                  <w:pPr>
                    <w:spacing w:line="276" w:lineRule="auto"/>
                    <w:jc w:val="center"/>
                    <w:rPr>
                      <w:bCs/>
                      <w:sz w:val="21"/>
                      <w:szCs w:val="21"/>
                    </w:rPr>
                  </w:pPr>
                  <w:r>
                    <w:rPr>
                      <w:rFonts w:hint="eastAsia"/>
                      <w:bCs/>
                      <w:sz w:val="21"/>
                      <w:szCs w:val="21"/>
                    </w:rPr>
                    <w:t>二甲苯</w:t>
                  </w:r>
                </w:p>
              </w:tc>
              <w:tc>
                <w:tcPr>
                  <w:tcW w:w="790" w:type="pct"/>
                  <w:shd w:val="clear" w:color="auto" w:fill="auto"/>
                  <w:vAlign w:val="center"/>
                </w:tcPr>
                <w:p w14:paraId="3BACDD54">
                  <w:pPr>
                    <w:spacing w:line="276" w:lineRule="auto"/>
                    <w:jc w:val="center"/>
                    <w:rPr>
                      <w:bCs/>
                      <w:sz w:val="21"/>
                      <w:szCs w:val="21"/>
                    </w:rPr>
                  </w:pPr>
                  <w:r>
                    <w:rPr>
                      <w:rFonts w:hint="eastAsia"/>
                      <w:bCs/>
                      <w:sz w:val="21"/>
                      <w:szCs w:val="21"/>
                    </w:rPr>
                    <w:t>＜10%</w:t>
                  </w:r>
                </w:p>
              </w:tc>
              <w:tc>
                <w:tcPr>
                  <w:tcW w:w="2408" w:type="pct"/>
                  <w:vMerge w:val="continue"/>
                  <w:shd w:val="clear" w:color="auto" w:fill="auto"/>
                  <w:vAlign w:val="center"/>
                </w:tcPr>
                <w:p w14:paraId="70D4B2C7">
                  <w:pPr>
                    <w:spacing w:line="276" w:lineRule="auto"/>
                    <w:jc w:val="center"/>
                    <w:rPr>
                      <w:bCs/>
                      <w:sz w:val="21"/>
                      <w:szCs w:val="21"/>
                    </w:rPr>
                  </w:pPr>
                </w:p>
              </w:tc>
            </w:tr>
            <w:tr w14:paraId="4F363E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4AF760E2">
                  <w:pPr>
                    <w:spacing w:line="276" w:lineRule="auto"/>
                    <w:jc w:val="center"/>
                    <w:rPr>
                      <w:bCs/>
                      <w:sz w:val="21"/>
                      <w:szCs w:val="21"/>
                    </w:rPr>
                  </w:pPr>
                </w:p>
              </w:tc>
              <w:tc>
                <w:tcPr>
                  <w:tcW w:w="1099" w:type="pct"/>
                  <w:shd w:val="clear" w:color="auto" w:fill="auto"/>
                  <w:vAlign w:val="center"/>
                </w:tcPr>
                <w:p w14:paraId="7BA750C0">
                  <w:pPr>
                    <w:spacing w:line="276" w:lineRule="auto"/>
                    <w:jc w:val="center"/>
                    <w:rPr>
                      <w:bCs/>
                      <w:sz w:val="21"/>
                      <w:szCs w:val="21"/>
                    </w:rPr>
                  </w:pPr>
                  <w:r>
                    <w:rPr>
                      <w:rFonts w:hint="eastAsia"/>
                      <w:bCs/>
                      <w:sz w:val="21"/>
                      <w:szCs w:val="21"/>
                    </w:rPr>
                    <w:t>二氧化钛</w:t>
                  </w:r>
                </w:p>
              </w:tc>
              <w:tc>
                <w:tcPr>
                  <w:tcW w:w="790" w:type="pct"/>
                  <w:shd w:val="clear" w:color="auto" w:fill="auto"/>
                  <w:vAlign w:val="center"/>
                </w:tcPr>
                <w:p w14:paraId="1C2885C6">
                  <w:pPr>
                    <w:spacing w:line="276" w:lineRule="auto"/>
                    <w:jc w:val="center"/>
                    <w:rPr>
                      <w:bCs/>
                      <w:sz w:val="21"/>
                      <w:szCs w:val="21"/>
                    </w:rPr>
                  </w:pPr>
                  <w:r>
                    <w:rPr>
                      <w:rFonts w:hint="eastAsia"/>
                      <w:bCs/>
                      <w:sz w:val="21"/>
                      <w:szCs w:val="21"/>
                    </w:rPr>
                    <w:t>＜10%</w:t>
                  </w:r>
                </w:p>
              </w:tc>
              <w:tc>
                <w:tcPr>
                  <w:tcW w:w="2408" w:type="pct"/>
                  <w:vMerge w:val="continue"/>
                  <w:shd w:val="clear" w:color="auto" w:fill="auto"/>
                  <w:vAlign w:val="center"/>
                </w:tcPr>
                <w:p w14:paraId="7B293EEA">
                  <w:pPr>
                    <w:spacing w:line="276" w:lineRule="auto"/>
                    <w:jc w:val="center"/>
                    <w:rPr>
                      <w:bCs/>
                      <w:sz w:val="21"/>
                      <w:szCs w:val="21"/>
                    </w:rPr>
                  </w:pPr>
                </w:p>
              </w:tc>
            </w:tr>
            <w:tr w14:paraId="7EC52C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4D4ECB14">
                  <w:pPr>
                    <w:spacing w:line="276" w:lineRule="auto"/>
                    <w:jc w:val="center"/>
                    <w:rPr>
                      <w:bCs/>
                      <w:sz w:val="21"/>
                      <w:szCs w:val="21"/>
                    </w:rPr>
                  </w:pPr>
                </w:p>
              </w:tc>
              <w:tc>
                <w:tcPr>
                  <w:tcW w:w="1099" w:type="pct"/>
                  <w:shd w:val="clear" w:color="auto" w:fill="auto"/>
                  <w:vAlign w:val="center"/>
                </w:tcPr>
                <w:p w14:paraId="45267031">
                  <w:pPr>
                    <w:spacing w:line="276" w:lineRule="auto"/>
                    <w:jc w:val="center"/>
                    <w:rPr>
                      <w:bCs/>
                      <w:sz w:val="21"/>
                      <w:szCs w:val="21"/>
                    </w:rPr>
                  </w:pPr>
                  <w:r>
                    <w:rPr>
                      <w:rFonts w:hint="eastAsia"/>
                      <w:bCs/>
                      <w:sz w:val="21"/>
                      <w:szCs w:val="21"/>
                    </w:rPr>
                    <w:t>酚醛树脂</w:t>
                  </w:r>
                </w:p>
              </w:tc>
              <w:tc>
                <w:tcPr>
                  <w:tcW w:w="790" w:type="pct"/>
                  <w:shd w:val="clear" w:color="auto" w:fill="auto"/>
                  <w:vAlign w:val="center"/>
                </w:tcPr>
                <w:p w14:paraId="09FBD1BD">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039538C7">
                  <w:pPr>
                    <w:spacing w:line="276" w:lineRule="auto"/>
                    <w:jc w:val="center"/>
                    <w:rPr>
                      <w:bCs/>
                      <w:sz w:val="21"/>
                      <w:szCs w:val="21"/>
                    </w:rPr>
                  </w:pPr>
                </w:p>
              </w:tc>
            </w:tr>
            <w:tr w14:paraId="1E6D16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6AA8A6E9">
                  <w:pPr>
                    <w:spacing w:line="276" w:lineRule="auto"/>
                    <w:jc w:val="center"/>
                    <w:rPr>
                      <w:bCs/>
                      <w:sz w:val="21"/>
                      <w:szCs w:val="21"/>
                    </w:rPr>
                  </w:pPr>
                </w:p>
              </w:tc>
              <w:tc>
                <w:tcPr>
                  <w:tcW w:w="1099" w:type="pct"/>
                  <w:shd w:val="clear" w:color="auto" w:fill="auto"/>
                  <w:vAlign w:val="center"/>
                </w:tcPr>
                <w:p w14:paraId="56A93E93">
                  <w:pPr>
                    <w:spacing w:line="276" w:lineRule="auto"/>
                    <w:jc w:val="center"/>
                    <w:rPr>
                      <w:bCs/>
                      <w:sz w:val="21"/>
                      <w:szCs w:val="21"/>
                    </w:rPr>
                  </w:pPr>
                  <w:r>
                    <w:rPr>
                      <w:rFonts w:hint="eastAsia"/>
                      <w:bCs/>
                      <w:sz w:val="21"/>
                      <w:szCs w:val="21"/>
                    </w:rPr>
                    <w:t>乙苯</w:t>
                  </w:r>
                </w:p>
              </w:tc>
              <w:tc>
                <w:tcPr>
                  <w:tcW w:w="790" w:type="pct"/>
                  <w:shd w:val="clear" w:color="auto" w:fill="auto"/>
                  <w:vAlign w:val="center"/>
                </w:tcPr>
                <w:p w14:paraId="72E882C2">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258C83B1">
                  <w:pPr>
                    <w:spacing w:line="276" w:lineRule="auto"/>
                    <w:jc w:val="center"/>
                    <w:rPr>
                      <w:bCs/>
                      <w:sz w:val="21"/>
                      <w:szCs w:val="21"/>
                    </w:rPr>
                  </w:pPr>
                </w:p>
              </w:tc>
            </w:tr>
            <w:tr w14:paraId="61E5E9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6C4EB88B">
                  <w:pPr>
                    <w:spacing w:line="276" w:lineRule="auto"/>
                    <w:jc w:val="center"/>
                    <w:rPr>
                      <w:bCs/>
                      <w:sz w:val="21"/>
                      <w:szCs w:val="21"/>
                    </w:rPr>
                  </w:pPr>
                </w:p>
              </w:tc>
              <w:tc>
                <w:tcPr>
                  <w:tcW w:w="1099" w:type="pct"/>
                  <w:shd w:val="clear" w:color="auto" w:fill="auto"/>
                  <w:vAlign w:val="center"/>
                </w:tcPr>
                <w:p w14:paraId="29B5631F">
                  <w:pPr>
                    <w:spacing w:line="276" w:lineRule="auto"/>
                    <w:jc w:val="center"/>
                    <w:rPr>
                      <w:bCs/>
                      <w:sz w:val="21"/>
                      <w:szCs w:val="21"/>
                    </w:rPr>
                  </w:pPr>
                  <w:r>
                    <w:rPr>
                      <w:rFonts w:hint="eastAsia"/>
                      <w:bCs/>
                      <w:sz w:val="21"/>
                      <w:szCs w:val="21"/>
                    </w:rPr>
                    <w:t>丙二醇甲醚</w:t>
                  </w:r>
                </w:p>
              </w:tc>
              <w:tc>
                <w:tcPr>
                  <w:tcW w:w="790" w:type="pct"/>
                  <w:shd w:val="clear" w:color="auto" w:fill="auto"/>
                  <w:vAlign w:val="center"/>
                </w:tcPr>
                <w:p w14:paraId="37FC9C1F">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7B123C84">
                  <w:pPr>
                    <w:spacing w:line="276" w:lineRule="auto"/>
                    <w:jc w:val="center"/>
                    <w:rPr>
                      <w:bCs/>
                      <w:sz w:val="21"/>
                      <w:szCs w:val="21"/>
                    </w:rPr>
                  </w:pPr>
                </w:p>
              </w:tc>
            </w:tr>
            <w:tr w14:paraId="0DF326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72D40F3E">
                  <w:pPr>
                    <w:spacing w:line="276" w:lineRule="auto"/>
                    <w:jc w:val="center"/>
                    <w:rPr>
                      <w:bCs/>
                      <w:sz w:val="21"/>
                      <w:szCs w:val="21"/>
                    </w:rPr>
                  </w:pPr>
                </w:p>
              </w:tc>
              <w:tc>
                <w:tcPr>
                  <w:tcW w:w="1099" w:type="pct"/>
                  <w:shd w:val="clear" w:color="auto" w:fill="auto"/>
                  <w:vAlign w:val="center"/>
                </w:tcPr>
                <w:p w14:paraId="7CB7DC9A">
                  <w:pPr>
                    <w:spacing w:line="276" w:lineRule="auto"/>
                    <w:jc w:val="center"/>
                    <w:rPr>
                      <w:bCs/>
                      <w:sz w:val="21"/>
                      <w:szCs w:val="21"/>
                    </w:rPr>
                  </w:pPr>
                  <w:r>
                    <w:rPr>
                      <w:rFonts w:hint="eastAsia"/>
                      <w:bCs/>
                      <w:sz w:val="21"/>
                      <w:szCs w:val="21"/>
                    </w:rPr>
                    <w:t>碳黑</w:t>
                  </w:r>
                </w:p>
              </w:tc>
              <w:tc>
                <w:tcPr>
                  <w:tcW w:w="790" w:type="pct"/>
                  <w:shd w:val="clear" w:color="auto" w:fill="auto"/>
                  <w:vAlign w:val="center"/>
                </w:tcPr>
                <w:p w14:paraId="5F5E9DCC">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486DB24B">
                  <w:pPr>
                    <w:spacing w:line="276" w:lineRule="auto"/>
                    <w:jc w:val="center"/>
                    <w:rPr>
                      <w:bCs/>
                      <w:sz w:val="21"/>
                      <w:szCs w:val="21"/>
                    </w:rPr>
                  </w:pPr>
                </w:p>
              </w:tc>
            </w:tr>
            <w:tr w14:paraId="77A542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3C987E89">
                  <w:pPr>
                    <w:spacing w:line="276" w:lineRule="auto"/>
                    <w:jc w:val="center"/>
                    <w:rPr>
                      <w:bCs/>
                      <w:sz w:val="21"/>
                      <w:szCs w:val="21"/>
                    </w:rPr>
                  </w:pPr>
                </w:p>
              </w:tc>
              <w:tc>
                <w:tcPr>
                  <w:tcW w:w="1099" w:type="pct"/>
                  <w:shd w:val="clear" w:color="auto" w:fill="auto"/>
                  <w:vAlign w:val="center"/>
                </w:tcPr>
                <w:p w14:paraId="40BB87F5">
                  <w:pPr>
                    <w:spacing w:line="276" w:lineRule="auto"/>
                    <w:jc w:val="center"/>
                    <w:rPr>
                      <w:bCs/>
                      <w:sz w:val="21"/>
                      <w:szCs w:val="21"/>
                    </w:rPr>
                  </w:pPr>
                  <w:r>
                    <w:rPr>
                      <w:rFonts w:hint="eastAsia"/>
                      <w:bCs/>
                      <w:sz w:val="21"/>
                      <w:szCs w:val="21"/>
                    </w:rPr>
                    <w:t>甲苯</w:t>
                  </w:r>
                </w:p>
              </w:tc>
              <w:tc>
                <w:tcPr>
                  <w:tcW w:w="790" w:type="pct"/>
                  <w:shd w:val="clear" w:color="auto" w:fill="auto"/>
                  <w:vAlign w:val="center"/>
                </w:tcPr>
                <w:p w14:paraId="33871280">
                  <w:pPr>
                    <w:spacing w:line="276" w:lineRule="auto"/>
                    <w:jc w:val="center"/>
                    <w:rPr>
                      <w:bCs/>
                      <w:sz w:val="21"/>
                      <w:szCs w:val="21"/>
                    </w:rPr>
                  </w:pPr>
                  <w:r>
                    <w:rPr>
                      <w:rFonts w:hint="eastAsia"/>
                      <w:bCs/>
                      <w:sz w:val="21"/>
                      <w:szCs w:val="21"/>
                    </w:rPr>
                    <w:t>＜0.9%</w:t>
                  </w:r>
                </w:p>
              </w:tc>
              <w:tc>
                <w:tcPr>
                  <w:tcW w:w="2408" w:type="pct"/>
                  <w:vMerge w:val="continue"/>
                  <w:shd w:val="clear" w:color="auto" w:fill="auto"/>
                  <w:vAlign w:val="center"/>
                </w:tcPr>
                <w:p w14:paraId="0BB03DA4">
                  <w:pPr>
                    <w:spacing w:line="276" w:lineRule="auto"/>
                    <w:jc w:val="center"/>
                    <w:rPr>
                      <w:bCs/>
                      <w:sz w:val="21"/>
                      <w:szCs w:val="21"/>
                    </w:rPr>
                  </w:pPr>
                </w:p>
              </w:tc>
            </w:tr>
            <w:tr w14:paraId="7A28CE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61DAD871">
                  <w:pPr>
                    <w:spacing w:line="276" w:lineRule="auto"/>
                    <w:jc w:val="center"/>
                    <w:rPr>
                      <w:bCs/>
                      <w:sz w:val="21"/>
                      <w:szCs w:val="21"/>
                    </w:rPr>
                  </w:pPr>
                </w:p>
              </w:tc>
              <w:tc>
                <w:tcPr>
                  <w:tcW w:w="1099" w:type="pct"/>
                  <w:shd w:val="clear" w:color="auto" w:fill="auto"/>
                  <w:vAlign w:val="center"/>
                </w:tcPr>
                <w:p w14:paraId="2B940A5E">
                  <w:pPr>
                    <w:spacing w:line="276" w:lineRule="auto"/>
                    <w:jc w:val="center"/>
                    <w:rPr>
                      <w:bCs/>
                      <w:sz w:val="21"/>
                      <w:szCs w:val="21"/>
                    </w:rPr>
                  </w:pPr>
                  <w:r>
                    <w:rPr>
                      <w:rFonts w:hint="eastAsia"/>
                      <w:bCs/>
                      <w:sz w:val="21"/>
                      <w:szCs w:val="21"/>
                    </w:rPr>
                    <w:t>邻甲酚</w:t>
                  </w:r>
                </w:p>
              </w:tc>
              <w:tc>
                <w:tcPr>
                  <w:tcW w:w="790" w:type="pct"/>
                  <w:shd w:val="clear" w:color="auto" w:fill="auto"/>
                  <w:vAlign w:val="center"/>
                </w:tcPr>
                <w:p w14:paraId="6005ED4B">
                  <w:pPr>
                    <w:spacing w:line="276" w:lineRule="auto"/>
                    <w:jc w:val="center"/>
                    <w:rPr>
                      <w:bCs/>
                      <w:sz w:val="21"/>
                      <w:szCs w:val="21"/>
                    </w:rPr>
                  </w:pPr>
                  <w:r>
                    <w:rPr>
                      <w:rFonts w:hint="eastAsia"/>
                      <w:bCs/>
                      <w:sz w:val="21"/>
                      <w:szCs w:val="21"/>
                    </w:rPr>
                    <w:t>＜0.9%</w:t>
                  </w:r>
                </w:p>
              </w:tc>
              <w:tc>
                <w:tcPr>
                  <w:tcW w:w="2408" w:type="pct"/>
                  <w:vMerge w:val="continue"/>
                  <w:shd w:val="clear" w:color="auto" w:fill="auto"/>
                  <w:vAlign w:val="center"/>
                </w:tcPr>
                <w:p w14:paraId="5E4D4B37">
                  <w:pPr>
                    <w:spacing w:line="276" w:lineRule="auto"/>
                    <w:jc w:val="center"/>
                    <w:rPr>
                      <w:bCs/>
                      <w:sz w:val="21"/>
                      <w:szCs w:val="21"/>
                    </w:rPr>
                  </w:pPr>
                </w:p>
              </w:tc>
            </w:tr>
            <w:tr w14:paraId="4EC476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restart"/>
                  <w:shd w:val="clear" w:color="auto" w:fill="auto"/>
                  <w:vAlign w:val="center"/>
                </w:tcPr>
                <w:p w14:paraId="2B41BB49">
                  <w:pPr>
                    <w:spacing w:line="276" w:lineRule="auto"/>
                    <w:jc w:val="center"/>
                    <w:rPr>
                      <w:bCs/>
                      <w:sz w:val="21"/>
                      <w:szCs w:val="21"/>
                    </w:rPr>
                  </w:pPr>
                  <w:r>
                    <w:rPr>
                      <w:rFonts w:hint="eastAsia"/>
                      <w:bCs/>
                      <w:sz w:val="21"/>
                      <w:szCs w:val="21"/>
                    </w:rPr>
                    <w:t>黑胶（Chemlok 6125）</w:t>
                  </w:r>
                </w:p>
              </w:tc>
              <w:tc>
                <w:tcPr>
                  <w:tcW w:w="1099" w:type="pct"/>
                  <w:shd w:val="clear" w:color="auto" w:fill="auto"/>
                  <w:vAlign w:val="center"/>
                </w:tcPr>
                <w:p w14:paraId="29D730BE">
                  <w:pPr>
                    <w:spacing w:line="276" w:lineRule="auto"/>
                    <w:jc w:val="center"/>
                    <w:rPr>
                      <w:bCs/>
                      <w:sz w:val="21"/>
                      <w:szCs w:val="21"/>
                    </w:rPr>
                  </w:pPr>
                  <w:r>
                    <w:rPr>
                      <w:rFonts w:hint="eastAsia"/>
                      <w:bCs/>
                      <w:sz w:val="21"/>
                      <w:szCs w:val="21"/>
                    </w:rPr>
                    <w:t>二甲苯</w:t>
                  </w:r>
                </w:p>
              </w:tc>
              <w:tc>
                <w:tcPr>
                  <w:tcW w:w="790" w:type="pct"/>
                  <w:shd w:val="clear" w:color="auto" w:fill="auto"/>
                  <w:vAlign w:val="center"/>
                </w:tcPr>
                <w:p w14:paraId="26154679">
                  <w:pPr>
                    <w:spacing w:line="276" w:lineRule="auto"/>
                    <w:jc w:val="center"/>
                    <w:rPr>
                      <w:bCs/>
                      <w:sz w:val="21"/>
                      <w:szCs w:val="21"/>
                    </w:rPr>
                  </w:pPr>
                  <w:r>
                    <w:rPr>
                      <w:rFonts w:hint="eastAsia"/>
                      <w:bCs/>
                      <w:sz w:val="21"/>
                      <w:szCs w:val="21"/>
                    </w:rPr>
                    <w:t>＜55%</w:t>
                  </w:r>
                </w:p>
              </w:tc>
              <w:tc>
                <w:tcPr>
                  <w:tcW w:w="2408" w:type="pct"/>
                  <w:vMerge w:val="restart"/>
                  <w:shd w:val="clear" w:color="auto" w:fill="auto"/>
                  <w:vAlign w:val="center"/>
                </w:tcPr>
                <w:p w14:paraId="3925DA66">
                  <w:pPr>
                    <w:spacing w:line="276" w:lineRule="auto"/>
                    <w:jc w:val="center"/>
                    <w:rPr>
                      <w:bCs/>
                      <w:sz w:val="21"/>
                      <w:szCs w:val="21"/>
                    </w:rPr>
                  </w:pPr>
                  <w:r>
                    <w:rPr>
                      <w:rFonts w:hint="eastAsia"/>
                      <w:bCs/>
                      <w:sz w:val="21"/>
                      <w:szCs w:val="21"/>
                    </w:rPr>
                    <w:t>黑色液体溶剂，根据华测检测公司对该样品VOC含量检测报告可知，该溶剂型胶粘剂VOC量为622g/L。</w:t>
                  </w:r>
                </w:p>
              </w:tc>
            </w:tr>
            <w:tr w14:paraId="723684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01" w:type="pct"/>
                  <w:vMerge w:val="continue"/>
                  <w:shd w:val="clear" w:color="auto" w:fill="auto"/>
                  <w:vAlign w:val="center"/>
                </w:tcPr>
                <w:p w14:paraId="39D50EF6">
                  <w:pPr>
                    <w:spacing w:line="276" w:lineRule="auto"/>
                    <w:jc w:val="center"/>
                    <w:rPr>
                      <w:bCs/>
                      <w:sz w:val="21"/>
                      <w:szCs w:val="21"/>
                    </w:rPr>
                  </w:pPr>
                </w:p>
              </w:tc>
              <w:tc>
                <w:tcPr>
                  <w:tcW w:w="1099" w:type="pct"/>
                  <w:shd w:val="clear" w:color="auto" w:fill="auto"/>
                  <w:vAlign w:val="center"/>
                </w:tcPr>
                <w:p w14:paraId="5801FCCB">
                  <w:pPr>
                    <w:spacing w:line="276" w:lineRule="auto"/>
                    <w:jc w:val="center"/>
                    <w:rPr>
                      <w:bCs/>
                      <w:sz w:val="21"/>
                      <w:szCs w:val="21"/>
                    </w:rPr>
                  </w:pPr>
                  <w:r>
                    <w:rPr>
                      <w:rFonts w:hint="eastAsia"/>
                      <w:bCs/>
                      <w:sz w:val="21"/>
                      <w:szCs w:val="21"/>
                    </w:rPr>
                    <w:t>乙苯</w:t>
                  </w:r>
                </w:p>
              </w:tc>
              <w:tc>
                <w:tcPr>
                  <w:tcW w:w="790" w:type="pct"/>
                  <w:shd w:val="clear" w:color="auto" w:fill="auto"/>
                  <w:vAlign w:val="center"/>
                </w:tcPr>
                <w:p w14:paraId="189B14F8">
                  <w:pPr>
                    <w:spacing w:line="276" w:lineRule="auto"/>
                    <w:jc w:val="center"/>
                    <w:rPr>
                      <w:bCs/>
                      <w:sz w:val="21"/>
                      <w:szCs w:val="21"/>
                    </w:rPr>
                  </w:pPr>
                  <w:r>
                    <w:rPr>
                      <w:rFonts w:hint="eastAsia"/>
                      <w:bCs/>
                      <w:sz w:val="21"/>
                      <w:szCs w:val="21"/>
                    </w:rPr>
                    <w:t>＜15%</w:t>
                  </w:r>
                </w:p>
              </w:tc>
              <w:tc>
                <w:tcPr>
                  <w:tcW w:w="2408" w:type="pct"/>
                  <w:vMerge w:val="continue"/>
                  <w:shd w:val="clear" w:color="auto" w:fill="auto"/>
                  <w:vAlign w:val="center"/>
                </w:tcPr>
                <w:p w14:paraId="3A4C0A34">
                  <w:pPr>
                    <w:spacing w:line="276" w:lineRule="auto"/>
                    <w:jc w:val="center"/>
                    <w:rPr>
                      <w:bCs/>
                      <w:sz w:val="21"/>
                      <w:szCs w:val="21"/>
                    </w:rPr>
                  </w:pPr>
                </w:p>
              </w:tc>
            </w:tr>
            <w:tr w14:paraId="634A50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04C7BB28">
                  <w:pPr>
                    <w:spacing w:line="276" w:lineRule="auto"/>
                    <w:jc w:val="center"/>
                    <w:rPr>
                      <w:bCs/>
                      <w:sz w:val="21"/>
                      <w:szCs w:val="21"/>
                    </w:rPr>
                  </w:pPr>
                </w:p>
              </w:tc>
              <w:tc>
                <w:tcPr>
                  <w:tcW w:w="1099" w:type="pct"/>
                  <w:shd w:val="clear" w:color="auto" w:fill="auto"/>
                  <w:vAlign w:val="center"/>
                </w:tcPr>
                <w:p w14:paraId="7882AEB3">
                  <w:pPr>
                    <w:spacing w:line="276" w:lineRule="auto"/>
                    <w:jc w:val="center"/>
                    <w:rPr>
                      <w:bCs/>
                      <w:sz w:val="21"/>
                      <w:szCs w:val="21"/>
                    </w:rPr>
                  </w:pPr>
                  <w:r>
                    <w:rPr>
                      <w:rFonts w:hint="eastAsia"/>
                      <w:bCs/>
                      <w:sz w:val="21"/>
                      <w:szCs w:val="21"/>
                    </w:rPr>
                    <w:t>碳酸二甲酯</w:t>
                  </w:r>
                </w:p>
              </w:tc>
              <w:tc>
                <w:tcPr>
                  <w:tcW w:w="790" w:type="pct"/>
                  <w:shd w:val="clear" w:color="auto" w:fill="auto"/>
                  <w:vAlign w:val="center"/>
                </w:tcPr>
                <w:p w14:paraId="751486E1">
                  <w:pPr>
                    <w:spacing w:line="276" w:lineRule="auto"/>
                    <w:jc w:val="center"/>
                    <w:rPr>
                      <w:bCs/>
                      <w:sz w:val="21"/>
                      <w:szCs w:val="21"/>
                    </w:rPr>
                  </w:pPr>
                  <w:r>
                    <w:rPr>
                      <w:rFonts w:hint="eastAsia"/>
                      <w:bCs/>
                      <w:sz w:val="21"/>
                      <w:szCs w:val="21"/>
                    </w:rPr>
                    <w:t>＜10%</w:t>
                  </w:r>
                </w:p>
              </w:tc>
              <w:tc>
                <w:tcPr>
                  <w:tcW w:w="2408" w:type="pct"/>
                  <w:vMerge w:val="continue"/>
                  <w:shd w:val="clear" w:color="auto" w:fill="auto"/>
                  <w:vAlign w:val="center"/>
                </w:tcPr>
                <w:p w14:paraId="6726BBEA">
                  <w:pPr>
                    <w:spacing w:line="276" w:lineRule="auto"/>
                    <w:jc w:val="center"/>
                    <w:rPr>
                      <w:bCs/>
                      <w:sz w:val="21"/>
                      <w:szCs w:val="21"/>
                    </w:rPr>
                  </w:pPr>
                </w:p>
              </w:tc>
            </w:tr>
            <w:tr w14:paraId="557AAD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1C1C0DD9">
                  <w:pPr>
                    <w:spacing w:line="276" w:lineRule="auto"/>
                    <w:jc w:val="center"/>
                    <w:rPr>
                      <w:bCs/>
                      <w:sz w:val="21"/>
                      <w:szCs w:val="21"/>
                    </w:rPr>
                  </w:pPr>
                </w:p>
              </w:tc>
              <w:tc>
                <w:tcPr>
                  <w:tcW w:w="1099" w:type="pct"/>
                  <w:shd w:val="clear" w:color="auto" w:fill="auto"/>
                  <w:vAlign w:val="center"/>
                </w:tcPr>
                <w:p w14:paraId="32CA823E">
                  <w:pPr>
                    <w:spacing w:line="276" w:lineRule="auto"/>
                    <w:jc w:val="center"/>
                    <w:rPr>
                      <w:bCs/>
                      <w:sz w:val="21"/>
                      <w:szCs w:val="21"/>
                    </w:rPr>
                  </w:pPr>
                  <w:r>
                    <w:rPr>
                      <w:rFonts w:hint="eastAsia"/>
                      <w:bCs/>
                      <w:sz w:val="21"/>
                      <w:szCs w:val="21"/>
                    </w:rPr>
                    <w:t>氮取代的芳香化合物</w:t>
                  </w:r>
                </w:p>
              </w:tc>
              <w:tc>
                <w:tcPr>
                  <w:tcW w:w="790" w:type="pct"/>
                  <w:shd w:val="clear" w:color="auto" w:fill="auto"/>
                  <w:vAlign w:val="center"/>
                </w:tcPr>
                <w:p w14:paraId="1430ED08">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266FEE24">
                  <w:pPr>
                    <w:spacing w:line="276" w:lineRule="auto"/>
                    <w:jc w:val="center"/>
                    <w:rPr>
                      <w:bCs/>
                      <w:sz w:val="21"/>
                      <w:szCs w:val="21"/>
                    </w:rPr>
                  </w:pPr>
                </w:p>
              </w:tc>
            </w:tr>
            <w:tr w14:paraId="29F61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42F34040">
                  <w:pPr>
                    <w:spacing w:line="276" w:lineRule="auto"/>
                    <w:jc w:val="center"/>
                    <w:rPr>
                      <w:bCs/>
                      <w:sz w:val="21"/>
                      <w:szCs w:val="21"/>
                    </w:rPr>
                  </w:pPr>
                </w:p>
              </w:tc>
              <w:tc>
                <w:tcPr>
                  <w:tcW w:w="1099" w:type="pct"/>
                  <w:shd w:val="clear" w:color="auto" w:fill="auto"/>
                  <w:vAlign w:val="center"/>
                </w:tcPr>
                <w:p w14:paraId="47DBFC7C">
                  <w:pPr>
                    <w:spacing w:line="276" w:lineRule="auto"/>
                    <w:jc w:val="center"/>
                    <w:rPr>
                      <w:bCs/>
                      <w:sz w:val="21"/>
                      <w:szCs w:val="21"/>
                    </w:rPr>
                  </w:pPr>
                  <w:r>
                    <w:rPr>
                      <w:rFonts w:hint="eastAsia"/>
                      <w:bCs/>
                      <w:sz w:val="21"/>
                      <w:szCs w:val="21"/>
                    </w:rPr>
                    <w:t>碳黑</w:t>
                  </w:r>
                </w:p>
              </w:tc>
              <w:tc>
                <w:tcPr>
                  <w:tcW w:w="790" w:type="pct"/>
                  <w:shd w:val="clear" w:color="auto" w:fill="auto"/>
                  <w:vAlign w:val="center"/>
                </w:tcPr>
                <w:p w14:paraId="1B711B0D">
                  <w:pPr>
                    <w:spacing w:line="276" w:lineRule="auto"/>
                    <w:jc w:val="center"/>
                    <w:rPr>
                      <w:bCs/>
                      <w:sz w:val="21"/>
                      <w:szCs w:val="21"/>
                    </w:rPr>
                  </w:pPr>
                  <w:r>
                    <w:rPr>
                      <w:rFonts w:hint="eastAsia"/>
                      <w:bCs/>
                      <w:sz w:val="21"/>
                      <w:szCs w:val="21"/>
                    </w:rPr>
                    <w:t>＜5%</w:t>
                  </w:r>
                </w:p>
              </w:tc>
              <w:tc>
                <w:tcPr>
                  <w:tcW w:w="2408" w:type="pct"/>
                  <w:vMerge w:val="continue"/>
                  <w:shd w:val="clear" w:color="auto" w:fill="auto"/>
                  <w:vAlign w:val="center"/>
                </w:tcPr>
                <w:p w14:paraId="7A5F82D9">
                  <w:pPr>
                    <w:spacing w:line="276" w:lineRule="auto"/>
                    <w:jc w:val="center"/>
                    <w:rPr>
                      <w:bCs/>
                      <w:sz w:val="21"/>
                      <w:szCs w:val="21"/>
                    </w:rPr>
                  </w:pPr>
                </w:p>
              </w:tc>
            </w:tr>
            <w:tr w14:paraId="21082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2DB90791">
                  <w:pPr>
                    <w:spacing w:line="276" w:lineRule="auto"/>
                    <w:jc w:val="center"/>
                    <w:rPr>
                      <w:bCs/>
                      <w:sz w:val="21"/>
                      <w:szCs w:val="21"/>
                    </w:rPr>
                  </w:pPr>
                </w:p>
              </w:tc>
              <w:tc>
                <w:tcPr>
                  <w:tcW w:w="1099" w:type="pct"/>
                  <w:shd w:val="clear" w:color="auto" w:fill="auto"/>
                  <w:vAlign w:val="center"/>
                </w:tcPr>
                <w:p w14:paraId="6D2D543F">
                  <w:pPr>
                    <w:spacing w:line="276" w:lineRule="auto"/>
                    <w:jc w:val="center"/>
                    <w:rPr>
                      <w:bCs/>
                      <w:sz w:val="21"/>
                      <w:szCs w:val="21"/>
                    </w:rPr>
                  </w:pPr>
                  <w:r>
                    <w:rPr>
                      <w:rFonts w:hint="eastAsia"/>
                      <w:bCs/>
                      <w:sz w:val="21"/>
                      <w:szCs w:val="21"/>
                    </w:rPr>
                    <w:t>四氯乙烯</w:t>
                  </w:r>
                </w:p>
              </w:tc>
              <w:tc>
                <w:tcPr>
                  <w:tcW w:w="790" w:type="pct"/>
                  <w:shd w:val="clear" w:color="auto" w:fill="auto"/>
                  <w:vAlign w:val="center"/>
                </w:tcPr>
                <w:p w14:paraId="24F1D8E4">
                  <w:pPr>
                    <w:spacing w:line="276" w:lineRule="auto"/>
                    <w:jc w:val="center"/>
                    <w:rPr>
                      <w:bCs/>
                      <w:sz w:val="21"/>
                      <w:szCs w:val="21"/>
                    </w:rPr>
                  </w:pPr>
                  <w:r>
                    <w:rPr>
                      <w:rFonts w:hint="eastAsia"/>
                      <w:bCs/>
                      <w:sz w:val="21"/>
                      <w:szCs w:val="21"/>
                    </w:rPr>
                    <w:t>＜0.9%</w:t>
                  </w:r>
                </w:p>
              </w:tc>
              <w:tc>
                <w:tcPr>
                  <w:tcW w:w="2408" w:type="pct"/>
                  <w:vMerge w:val="continue"/>
                  <w:shd w:val="clear" w:color="auto" w:fill="auto"/>
                  <w:vAlign w:val="center"/>
                </w:tcPr>
                <w:p w14:paraId="3E619D91">
                  <w:pPr>
                    <w:spacing w:line="276" w:lineRule="auto"/>
                    <w:jc w:val="center"/>
                    <w:rPr>
                      <w:bCs/>
                      <w:sz w:val="21"/>
                      <w:szCs w:val="21"/>
                    </w:rPr>
                  </w:pPr>
                </w:p>
              </w:tc>
            </w:tr>
            <w:tr w14:paraId="6E10E8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01" w:type="pct"/>
                  <w:vMerge w:val="continue"/>
                  <w:shd w:val="clear" w:color="auto" w:fill="auto"/>
                  <w:vAlign w:val="center"/>
                </w:tcPr>
                <w:p w14:paraId="406E6778">
                  <w:pPr>
                    <w:spacing w:line="276" w:lineRule="auto"/>
                    <w:jc w:val="center"/>
                    <w:rPr>
                      <w:bCs/>
                      <w:sz w:val="21"/>
                      <w:szCs w:val="21"/>
                    </w:rPr>
                  </w:pPr>
                </w:p>
              </w:tc>
              <w:tc>
                <w:tcPr>
                  <w:tcW w:w="1099" w:type="pct"/>
                  <w:shd w:val="clear" w:color="auto" w:fill="auto"/>
                  <w:vAlign w:val="center"/>
                </w:tcPr>
                <w:p w14:paraId="5D912056">
                  <w:pPr>
                    <w:spacing w:line="276" w:lineRule="auto"/>
                    <w:jc w:val="center"/>
                    <w:rPr>
                      <w:bCs/>
                      <w:sz w:val="21"/>
                      <w:szCs w:val="21"/>
                    </w:rPr>
                  </w:pPr>
                  <w:r>
                    <w:rPr>
                      <w:rFonts w:hint="eastAsia"/>
                      <w:bCs/>
                      <w:sz w:val="21"/>
                      <w:szCs w:val="21"/>
                    </w:rPr>
                    <w:t>甲苯</w:t>
                  </w:r>
                </w:p>
              </w:tc>
              <w:tc>
                <w:tcPr>
                  <w:tcW w:w="790" w:type="pct"/>
                  <w:shd w:val="clear" w:color="auto" w:fill="auto"/>
                  <w:vAlign w:val="center"/>
                </w:tcPr>
                <w:p w14:paraId="1E7F714C">
                  <w:pPr>
                    <w:spacing w:line="276" w:lineRule="auto"/>
                    <w:jc w:val="center"/>
                    <w:rPr>
                      <w:bCs/>
                      <w:sz w:val="21"/>
                      <w:szCs w:val="21"/>
                    </w:rPr>
                  </w:pPr>
                  <w:r>
                    <w:rPr>
                      <w:rFonts w:hint="eastAsia"/>
                      <w:bCs/>
                      <w:sz w:val="21"/>
                      <w:szCs w:val="21"/>
                    </w:rPr>
                    <w:t>＜0.9%</w:t>
                  </w:r>
                </w:p>
              </w:tc>
              <w:tc>
                <w:tcPr>
                  <w:tcW w:w="2408" w:type="pct"/>
                  <w:vMerge w:val="continue"/>
                  <w:shd w:val="clear" w:color="auto" w:fill="auto"/>
                  <w:vAlign w:val="center"/>
                </w:tcPr>
                <w:p w14:paraId="796C0634">
                  <w:pPr>
                    <w:spacing w:line="276" w:lineRule="auto"/>
                    <w:jc w:val="center"/>
                    <w:rPr>
                      <w:bCs/>
                      <w:sz w:val="21"/>
                      <w:szCs w:val="21"/>
                    </w:rPr>
                  </w:pPr>
                </w:p>
              </w:tc>
            </w:tr>
          </w:tbl>
          <w:p w14:paraId="7ED63A19">
            <w:pPr>
              <w:pStyle w:val="7"/>
              <w:snapToGrid/>
              <w:spacing w:before="0" w:after="0" w:line="360" w:lineRule="auto"/>
              <w:ind w:firstLine="482" w:firstLineChars="200"/>
              <w:rPr>
                <w:b/>
                <w:bCs/>
                <w:sz w:val="24"/>
                <w:szCs w:val="24"/>
              </w:rPr>
            </w:pPr>
            <w:r>
              <w:rPr>
                <w:rFonts w:hint="eastAsia"/>
                <w:b/>
                <w:bCs/>
                <w:sz w:val="24"/>
                <w:szCs w:val="24"/>
              </w:rPr>
              <w:t>溶剂型胶粘剂符合性分析：</w:t>
            </w:r>
          </w:p>
          <w:p w14:paraId="19F12EF5">
            <w:pPr>
              <w:pStyle w:val="7"/>
              <w:snapToGrid/>
              <w:spacing w:before="0" w:after="0" w:line="360" w:lineRule="auto"/>
              <w:ind w:firstLine="480" w:firstLineChars="200"/>
              <w:rPr>
                <w:sz w:val="24"/>
                <w:szCs w:val="24"/>
              </w:rPr>
            </w:pPr>
            <w:r>
              <w:rPr>
                <w:rFonts w:hint="eastAsia"/>
                <w:sz w:val="24"/>
                <w:szCs w:val="24"/>
              </w:rPr>
              <w:t>（1）灰胶（Chemlok 205）</w:t>
            </w:r>
          </w:p>
          <w:p w14:paraId="7E5D2081">
            <w:pPr>
              <w:pStyle w:val="7"/>
              <w:snapToGrid/>
              <w:spacing w:before="0" w:after="0" w:line="360" w:lineRule="auto"/>
              <w:ind w:firstLine="480" w:firstLineChars="200"/>
              <w:rPr>
                <w:sz w:val="24"/>
                <w:szCs w:val="24"/>
              </w:rPr>
            </w:pPr>
            <w:r>
              <w:rPr>
                <w:rFonts w:hint="eastAsia"/>
                <w:sz w:val="24"/>
                <w:szCs w:val="24"/>
              </w:rPr>
              <w:t>根据厂家提供的样品SGS检测报告可知，灰胶（Chemlok 205）中VOC含量约692g/L，满足《胶粘剂挥发性有机化合物限量》（GB33372-2020）表1溶剂型胶粘剂中“汽车桥梁减震用热硫化胶粘剂”VOC含量限量不高于700g/L的要求。</w:t>
            </w:r>
          </w:p>
          <w:p w14:paraId="7C0521A1">
            <w:pPr>
              <w:pStyle w:val="7"/>
              <w:snapToGrid/>
              <w:spacing w:before="0" w:after="0" w:line="360" w:lineRule="auto"/>
              <w:ind w:firstLine="480" w:firstLineChars="200"/>
              <w:rPr>
                <w:sz w:val="24"/>
                <w:szCs w:val="24"/>
              </w:rPr>
            </w:pPr>
            <w:r>
              <w:rPr>
                <w:rFonts w:hint="eastAsia"/>
                <w:sz w:val="24"/>
                <w:szCs w:val="24"/>
              </w:rPr>
              <w:t>（2）黑胶（Chemlok 6125）</w:t>
            </w:r>
          </w:p>
          <w:p w14:paraId="238664CC">
            <w:pPr>
              <w:pStyle w:val="7"/>
              <w:snapToGrid/>
              <w:spacing w:before="0" w:after="0" w:line="360" w:lineRule="auto"/>
              <w:ind w:firstLine="480" w:firstLineChars="200"/>
              <w:rPr>
                <w:sz w:val="24"/>
                <w:szCs w:val="24"/>
              </w:rPr>
            </w:pPr>
            <w:r>
              <w:rPr>
                <w:rFonts w:hint="eastAsia"/>
                <w:sz w:val="24"/>
                <w:szCs w:val="24"/>
              </w:rPr>
              <w:t>根据厂家提供的华测检测公司检测报告可知，黑胶（Chemlok 6125）中VOC含量约622g/L，满足《胶粘剂挥发性有机化合物限量》（GB33372-2020）表1溶剂型胶粘剂中“汽车桥梁减震用热硫化胶粘剂”VOC含量限量不高于700g/L的要求。</w:t>
            </w:r>
          </w:p>
          <w:p w14:paraId="62EADA39">
            <w:pPr>
              <w:spacing w:line="360" w:lineRule="auto"/>
              <w:ind w:firstLine="482" w:firstLineChars="200"/>
              <w:jc w:val="left"/>
              <w:rPr>
                <w:b/>
              </w:rPr>
            </w:pPr>
            <w:r>
              <w:rPr>
                <w:rFonts w:hint="eastAsia"/>
                <w:b/>
              </w:rPr>
              <w:t>6、工作制度和劳动定员</w:t>
            </w:r>
          </w:p>
          <w:p w14:paraId="3CD81A76">
            <w:pPr>
              <w:spacing w:line="360" w:lineRule="auto"/>
              <w:ind w:firstLine="480" w:firstLineChars="200"/>
              <w:jc w:val="left"/>
            </w:pPr>
            <w:r>
              <w:t>本项目新增劳动定员</w:t>
            </w:r>
            <w:r>
              <w:rPr>
                <w:rFonts w:hint="eastAsia"/>
              </w:rPr>
              <w:t>120</w:t>
            </w:r>
            <w:r>
              <w:t>人，年工作</w:t>
            </w:r>
            <w:r>
              <w:rPr>
                <w:rFonts w:hint="eastAsia"/>
              </w:rPr>
              <w:t>300</w:t>
            </w:r>
            <w:r>
              <w:t>天，每</w:t>
            </w:r>
            <w:r>
              <w:rPr>
                <w:rFonts w:hint="eastAsia"/>
              </w:rPr>
              <w:t>天一班</w:t>
            </w:r>
            <w:r>
              <w:t>工作8小时，年工作</w:t>
            </w:r>
            <w:r>
              <w:rPr>
                <w:rFonts w:hint="eastAsia"/>
              </w:rPr>
              <w:t>2400</w:t>
            </w:r>
            <w:r>
              <w:t>小时</w:t>
            </w:r>
            <w:r>
              <w:rPr>
                <w:rFonts w:hint="eastAsia"/>
              </w:rPr>
              <w:t>。厂区内不设置食堂和宿舍。</w:t>
            </w:r>
          </w:p>
          <w:p w14:paraId="7DA03A87">
            <w:pPr>
              <w:spacing w:line="360" w:lineRule="auto"/>
              <w:ind w:firstLine="482" w:firstLineChars="200"/>
              <w:jc w:val="left"/>
              <w:rPr>
                <w:b/>
                <w:highlight w:val="yellow"/>
              </w:rPr>
            </w:pPr>
            <w:r>
              <w:rPr>
                <w:rFonts w:hint="eastAsia"/>
                <w:b/>
              </w:rPr>
              <w:t>7</w:t>
            </w:r>
            <w:r>
              <w:rPr>
                <w:b/>
              </w:rPr>
              <w:t>、</w:t>
            </w:r>
            <w:r>
              <w:rPr>
                <w:rFonts w:hint="eastAsia"/>
                <w:b/>
              </w:rPr>
              <w:t>项目</w:t>
            </w:r>
            <w:r>
              <w:rPr>
                <w:b/>
              </w:rPr>
              <w:t>平面布置</w:t>
            </w:r>
          </w:p>
          <w:p w14:paraId="4FE19D28">
            <w:pPr>
              <w:spacing w:line="360" w:lineRule="auto"/>
              <w:ind w:firstLine="480" w:firstLineChars="200"/>
              <w:jc w:val="left"/>
              <w:rPr>
                <w:highlight w:val="yellow"/>
              </w:rPr>
            </w:pPr>
            <w:r>
              <w:rPr>
                <w:rFonts w:hint="eastAsia"/>
              </w:rPr>
              <w:t>安徽集杰汽车零部件制造有限公司位于淮南经济技术开发区绿色智造产业园6#厂房。</w:t>
            </w:r>
          </w:p>
          <w:p w14:paraId="1C6ED90C">
            <w:pPr>
              <w:spacing w:line="360" w:lineRule="auto"/>
              <w:ind w:firstLine="480" w:firstLineChars="200"/>
              <w:jc w:val="left"/>
            </w:pPr>
            <w:r>
              <w:rPr>
                <w:rFonts w:hint="eastAsia"/>
              </w:rPr>
              <w:t>本项目6#厂房东半区域由南</w:t>
            </w:r>
            <w:r>
              <w:t>向</w:t>
            </w:r>
            <w:r>
              <w:rPr>
                <w:rFonts w:hint="eastAsia"/>
              </w:rPr>
              <w:t>北</w:t>
            </w:r>
            <w:r>
              <w:t>分为</w:t>
            </w:r>
            <w:r>
              <w:rPr>
                <w:rFonts w:hint="eastAsia"/>
              </w:rPr>
              <w:t>别为一般固废间、危废间、冲压车间、焊接车间、抛丸车间、清洗车间、硫化车间、办公区域，西半区域由南向北分为别为原料间、切割车间、冲压模具库、焊接仓库、硫化仓库、修边抛边车间。</w:t>
            </w:r>
          </w:p>
          <w:p w14:paraId="743AB097">
            <w:pPr>
              <w:spacing w:line="360" w:lineRule="auto"/>
              <w:ind w:firstLine="480" w:firstLineChars="200"/>
              <w:jc w:val="left"/>
            </w:pPr>
            <w:r>
              <w:t>具体</w:t>
            </w:r>
            <w:r>
              <w:rPr>
                <w:rFonts w:hint="eastAsia"/>
              </w:rPr>
              <w:t>项目</w:t>
            </w:r>
            <w:r>
              <w:t>平面布置见附图</w:t>
            </w:r>
            <w:r>
              <w:rPr>
                <w:rFonts w:hint="eastAsia"/>
              </w:rPr>
              <w:t>3</w:t>
            </w:r>
            <w:r>
              <w:t>。</w:t>
            </w:r>
          </w:p>
          <w:p w14:paraId="246BC43B">
            <w:pPr>
              <w:spacing w:line="360" w:lineRule="auto"/>
              <w:ind w:firstLine="482" w:firstLineChars="200"/>
              <w:rPr>
                <w:b/>
              </w:rPr>
            </w:pPr>
            <w:r>
              <w:rPr>
                <w:rFonts w:hint="eastAsia"/>
                <w:b/>
              </w:rPr>
              <w:t>8</w:t>
            </w:r>
            <w:r>
              <w:rPr>
                <w:b/>
              </w:rPr>
              <w:t>、水平衡</w:t>
            </w:r>
          </w:p>
          <w:p w14:paraId="691A4EC3">
            <w:pPr>
              <w:spacing w:line="360" w:lineRule="auto"/>
              <w:ind w:firstLine="480" w:firstLineChars="200"/>
            </w:pPr>
            <w:r>
              <w:t>（1）</w:t>
            </w:r>
            <w:r>
              <w:rPr>
                <w:rFonts w:hint="eastAsia"/>
              </w:rPr>
              <w:t>给水</w:t>
            </w:r>
          </w:p>
          <w:p w14:paraId="5FCEDDBC">
            <w:pPr>
              <w:spacing w:line="360" w:lineRule="auto"/>
              <w:ind w:firstLine="480" w:firstLineChars="200"/>
            </w:pPr>
            <w:r>
              <w:t>本项目用水由市政供水管网供应，用水总量为</w:t>
            </w:r>
            <w:r>
              <w:rPr>
                <w:rFonts w:hint="eastAsia"/>
              </w:rPr>
              <w:t>1.9108</w:t>
            </w:r>
            <w:r>
              <w:t>m</w:t>
            </w:r>
            <w:r>
              <w:rPr>
                <w:vertAlign w:val="superscript"/>
              </w:rPr>
              <w:t>3</w:t>
            </w:r>
            <w:r>
              <w:t>/d</w:t>
            </w:r>
            <w:r>
              <w:rPr>
                <w:rFonts w:hint="eastAsia"/>
              </w:rPr>
              <w:t>，573.168m</w:t>
            </w:r>
            <w:r>
              <w:rPr>
                <w:rFonts w:hint="eastAsia"/>
                <w:vertAlign w:val="superscript"/>
              </w:rPr>
              <w:t>3</w:t>
            </w:r>
            <w:r>
              <w:rPr>
                <w:rFonts w:hint="eastAsia"/>
              </w:rPr>
              <w:t>/a</w:t>
            </w:r>
            <w:r>
              <w:t>。</w:t>
            </w:r>
          </w:p>
          <w:p w14:paraId="289CD412">
            <w:pPr>
              <w:spacing w:line="360" w:lineRule="auto"/>
              <w:ind w:firstLine="480" w:firstLineChars="200"/>
            </w:pPr>
            <w:r>
              <w:rPr>
                <w:rFonts w:hint="eastAsia"/>
              </w:rPr>
              <w:t>1</w:t>
            </w:r>
            <w:r>
              <w:t>）生活用水</w:t>
            </w:r>
          </w:p>
          <w:p w14:paraId="00D4D4CE">
            <w:pPr>
              <w:spacing w:line="360" w:lineRule="auto"/>
              <w:ind w:firstLine="480" w:firstLineChars="200"/>
              <w:rPr>
                <w:rFonts w:hAnsi="宋体"/>
              </w:rPr>
            </w:pPr>
            <w:r>
              <w:t>本项目新增劳动定员</w:t>
            </w:r>
            <w:r>
              <w:rPr>
                <w:rFonts w:hint="eastAsia"/>
              </w:rPr>
              <w:t>120</w:t>
            </w:r>
            <w:r>
              <w:t>人，</w:t>
            </w:r>
            <w:r>
              <w:rPr>
                <w:rFonts w:hAnsi="宋体"/>
              </w:rPr>
              <w:t>根据《</w:t>
            </w:r>
            <w:r>
              <w:rPr>
                <w:rFonts w:hint="eastAsia" w:hAnsi="宋体"/>
              </w:rPr>
              <w:t>安徽省</w:t>
            </w:r>
            <w:r>
              <w:rPr>
                <w:rFonts w:hAnsi="宋体"/>
              </w:rPr>
              <w:t>行业用水定额》（</w:t>
            </w:r>
            <w:r>
              <w:t>DB34/T 679-2025</w:t>
            </w:r>
            <w:r>
              <w:rPr>
                <w:rFonts w:hAnsi="宋体"/>
              </w:rPr>
              <w:t>），厂区不安排</w:t>
            </w:r>
            <w:r>
              <w:rPr>
                <w:rFonts w:hint="eastAsia" w:hAnsi="宋体"/>
              </w:rPr>
              <w:t>食宿</w:t>
            </w:r>
            <w:r>
              <w:rPr>
                <w:rFonts w:hAnsi="宋体"/>
              </w:rPr>
              <w:t>，生活用水按</w:t>
            </w:r>
            <w:r>
              <w:rPr>
                <w:rFonts w:hint="eastAsia"/>
              </w:rPr>
              <w:t>15</w:t>
            </w:r>
            <w:r>
              <w:t>L/</w:t>
            </w:r>
            <w:r>
              <w:rPr>
                <w:rFonts w:hAnsi="宋体"/>
              </w:rPr>
              <w:t>人</w:t>
            </w:r>
            <w:r>
              <w:t>·d</w:t>
            </w:r>
            <w:r>
              <w:rPr>
                <w:rFonts w:hAnsi="宋体"/>
              </w:rPr>
              <w:t>计，则项目生活用水量为</w:t>
            </w:r>
            <w:r>
              <w:rPr>
                <w:rFonts w:hint="eastAsia"/>
              </w:rPr>
              <w:t>1.8</w:t>
            </w:r>
            <w:r>
              <w:t>m</w:t>
            </w:r>
            <w:r>
              <w:rPr>
                <w:vertAlign w:val="superscript"/>
              </w:rPr>
              <w:t>3</w:t>
            </w:r>
            <w:r>
              <w:t>/d</w:t>
            </w:r>
            <w:r>
              <w:rPr>
                <w:rFonts w:hint="eastAsia"/>
              </w:rPr>
              <w:t>，合计年用水量为540m</w:t>
            </w:r>
            <w:r>
              <w:rPr>
                <w:rFonts w:hint="eastAsia"/>
                <w:vertAlign w:val="superscript"/>
              </w:rPr>
              <w:t>3</w:t>
            </w:r>
            <w:r>
              <w:rPr>
                <w:rFonts w:hint="eastAsia"/>
              </w:rPr>
              <w:t>/a</w:t>
            </w:r>
            <w:r>
              <w:rPr>
                <w:rFonts w:hAnsi="宋体"/>
              </w:rPr>
              <w:t>。污水量以用水的</w:t>
            </w:r>
            <w:r>
              <w:rPr>
                <w:rFonts w:hint="eastAsia" w:hAnsi="宋体"/>
              </w:rPr>
              <w:t>85%计，则生活污水量为1.53m</w:t>
            </w:r>
            <w:r>
              <w:rPr>
                <w:rFonts w:hint="eastAsia" w:hAnsi="宋体"/>
                <w:vertAlign w:val="superscript"/>
              </w:rPr>
              <w:t>3</w:t>
            </w:r>
            <w:r>
              <w:rPr>
                <w:rFonts w:hint="eastAsia" w:hAnsi="宋体"/>
              </w:rPr>
              <w:t>/d，459m</w:t>
            </w:r>
            <w:r>
              <w:rPr>
                <w:rFonts w:hint="eastAsia" w:hAnsi="宋体"/>
                <w:vertAlign w:val="superscript"/>
              </w:rPr>
              <w:t>3</w:t>
            </w:r>
            <w:r>
              <w:rPr>
                <w:rFonts w:hint="eastAsia" w:hAnsi="宋体"/>
              </w:rPr>
              <w:t>/a。</w:t>
            </w:r>
          </w:p>
          <w:p w14:paraId="1E5A8F9A">
            <w:pPr>
              <w:spacing w:line="360" w:lineRule="auto"/>
              <w:ind w:firstLine="480" w:firstLineChars="200"/>
            </w:pPr>
            <w:r>
              <w:rPr>
                <w:rFonts w:hint="eastAsia"/>
              </w:rPr>
              <w:t>2）振光用水</w:t>
            </w:r>
          </w:p>
          <w:p w14:paraId="30F5DFF9">
            <w:pPr>
              <w:spacing w:line="360" w:lineRule="auto"/>
              <w:ind w:firstLine="480" w:firstLineChars="200"/>
              <w:rPr>
                <w:highlight w:val="yellow"/>
              </w:rPr>
            </w:pPr>
            <w:r>
              <w:rPr>
                <w:rFonts w:hint="eastAsia"/>
              </w:rPr>
              <w:t>项目振光采用振光机处理，共设置1台振光机。根据业主提供资料，1台振光机约每振光20</w:t>
            </w:r>
            <w:r>
              <w:t>t</w:t>
            </w:r>
            <w:r>
              <w:rPr>
                <w:rFonts w:hint="eastAsia"/>
              </w:rPr>
              <w:t>件（铁）需更换一次用水，项目每年需振光工件约600</w:t>
            </w:r>
            <w:r>
              <w:t>t</w:t>
            </w:r>
            <w:r>
              <w:rPr>
                <w:rFonts w:hint="eastAsia"/>
              </w:rPr>
              <w:t>（铁），即约10天更换一次振光用水，一共需更换30次</w:t>
            </w:r>
            <w:r>
              <w:t>/a</w:t>
            </w:r>
            <w:r>
              <w:rPr>
                <w:rFonts w:hint="eastAsia"/>
              </w:rPr>
              <w:t>，项目拟采用额定容量422</w:t>
            </w:r>
            <w:r>
              <w:t>L</w:t>
            </w:r>
            <w:r>
              <w:rPr>
                <w:rFonts w:hint="eastAsia"/>
              </w:rPr>
              <w:t>规格的振光机，则振光机额定用水量为12.66t/a。实际用水量以额定用水的</w:t>
            </w:r>
            <w:r>
              <w:t>80%</w:t>
            </w:r>
            <w:r>
              <w:rPr>
                <w:rFonts w:hint="eastAsia"/>
              </w:rPr>
              <w:t>计，则振光用水量为10.128</w:t>
            </w:r>
            <w:r>
              <w:t>m</w:t>
            </w:r>
            <w:r>
              <w:rPr>
                <w:vertAlign w:val="superscript"/>
              </w:rPr>
              <w:t>3</w:t>
            </w:r>
            <w:r>
              <w:t>/a</w:t>
            </w:r>
            <w:r>
              <w:rPr>
                <w:rFonts w:hint="eastAsia"/>
              </w:rPr>
              <w:t>，污水量以用水的85%计，则振光污水量为8.609m</w:t>
            </w:r>
            <w:r>
              <w:rPr>
                <w:rFonts w:hint="eastAsia"/>
                <w:vertAlign w:val="superscript"/>
              </w:rPr>
              <w:t>3</w:t>
            </w:r>
            <w:r>
              <w:rPr>
                <w:rFonts w:hint="eastAsia"/>
              </w:rPr>
              <w:t>/a，定期委托有资质单位处理。</w:t>
            </w:r>
          </w:p>
          <w:p w14:paraId="2ED51FFD">
            <w:pPr>
              <w:pStyle w:val="3"/>
              <w:spacing w:before="0" w:after="0" w:line="360" w:lineRule="auto"/>
              <w:ind w:firstLine="480" w:firstLineChars="200"/>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3）清洗用水</w:t>
            </w:r>
          </w:p>
          <w:p w14:paraId="1C069255">
            <w:pPr>
              <w:pStyle w:val="3"/>
              <w:spacing w:before="0" w:after="0" w:line="360" w:lineRule="auto"/>
              <w:ind w:firstLine="480" w:firstLineChars="200"/>
            </w:pPr>
            <w:r>
              <w:rPr>
                <w:rFonts w:hint="eastAsia" w:ascii="Times New Roman" w:hAnsi="Times New Roman" w:eastAsia="宋体" w:cs="Times New Roman"/>
                <w:b w:val="0"/>
                <w:bCs w:val="0"/>
                <w:sz w:val="24"/>
                <w:szCs w:val="24"/>
              </w:rPr>
              <w:t>项目清洗采用超声波清洗机处理，共设置2台超声波清洗机，每台尺寸为0.4m×0.6m×0.4m，1台清洗机只用清洗剂进行初道清洗，另一台清洗剂只用水进行二道清洗。根据业主提供资料，项目每天更换一次清洗剂和清洗用水，每台清洗机额定用水量为28.8m</w:t>
            </w:r>
            <w:r>
              <w:rPr>
                <w:rFonts w:hint="eastAsia" w:ascii="Times New Roman" w:hAnsi="Times New Roman" w:eastAsia="宋体" w:cs="Times New Roman"/>
                <w:b w:val="0"/>
                <w:bCs w:val="0"/>
                <w:sz w:val="24"/>
                <w:szCs w:val="24"/>
                <w:vertAlign w:val="superscript"/>
              </w:rPr>
              <w:t>3</w:t>
            </w:r>
            <w:r>
              <w:rPr>
                <w:rFonts w:hint="eastAsia" w:ascii="Times New Roman" w:hAnsi="Times New Roman" w:eastAsia="宋体" w:cs="Times New Roman"/>
                <w:b w:val="0"/>
                <w:bCs w:val="0"/>
                <w:sz w:val="24"/>
                <w:szCs w:val="24"/>
              </w:rPr>
              <w:t>/a。实际用水量以额定用水量的80%计，则清洗用水量为23.04m</w:t>
            </w:r>
            <w:r>
              <w:rPr>
                <w:rFonts w:hint="eastAsia" w:ascii="Times New Roman" w:hAnsi="Times New Roman" w:eastAsia="宋体" w:cs="Times New Roman"/>
                <w:b w:val="0"/>
                <w:bCs w:val="0"/>
                <w:sz w:val="24"/>
                <w:szCs w:val="24"/>
                <w:vertAlign w:val="superscript"/>
              </w:rPr>
              <w:t>3</w:t>
            </w:r>
            <w:r>
              <w:rPr>
                <w:rFonts w:hint="eastAsia" w:ascii="Times New Roman" w:hAnsi="Times New Roman" w:eastAsia="宋体" w:cs="Times New Roman"/>
                <w:b w:val="0"/>
                <w:bCs w:val="0"/>
                <w:sz w:val="24"/>
                <w:szCs w:val="24"/>
              </w:rPr>
              <w:t>/a，污水量以用水量的85%计，则清洗污水量为19.584m</w:t>
            </w:r>
            <w:r>
              <w:rPr>
                <w:rFonts w:hint="eastAsia" w:ascii="Times New Roman" w:hAnsi="Times New Roman" w:eastAsia="宋体" w:cs="Times New Roman"/>
                <w:b w:val="0"/>
                <w:bCs w:val="0"/>
                <w:sz w:val="24"/>
                <w:szCs w:val="24"/>
                <w:vertAlign w:val="superscript"/>
              </w:rPr>
              <w:t>3</w:t>
            </w:r>
            <w:r>
              <w:rPr>
                <w:rFonts w:hint="eastAsia" w:ascii="Times New Roman" w:hAnsi="Times New Roman" w:eastAsia="宋体" w:cs="Times New Roman"/>
                <w:b w:val="0"/>
                <w:bCs w:val="0"/>
                <w:sz w:val="24"/>
                <w:szCs w:val="24"/>
              </w:rPr>
              <w:t>/a，定期委托有资质单位处理。</w:t>
            </w:r>
          </w:p>
          <w:p w14:paraId="4986CA03">
            <w:pPr>
              <w:spacing w:line="360" w:lineRule="auto"/>
              <w:ind w:firstLine="480" w:firstLineChars="200"/>
            </w:pPr>
            <w:r>
              <w:t>（3）排水</w:t>
            </w:r>
          </w:p>
          <w:p w14:paraId="1C19BAA0">
            <w:pPr>
              <w:spacing w:line="360" w:lineRule="auto"/>
              <w:ind w:firstLine="480" w:firstLineChars="200"/>
              <w:rPr>
                <w:bCs/>
              </w:rPr>
            </w:pPr>
            <w:r>
              <w:rPr>
                <w:bCs/>
              </w:rPr>
              <w:t>本项目实施雨污分流。</w:t>
            </w:r>
            <w:r>
              <w:rPr>
                <w:rFonts w:hint="eastAsia"/>
                <w:bCs/>
              </w:rPr>
              <w:t>振光废水和清洗废水作为危废，委托有资质单位进行处理。</w:t>
            </w:r>
            <w:r>
              <w:rPr>
                <w:bCs/>
              </w:rPr>
              <w:t>生活污水经化粪池处理</w:t>
            </w:r>
            <w:r>
              <w:rPr>
                <w:rFonts w:hint="eastAsia"/>
                <w:bCs/>
              </w:rPr>
              <w:t>后，排入市政污水管网</w:t>
            </w:r>
            <w:r>
              <w:rPr>
                <w:bCs/>
              </w:rPr>
              <w:t>；上述经预处理后的废水</w:t>
            </w:r>
            <w:r>
              <w:rPr>
                <w:rFonts w:hint="eastAsia"/>
                <w:bCs/>
              </w:rPr>
              <w:t>满足《污水综合排放标准》（GB8978-1996）表4中三级标准、《污水排入城镇下水道水质标准》（GB/T31962-2015）中表1中B等级标准、淮南经济技术开发区工业污水处理厂接管标准中较严值后，通过厂区污水总排口</w:t>
            </w:r>
            <w:r>
              <w:rPr>
                <w:bCs/>
              </w:rPr>
              <w:t>，排入</w:t>
            </w:r>
            <w:r>
              <w:rPr>
                <w:rFonts w:hint="eastAsia"/>
                <w:bCs/>
              </w:rPr>
              <w:t>淮南经济技术开发区工业污水处理厂</w:t>
            </w:r>
            <w:r>
              <w:rPr>
                <w:bCs/>
              </w:rPr>
              <w:t>处理</w:t>
            </w:r>
            <w:r>
              <w:rPr>
                <w:rFonts w:hint="eastAsia"/>
                <w:bCs/>
              </w:rPr>
              <w:t>，最终通过大涧沟排至淮河。</w:t>
            </w:r>
          </w:p>
          <w:p w14:paraId="04EBB78A">
            <w:pPr>
              <w:spacing w:line="360" w:lineRule="auto"/>
              <w:ind w:firstLine="480" w:firstLineChars="200"/>
              <w:rPr>
                <w:rFonts w:hint="eastAsia"/>
              </w:rPr>
            </w:pPr>
            <w:r>
              <w:rPr>
                <w:rFonts w:hint="eastAsia"/>
              </w:rPr>
              <w:t>具体水平衡如下图。</w:t>
            </w:r>
          </w:p>
          <w:p w14:paraId="29A3910B">
            <w:pPr>
              <w:spacing w:line="360" w:lineRule="auto"/>
              <w:ind w:firstLine="480" w:firstLineChars="200"/>
              <w:rPr>
                <w:rFonts w:hint="eastAsia"/>
              </w:rPr>
            </w:pPr>
          </w:p>
          <w:p w14:paraId="249719AC">
            <w:pPr>
              <w:pStyle w:val="3"/>
            </w:pPr>
            <w:r>
              <w:pict>
                <v:group id="_x0000_s2052" o:spid="_x0000_s2052" o:spt="203" style="height:242.85pt;width:388.6pt;" coordsize="4935220,3084194" editas="canvas">
                  <o:lock v:ext="edit"/>
                  <v:shape id="_x0000_s2053" o:spid="_x0000_s2053" o:spt="75" type="#_x0000_t75" style="position:absolute;left:0;top:0;height:3084194;width:4935220;" filled="f" stroked="f" coordsize="21600,21600">
                    <v:path/>
                    <v:fill on="f" focussize="0,0"/>
                    <v:stroke on="f"/>
                    <v:imagedata o:title=""/>
                    <o:lock v:ext="edit" aspectratio="f"/>
                  </v:shape>
                  <v:shape id="_x0000_s2054" o:spid="_x0000_s2054" o:spt="109" type="#_x0000_t109" style="position:absolute;left:1665605;top:2120264;height:266700;width:594995;" fillcolor="#FFFFFF" filled="t" stroked="f" coordsize="21600,21600">
                    <v:path/>
                    <v:fill on="t" color2="#FFFFFF" focussize="0,0"/>
                    <v:stroke on="f"/>
                    <v:imagedata o:title=""/>
                    <o:lock v:ext="edit" aspectratio="f"/>
                    <v:textbox>
                      <w:txbxContent>
                        <w:p w14:paraId="5C267013">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w:t>
                          </w:r>
                          <w:r>
                            <w:rPr>
                              <w:rFonts w:hint="eastAsia" w:cs="Times New Roman"/>
                              <w:b w:val="0"/>
                              <w:bCs w:val="0"/>
                              <w:sz w:val="18"/>
                              <w:szCs w:val="18"/>
                              <w:lang w:val="en-US" w:eastAsia="zh-CN"/>
                            </w:rPr>
                            <w:t>115</w:t>
                          </w:r>
                        </w:p>
                      </w:txbxContent>
                    </v:textbox>
                  </v:shape>
                  <v:shape id="_x0000_s2055" o:spid="_x0000_s2055" o:spt="109" type="#_x0000_t109" style="position:absolute;left:1549400;top:1091565;height:266700;width:698500;" fillcolor="#FFFFFF" filled="t" stroked="f" coordsize="21600,21600">
                    <v:path/>
                    <v:fill on="t" color2="#FFFFFF" focussize="0,0"/>
                    <v:stroke on="f"/>
                    <v:imagedata o:title=""/>
                    <o:lock v:ext="edit" aspectratio="f"/>
                    <v:textbox>
                      <w:txbxContent>
                        <w:p w14:paraId="0368EC11">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0.005</w:t>
                          </w:r>
                          <w:r>
                            <w:rPr>
                              <w:rFonts w:hint="eastAsia" w:cs="Times New Roman"/>
                              <w:b w:val="0"/>
                              <w:bCs w:val="0"/>
                              <w:sz w:val="18"/>
                              <w:szCs w:val="18"/>
                              <w:lang w:val="en-US" w:eastAsia="zh-CN"/>
                            </w:rPr>
                            <w:t>1</w:t>
                          </w:r>
                        </w:p>
                      </w:txbxContent>
                    </v:textbox>
                  </v:shape>
                  <v:shape id="_x0000_s2056" o:spid="_x0000_s2056" o:spt="109" type="#_x0000_t109" style="position:absolute;left:2265045;top:2432685;height:266700;width:698500;" fillcolor="#FFFFFF" filled="t" stroked="f" coordsize="21600,21600">
                    <v:path/>
                    <v:fill on="t" color2="#FFFFFF" focussize="0,0"/>
                    <v:stroke on="f"/>
                    <v:imagedata o:title=""/>
                    <o:lock v:ext="edit" aspectratio="f"/>
                    <v:textbox>
                      <w:txbxContent>
                        <w:p w14:paraId="26FB8182">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w:t>
                          </w:r>
                          <w:r>
                            <w:rPr>
                              <w:rFonts w:hint="eastAsia" w:cs="Times New Roman"/>
                              <w:b w:val="0"/>
                              <w:bCs w:val="0"/>
                              <w:sz w:val="18"/>
                              <w:szCs w:val="18"/>
                              <w:lang w:val="en-US" w:eastAsia="zh-CN"/>
                            </w:rPr>
                            <w:t>653</w:t>
                          </w:r>
                        </w:p>
                      </w:txbxContent>
                    </v:textbox>
                  </v:shape>
                  <v:shape id="_x0000_s2057" o:spid="_x0000_s2057" o:spt="109" type="#_x0000_t109" style="position:absolute;left:2258060;top:1402715;height:266700;width:699770;" fillcolor="#FFFFFF" filled="t" stroked="f" coordsize="21600,21600">
                    <v:path/>
                    <v:fill on="t" color2="#FFFFFF" focussize="0,0"/>
                    <v:stroke on="f"/>
                    <v:imagedata o:title=""/>
                    <o:lock v:ext="edit" aspectratio="f"/>
                    <v:textbox>
                      <w:txbxContent>
                        <w:p w14:paraId="0319598F">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0.02</w:t>
                          </w:r>
                          <w:r>
                            <w:rPr>
                              <w:rFonts w:hint="eastAsia" w:cs="Times New Roman"/>
                              <w:b w:val="0"/>
                              <w:bCs w:val="0"/>
                              <w:sz w:val="18"/>
                              <w:szCs w:val="18"/>
                              <w:lang w:val="en-US" w:eastAsia="zh-CN"/>
                            </w:rPr>
                            <w:t>89</w:t>
                          </w:r>
                        </w:p>
                      </w:txbxContent>
                    </v:textbox>
                  </v:shape>
                  <v:shape id="_x0000_s2058" o:spid="_x0000_s2058" o:spt="109" type="#_x0000_t109" style="position:absolute;left:3964305;top:967740;height:266700;width:406400;" fillcolor="#FFFFFF" filled="t" stroked="f" coordsize="21600,21600">
                    <v:path/>
                    <v:fill on="t" color2="#FFFFFF" focussize="0,0"/>
                    <v:stroke on="f"/>
                    <v:imagedata o:title=""/>
                    <o:lock v:ext="edit" aspectratio="f"/>
                    <v:textbox>
                      <w:txbxContent>
                        <w:p w14:paraId="46D27E0F">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sz w:val="18"/>
                              <w:szCs w:val="18"/>
                              <w:lang w:val="en-US" w:eastAsia="zh-CN"/>
                            </w:rPr>
                            <w:t>1.53</w:t>
                          </w:r>
                        </w:p>
                      </w:txbxContent>
                    </v:textbox>
                  </v:shape>
                  <v:shape id="_x0000_s2060" o:spid="_x0000_s2060" o:spt="109" type="#_x0000_t109" style="position:absolute;left:3202305;top:344805;height:266700;width:406400;" fillcolor="#FFFFFF" filled="t" stroked="f" coordsize="21600,21600">
                    <v:path/>
                    <v:fill on="t" color2="#FFFFFF" focussize="0,0"/>
                    <v:stroke on="f"/>
                    <v:imagedata o:title=""/>
                    <o:lock v:ext="edit" aspectratio="f"/>
                    <v:textbox>
                      <w:txbxContent>
                        <w:p w14:paraId="0D92C117">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sz w:val="18"/>
                              <w:szCs w:val="18"/>
                              <w:lang w:val="en-US" w:eastAsia="zh-CN"/>
                            </w:rPr>
                            <w:t>1.53</w:t>
                          </w:r>
                        </w:p>
                      </w:txbxContent>
                    </v:textbox>
                  </v:shape>
                  <v:shape id="_x0000_s2061" o:spid="_x0000_s2061" o:spt="109" type="#_x0000_t109" style="position:absolute;left:1612265;top:50165;height:266700;width:527050;" fillcolor="#FFFFFF" filled="t" stroked="f" coordsize="21600,21600">
                    <v:path/>
                    <v:fill on="t" color2="#FFFFFF" focussize="0,0"/>
                    <v:stroke on="f"/>
                    <v:imagedata o:title=""/>
                    <o:lock v:ext="edit" aspectratio="f"/>
                    <v:textbox>
                      <w:txbxContent>
                        <w:p w14:paraId="614D3109">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0.27</w:t>
                          </w:r>
                        </w:p>
                      </w:txbxContent>
                    </v:textbox>
                  </v:shape>
                  <v:shape id="_x0000_s2062" o:spid="_x0000_s2062" o:spt="109" type="#_x0000_t109" style="position:absolute;left:1894205;top:346710;height:266700;width:406400;" fillcolor="#FFFFFF" filled="t" stroked="f" coordsize="21600,21600">
                    <v:path/>
                    <v:fill on="t" color2="#FFFFFF" focussize="0,0"/>
                    <v:stroke on="f"/>
                    <v:imagedata o:title=""/>
                    <o:lock v:ext="edit" aspectratio="f"/>
                    <v:textbox>
                      <w:txbxContent>
                        <w:p w14:paraId="09912F65">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sz w:val="18"/>
                              <w:szCs w:val="18"/>
                              <w:lang w:val="en-US" w:eastAsia="zh-CN"/>
                            </w:rPr>
                            <w:t>1.53</w:t>
                          </w:r>
                        </w:p>
                      </w:txbxContent>
                    </v:textbox>
                  </v:shape>
                  <v:shape id="_x0000_s2063" o:spid="_x0000_s2063" o:spt="109" type="#_x0000_t109" style="position:absolute;left:584835;top:2442209;height:266700;width:602615;" fillcolor="#FFFFFF" filled="t" stroked="f" coordsize="21600,21600">
                    <v:path/>
                    <v:fill on="t" color2="#FFFFFF" focussize="0,0"/>
                    <v:stroke on="f"/>
                    <v:imagedata o:title=""/>
                    <o:lock v:ext="edit" aspectratio="f"/>
                    <v:textbox>
                      <w:txbxContent>
                        <w:p w14:paraId="2D96F79E">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w:t>
                          </w:r>
                          <w:r>
                            <w:rPr>
                              <w:rFonts w:hint="eastAsia" w:cs="Times New Roman"/>
                              <w:b w:val="0"/>
                              <w:bCs w:val="0"/>
                              <w:sz w:val="18"/>
                              <w:szCs w:val="18"/>
                              <w:lang w:val="en-US" w:eastAsia="zh-CN"/>
                            </w:rPr>
                            <w:t>768</w:t>
                          </w:r>
                        </w:p>
                      </w:txbxContent>
                    </v:textbox>
                  </v:shape>
                  <v:shape id="_x0000_s2064" o:spid="_x0000_s2064" o:spt="109" type="#_x0000_t109" style="position:absolute;left:126365;top:1313180;height:667385;width:673100;" fillcolor="#FFFFFF" filled="t" stroked="f" coordsize="21600,21600">
                    <v:path/>
                    <v:fill on="t" color2="#FFFFFF" focussize="0,0"/>
                    <v:stroke on="f"/>
                    <v:imagedata o:title=""/>
                    <o:lock v:ext="edit" aspectratio="f"/>
                    <v:textbox>
                      <w:txbxContent>
                        <w:p w14:paraId="1E513899">
                          <w:pPr>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新鲜水</w:t>
                          </w:r>
                        </w:p>
                        <w:p w14:paraId="327434CD">
                          <w:pPr>
                            <w:pStyle w:val="3"/>
                            <w:pageBreakBefore w:val="0"/>
                            <w:widowControl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黑体" w:cs="Times New Roman"/>
                              <w:b w:val="0"/>
                              <w:bCs w:val="0"/>
                              <w:sz w:val="18"/>
                              <w:szCs w:val="18"/>
                              <w:lang w:val="en-US" w:eastAsia="zh-CN"/>
                            </w:rPr>
                            <w:t>1.</w:t>
                          </w:r>
                          <w:r>
                            <w:rPr>
                              <w:rFonts w:hint="eastAsia" w:ascii="Times New Roman" w:hAnsi="Times New Roman" w:eastAsia="黑体" w:cs="Times New Roman"/>
                              <w:b w:val="0"/>
                              <w:bCs w:val="0"/>
                              <w:sz w:val="18"/>
                              <w:szCs w:val="18"/>
                              <w:lang w:val="en-US" w:eastAsia="zh-CN"/>
                            </w:rPr>
                            <w:t>9108</w:t>
                          </w:r>
                        </w:p>
                      </w:txbxContent>
                    </v:textbox>
                  </v:shape>
                  <v:shape id="_x0000_s2065" o:spid="_x0000_s2065" o:spt="109" type="#_x0000_t109" style="position:absolute;left:649605;top:1400810;height:266700;width:459105;" fillcolor="#FFFFFF" filled="t" stroked="f" coordsize="21600,21600">
                    <v:path/>
                    <v:fill on="t" color2="#FFFFFF" focussize="0,0"/>
                    <v:stroke on="f"/>
                    <v:imagedata o:title=""/>
                    <o:lock v:ext="edit" aspectratio="f"/>
                    <v:textbox>
                      <w:txbxContent>
                        <w:p w14:paraId="1415636B">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0.03</w:t>
                          </w:r>
                          <w:r>
                            <w:rPr>
                              <w:rFonts w:hint="eastAsia" w:cs="Times New Roman"/>
                              <w:b w:val="0"/>
                              <w:bCs w:val="0"/>
                              <w:sz w:val="18"/>
                              <w:szCs w:val="18"/>
                              <w:lang w:val="en-US" w:eastAsia="zh-CN"/>
                            </w:rPr>
                            <w:t>4</w:t>
                          </w:r>
                        </w:p>
                      </w:txbxContent>
                    </v:textbox>
                  </v:shape>
                  <v:shape id="_x0000_s2066" o:spid="_x0000_s2066" o:spt="109" type="#_x0000_t109" style="position:absolute;left:666750;top:365760;height:273685;width:408305;" fillcolor="#FFFFFF" filled="t" stroked="f" coordsize="21600,21600">
                    <v:path/>
                    <v:fill on="t" color2="#FFFFFF" focussize="0,0"/>
                    <v:stroke on="f"/>
                    <v:imagedata o:title=""/>
                    <o:lock v:ext="edit" aspectratio="f"/>
                    <v:textbox>
                      <w:txbxContent>
                        <w:p w14:paraId="5D9ABFE6">
                          <w:pPr>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sz w:val="18"/>
                              <w:szCs w:val="18"/>
                              <w:lang w:val="en-US" w:eastAsia="zh-CN"/>
                            </w:rPr>
                            <w:t>1.8</w:t>
                          </w:r>
                        </w:p>
                      </w:txbxContent>
                    </v:textbox>
                  </v:shape>
                  <v:shape id="_x0000_s2067" o:spid="_x0000_s2067" o:spt="109" type="#_x0000_t109" style="position:absolute;left:1104900;top:438150;height:310515;width:675005;" fillcolor="#FFFFFF" filled="t" stroked="t" coordsize="21600,21600">
                    <v:path/>
                    <v:fill on="t" color2="#FFFFFF" focussize="0,0"/>
                    <v:stroke color="#000000" joinstyle="miter" endarrow="block"/>
                    <v:imagedata o:title=""/>
                    <o:lock v:ext="edit" aspectratio="f"/>
                    <v:textbox>
                      <w:txbxContent>
                        <w:p w14:paraId="6AC02AC1">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生活用水</w:t>
                          </w:r>
                        </w:p>
                      </w:txbxContent>
                    </v:textbox>
                  </v:shape>
                  <v:shape id="_x0000_s2068" o:spid="_x0000_s2068" o:spt="109" type="#_x0000_t109" style="position:absolute;left:1105535;top:1495425;height:304800;width:673100;" fillcolor="#FFFFFF" filled="t" stroked="t" coordsize="21600,21600">
                    <v:path/>
                    <v:fill on="t" color2="#FFFFFF" focussize="0,0"/>
                    <v:stroke color="#000000" joinstyle="miter" endarrow="block"/>
                    <v:imagedata o:title=""/>
                    <o:lock v:ext="edit" aspectratio="f"/>
                    <v:textbox>
                      <w:txbxContent>
                        <w:p w14:paraId="0F73B6C6">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振光用水</w:t>
                          </w:r>
                        </w:p>
                      </w:txbxContent>
                    </v:textbox>
                  </v:shape>
                  <v:shape id="_x0000_s2069" o:spid="_x0000_s2069" o:spt="109" type="#_x0000_t109" style="position:absolute;left:1106170;top:2526030;height:304800;width:673100;" fillcolor="#FFFFFF" filled="t" stroked="t" coordsize="21600,21600">
                    <v:path/>
                    <v:fill on="t" color2="#FFFFFF" focussize="0,0"/>
                    <v:stroke color="#000000" joinstyle="miter" endarrow="block"/>
                    <v:imagedata o:title=""/>
                    <o:lock v:ext="edit" aspectratio="f"/>
                    <v:textbox>
                      <w:txbxContent>
                        <w:p w14:paraId="5D759ED7">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清洗用水</w:t>
                          </w:r>
                        </w:p>
                      </w:txbxContent>
                    </v:textbox>
                  </v:shape>
                  <v:shape id="_x0000_s2070" o:spid="_x0000_s2070" o:spt="34" type="#_x0000_t34" style="position:absolute;left:799465;top:593725;flip:y;height:1053465;width:305435;" filled="f" stroked="t" coordsize="21600,21600" adj="-8935">
                    <v:path arrowok="t"/>
                    <v:fill on="f" focussize="0,0"/>
                    <v:stroke color="#000000" joinstyle="miter" endarrow="block" endarrowwidth="narrow"/>
                    <v:imagedata o:title=""/>
                    <o:lock v:ext="edit" aspectratio="f"/>
                  </v:shape>
                  <v:shape id="_x0000_s2071" o:spid="_x0000_s2071" o:spt="33" type="#_x0000_t33" style="position:absolute;left:270510;top:1647825;height:3175;width:835025;" filled="f" stroked="t" coordsize="21600,21600">
                    <v:path arrowok="t"/>
                    <v:fill on="f" focussize="0,0"/>
                    <v:stroke color="#000000" joinstyle="miter" endarrow="block" endarrowwidth="narrow"/>
                    <v:imagedata o:title=""/>
                    <o:lock v:ext="edit" aspectratio="f"/>
                  </v:shape>
                  <v:shape id="_x0000_s2072" o:spid="_x0000_s2072" o:spt="109" type="#_x0000_t109" style="position:absolute;left:2402205;top:440690;height:304800;width:673100;" fillcolor="#FFFFFF" filled="t" stroked="t" coordsize="21600,21600">
                    <v:path/>
                    <v:fill on="t" color2="#FFFFFF" focussize="0,0"/>
                    <v:stroke color="#000000" joinstyle="miter" endarrow="block"/>
                    <v:imagedata o:title=""/>
                    <o:lock v:ext="edit" aspectratio="f"/>
                    <v:textbox>
                      <w:txbxContent>
                        <w:p w14:paraId="7C756FE7">
                          <w:pPr>
                            <w:ind w:left="0" w:leftChars="0" w:right="0" w:rightChars="0"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化粪池</w:t>
                          </w:r>
                        </w:p>
                      </w:txbxContent>
                    </v:textbox>
                  </v:shape>
                  <v:shape id="_x0000_s2073" o:spid="_x0000_s2073" o:spt="34" type="#_x0000_t34" style="position:absolute;left:786765;top:1647190;height:1031240;width:306705;" filled="f" stroked="t" coordsize="21600,21600" adj="-7959">
                    <v:path arrowok="t"/>
                    <v:fill on="f" focussize="0,0"/>
                    <v:stroke color="#000000" joinstyle="miter" endarrow="block" endarrowwidth="narrow"/>
                    <v:imagedata o:title=""/>
                    <o:lock v:ext="edit" aspectratio="f"/>
                  </v:shape>
                  <v:shape id="_x0000_s2074" o:spid="_x0000_s2074" o:spt="32" type="#_x0000_t32" style="position:absolute;left:1779905;top:593090;flip:y;height:635;width:622300;" filled="f" stroked="t" coordsize="21600,21600">
                    <v:path arrowok="t"/>
                    <v:fill on="f" focussize="0,0"/>
                    <v:stroke color="#000000" endarrow="block" endarrowwidth="narrow"/>
                    <v:imagedata o:title=""/>
                    <o:lock v:ext="edit" aspectratio="f"/>
                  </v:shape>
                  <v:shape id="_x0000_s2075" o:spid="_x0000_s2075" style="position:absolute;left:1442085;top:193675;height:241300;width:317500;" filled="f" stroked="t" coordsize="1021,829" path="m0,829c182,546,365,263,458,223c551,183,464,627,558,590c652,553,836,276,1021,0e">
                    <v:path arrowok="t"/>
                    <v:fill on="f" focussize="0,0"/>
                    <v:stroke color="#000000" dashstyle="dash" endarrow="block" endarrowwidth="narrow"/>
                    <v:imagedata o:title=""/>
                    <o:lock v:ext="edit" aspectratio="f"/>
                  </v:shape>
                  <v:shape id="_x0000_s2076" o:spid="_x0000_s2076" o:spt="109" type="#_x0000_t109" style="position:absolute;left:2389505;top:1899285;height:304800;width:1648460;" fillcolor="#FFFFFF" filled="t" stroked="t" coordsize="21600,21600">
                    <v:path/>
                    <v:fill on="t" color2="#FFFFFF" focussize="0,0"/>
                    <v:stroke color="#000000" joinstyle="miter" endarrow="block"/>
                    <v:imagedata o:title=""/>
                    <o:lock v:ext="edit" aspectratio="f"/>
                    <v:textbox>
                      <w:txbxContent>
                        <w:p w14:paraId="49829805">
                          <w:pPr>
                            <w:ind w:left="0" w:leftChars="0" w:right="0" w:rightChars="0"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委托有资质单位进行处理</w:t>
                          </w:r>
                        </w:p>
                      </w:txbxContent>
                    </v:textbox>
                  </v:shape>
                  <v:shape id="_x0000_s2077" o:spid="_x0000_s2077" o:spt="33" type="#_x0000_t33" style="position:absolute;left:1778635;top:1647825;height:251460;width:1435100;" filled="f" stroked="t" coordsize="21600,21600">
                    <v:path arrowok="t"/>
                    <v:fill on="f" focussize="0,0"/>
                    <v:stroke color="#000000" joinstyle="miter" endarrow="block" endarrowwidth="narrow"/>
                    <v:imagedata o:title=""/>
                    <o:lock v:ext="edit" aspectratio="f"/>
                  </v:shape>
                  <v:shape id="_x0000_s2078" o:spid="_x0000_s2078" o:spt="33" type="#_x0000_t33" style="position:absolute;left:1779270;top:2204085;flip:y;height:474345;width:1434465;" filled="f" stroked="t" coordsize="21600,21600">
                    <v:path arrowok="t"/>
                    <v:fill on="f" focussize="0,0"/>
                    <v:stroke color="#000000" joinstyle="miter" endarrow="block" endarrowwidth="narrow"/>
                    <v:imagedata o:title=""/>
                    <o:lock v:ext="edit" aspectratio="f"/>
                  </v:shape>
                  <v:shape id="_x0000_s2079" o:spid="_x0000_s2079" o:spt="109" type="#_x0000_t109" style="position:absolute;left:3679190;top:339725;height:504825;width:1224915;" fillcolor="#FFFFFF" filled="t" stroked="t" coordsize="21600,21600">
                    <v:path/>
                    <v:fill on="t" color2="#FFFFFF" focussize="0,0"/>
                    <v:stroke color="#000000" joinstyle="miter" endarrow="block"/>
                    <v:imagedata o:title=""/>
                    <o:lock v:ext="edit" aspectratio="f"/>
                    <v:textbox>
                      <w:txbxContent>
                        <w:p w14:paraId="33A28391">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淮南经济技术开发区</w:t>
                          </w:r>
                        </w:p>
                        <w:p w14:paraId="233D7D5D">
                          <w:pPr>
                            <w:ind w:left="0" w:leftChars="0" w:right="0" w:rightChars="0"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工业污水处理厂</w:t>
                          </w:r>
                        </w:p>
                      </w:txbxContent>
                    </v:textbox>
                  </v:shape>
                  <v:shape id="_x0000_s2080" o:spid="_x0000_s2080" o:spt="109" type="#_x0000_t109" style="position:absolute;left:3843655;top:1387475;height:304800;width:886460;" fillcolor="#FFFFFF" filled="t" stroked="f" coordsize="21600,21600">
                    <v:path/>
                    <v:fill on="t" color2="#FFFFFF" focussize="0,0"/>
                    <v:stroke on="f"/>
                    <v:imagedata o:title=""/>
                    <o:lock v:ext="edit" aspectratio="f"/>
                    <v:textbox>
                      <w:txbxContent>
                        <w:p w14:paraId="1D3C4A29">
                          <w:pPr>
                            <w:ind w:left="0" w:leftChars="0" w:right="0" w:rightChars="0"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大涧沟至淮河</w:t>
                          </w:r>
                        </w:p>
                      </w:txbxContent>
                    </v:textbox>
                  </v:shape>
                  <v:shape id="_x0000_s2081" o:spid="_x0000_s2081" o:spt="32" type="#_x0000_t32" style="position:absolute;left:3075305;top:592455;flip:y;height:635;width:603885;" filled="f" stroked="t" coordsize="21600,21600">
                    <v:path arrowok="t"/>
                    <v:fill on="f" focussize="0,0"/>
                    <v:stroke color="#000000" endarrow="block" endarrowwidth="narrow"/>
                    <v:imagedata o:title=""/>
                    <o:lock v:ext="edit" aspectratio="f"/>
                  </v:shape>
                  <v:shape id="_x0000_s2082" o:spid="_x0000_s2082" o:spt="32" type="#_x0000_t32" style="position:absolute;left:4286885;top:844550;flip:x;height:542925;width:5080;" filled="f" stroked="t" coordsize="21600,21600">
                    <v:path arrowok="t"/>
                    <v:fill on="f" focussize="0,0"/>
                    <v:stroke color="#000000" endarrow="block" endarrowwidth="narrow"/>
                    <v:imagedata o:title=""/>
                    <o:lock v:ext="edit" aspectratio="f"/>
                  </v:shape>
                  <v:shape id="_x0000_s2083" o:spid="_x0000_s2083" style="position:absolute;left:1449705;top:1256030;height:241300;width:317500;" filled="f" stroked="t" coordsize="1021,829" path="m0,829c182,546,365,263,458,223c551,183,464,627,558,590c652,553,836,276,1021,0e">
                    <v:path arrowok="t"/>
                    <v:fill on="f" focussize="0,0"/>
                    <v:stroke color="#000000" dashstyle="dash" endarrow="block" endarrowwidth="narrow"/>
                    <v:imagedata o:title=""/>
                    <o:lock v:ext="edit" aspectratio="f"/>
                  </v:shape>
                  <v:shape id="_x0000_s2084" o:spid="_x0000_s2084" style="position:absolute;left:1455420;top:2285365;height:241300;width:317500;" filled="f" stroked="t" coordsize="1021,829" path="m0,829c182,546,365,263,458,223c551,183,464,627,558,590c652,553,836,276,1021,0e">
                    <v:path arrowok="t"/>
                    <v:fill on="f" focussize="0,0"/>
                    <v:stroke color="#000000" dashstyle="dash" endarrow="block" endarrowwidth="narrow"/>
                    <v:imagedata o:title=""/>
                    <o:lock v:ext="edit" aspectratio="f"/>
                  </v:shape>
                  <w10:wrap type="none"/>
                  <w10:anchorlock/>
                </v:group>
              </w:pict>
            </w:r>
          </w:p>
          <w:p w14:paraId="30A8065A">
            <w:pPr>
              <w:jc w:val="center"/>
            </w:pPr>
            <w:r>
              <w:rPr>
                <w:rFonts w:eastAsia="黑体"/>
              </w:rPr>
              <w:t>图2-1  本项目水平衡图  单位m</w:t>
            </w:r>
            <w:r>
              <w:rPr>
                <w:rFonts w:eastAsia="黑体"/>
                <w:vertAlign w:val="superscript"/>
              </w:rPr>
              <w:t>3</w:t>
            </w:r>
            <w:r>
              <w:rPr>
                <w:rFonts w:eastAsia="黑体"/>
              </w:rPr>
              <w:t>/d</w:t>
            </w:r>
          </w:p>
          <w:p w14:paraId="2FF00C11"/>
          <w:p w14:paraId="5AE52A94">
            <w:pPr>
              <w:pStyle w:val="3"/>
            </w:pPr>
          </w:p>
          <w:p w14:paraId="269471EB"/>
          <w:p w14:paraId="3F6472E7"/>
          <w:p w14:paraId="1856915A"/>
          <w:p w14:paraId="215EEF9C"/>
          <w:p w14:paraId="71C7B63D"/>
          <w:p w14:paraId="44FDAF67"/>
          <w:p w14:paraId="394BDCC1"/>
          <w:p w14:paraId="0158B02A"/>
          <w:p w14:paraId="76B79372"/>
          <w:p w14:paraId="305360B7"/>
          <w:p w14:paraId="4041329F"/>
          <w:p w14:paraId="13E4CB77"/>
          <w:p w14:paraId="17E01D94"/>
          <w:p w14:paraId="61336C90"/>
          <w:p w14:paraId="3ADEF908"/>
          <w:p w14:paraId="4855E8E9"/>
          <w:p w14:paraId="673310FD"/>
          <w:p w14:paraId="38E2B964"/>
          <w:p w14:paraId="72D3A600"/>
          <w:p w14:paraId="025A4218"/>
        </w:tc>
      </w:tr>
    </w:tbl>
    <w:p w14:paraId="4E3A84ED">
      <w:pPr>
        <w:spacing w:line="360" w:lineRule="auto"/>
        <w:jc w:val="center"/>
        <w:rPr>
          <w:rFonts w:eastAsia="黑体"/>
        </w:rPr>
        <w:sectPr>
          <w:type w:val="continuous"/>
          <w:pgSz w:w="11906" w:h="16838"/>
          <w:pgMar w:top="1440" w:right="1800" w:bottom="1440" w:left="1800" w:header="851" w:footer="992" w:gutter="0"/>
          <w:cols w:space="425" w:num="1"/>
          <w:docGrid w:type="lines" w:linePitch="326" w:charSpace="0"/>
        </w:sect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6B67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1" w:hRule="atLeast"/>
          <w:jc w:val="center"/>
        </w:trPr>
        <w:tc>
          <w:tcPr>
            <w:tcW w:w="456" w:type="dxa"/>
            <w:vAlign w:val="center"/>
          </w:tcPr>
          <w:p w14:paraId="68A4CC42">
            <w:pPr>
              <w:spacing w:line="360" w:lineRule="auto"/>
              <w:jc w:val="center"/>
            </w:pPr>
            <w:r>
              <w:t>工艺流程和产排污环节</w:t>
            </w:r>
          </w:p>
        </w:tc>
        <w:tc>
          <w:tcPr>
            <w:tcW w:w="8066" w:type="dxa"/>
          </w:tcPr>
          <w:p w14:paraId="417FA359">
            <w:pPr>
              <w:spacing w:line="360" w:lineRule="auto"/>
              <w:ind w:firstLine="482" w:firstLineChars="200"/>
              <w:rPr>
                <w:b/>
              </w:rPr>
            </w:pPr>
            <w:r>
              <w:rPr>
                <w:rFonts w:hint="eastAsia"/>
                <w:b/>
              </w:rPr>
              <w:t>1、施工期工艺流程</w:t>
            </w:r>
          </w:p>
          <w:p w14:paraId="149133DB">
            <w:pPr>
              <w:autoSpaceDE w:val="0"/>
              <w:autoSpaceDN w:val="0"/>
              <w:spacing w:line="360" w:lineRule="auto"/>
              <w:ind w:firstLine="480" w:firstLineChars="200"/>
              <w:jc w:val="left"/>
            </w:pPr>
            <w:r>
              <w:rPr>
                <w:rFonts w:hint="eastAsia"/>
              </w:rPr>
              <w:t>本项目施工期主要进行设备安装和附属设施建设等，不涉及土建施工活动。施工期对环境的主要影响为设备安装引起的噪声及装修过程中产生的废气。施工的时间较短，且施工区域集中在现有密闭厂房内部，对区域环境影响较小。</w:t>
            </w:r>
          </w:p>
          <w:p w14:paraId="36BD74C7">
            <w:pPr>
              <w:adjustRightInd w:val="0"/>
              <w:spacing w:line="360" w:lineRule="auto"/>
              <w:ind w:firstLine="482" w:firstLineChars="200"/>
              <w:jc w:val="left"/>
              <w:rPr>
                <w:b/>
                <w:bCs/>
              </w:rPr>
            </w:pPr>
            <w:r>
              <w:rPr>
                <w:rFonts w:hint="eastAsia"/>
                <w:b/>
                <w:bCs/>
              </w:rPr>
              <w:t>2、</w:t>
            </w:r>
            <w:r>
              <w:rPr>
                <w:b/>
                <w:bCs/>
              </w:rPr>
              <w:t>运营期生产工艺流程简述</w:t>
            </w:r>
          </w:p>
          <w:p w14:paraId="17F665FA">
            <w:pPr>
              <w:spacing w:line="360" w:lineRule="auto"/>
              <w:ind w:firstLine="480" w:firstLineChars="200"/>
            </w:pPr>
            <w:r>
              <w:t>本项目主要产品</w:t>
            </w:r>
            <w:r>
              <w:rPr>
                <w:rFonts w:hint="eastAsia"/>
              </w:rPr>
              <w:t>为控制臂总成和衬套及以上两种产品装配后成品。</w:t>
            </w:r>
          </w:p>
          <w:p w14:paraId="64BD7588">
            <w:pPr>
              <w:spacing w:line="360" w:lineRule="auto"/>
              <w:ind w:firstLine="480" w:firstLineChars="200"/>
            </w:pPr>
          </w:p>
          <w:p w14:paraId="67B4CFE6">
            <w:pPr>
              <w:pStyle w:val="3"/>
            </w:pPr>
          </w:p>
          <w:p w14:paraId="7006CB60"/>
          <w:p w14:paraId="3E7AE4AA">
            <w:pPr>
              <w:pStyle w:val="3"/>
            </w:pPr>
          </w:p>
          <w:p w14:paraId="15D87CAE"/>
          <w:p w14:paraId="02B74F14">
            <w:pPr>
              <w:pStyle w:val="3"/>
            </w:pPr>
          </w:p>
          <w:p w14:paraId="42CBE01B"/>
          <w:p w14:paraId="71A261D5">
            <w:pPr>
              <w:pStyle w:val="3"/>
            </w:pPr>
          </w:p>
          <w:p w14:paraId="518001DB"/>
          <w:p w14:paraId="1F1BFF84">
            <w:pPr>
              <w:pStyle w:val="3"/>
            </w:pPr>
          </w:p>
          <w:p w14:paraId="1FF9236D"/>
          <w:p w14:paraId="035875AB">
            <w:pPr>
              <w:pStyle w:val="3"/>
            </w:pPr>
          </w:p>
          <w:p w14:paraId="7895B66C"/>
          <w:p w14:paraId="5B24E9EB"/>
          <w:p w14:paraId="722A5C8C"/>
          <w:p w14:paraId="456D9D23"/>
          <w:p w14:paraId="5474CBE6"/>
          <w:p w14:paraId="436CCCEE">
            <w:pPr>
              <w:autoSpaceDE w:val="0"/>
              <w:autoSpaceDN w:val="0"/>
              <w:spacing w:line="360" w:lineRule="auto"/>
              <w:ind w:firstLine="482" w:firstLineChars="200"/>
              <w:jc w:val="left"/>
            </w:pPr>
            <w:r>
              <w:rPr>
                <w:rFonts w:hint="eastAsia"/>
                <w:b/>
                <w:bCs/>
              </w:rPr>
              <w:t>（1）衬套生产工艺流程简述</w:t>
            </w:r>
          </w:p>
          <w:p w14:paraId="652B64B1">
            <w:pPr>
              <w:autoSpaceDE w:val="0"/>
              <w:autoSpaceDN w:val="0"/>
              <w:spacing w:line="360" w:lineRule="auto"/>
              <w:ind w:firstLine="480" w:firstLineChars="200"/>
              <w:jc w:val="left"/>
            </w:pPr>
            <w:r>
              <w:rPr>
                <w:rFonts w:hint="eastAsia"/>
              </w:rPr>
              <w:t>本项目外购衬套骨架（芯子和外管）为原料，经抛丸、振光、超声波清洗、涂胶、硫化注胶、抛边、磷化（外协）、锁紧后，最终形成衬套，暂存于2楼配件区。</w:t>
            </w:r>
          </w:p>
          <w:p w14:paraId="78D41B75">
            <w:pPr>
              <w:spacing w:line="360" w:lineRule="auto"/>
            </w:pPr>
            <w:r>
              <w:pict>
                <v:group id="画布 168" o:spid="_x0000_s2085" o:spt="203" style="height:557.65pt;width:393.15pt;" coordsize="4993005,7082155" editas="canvas">
                  <o:lock v:ext="edit"/>
                  <v:rect id="画布 168" o:spid="_x0000_s2086" o:spt="1" style="position:absolute;left:0;top:0;height:7082155;width:4993005;" filled="f" stroked="f" coordsize="21600,21600">
                    <v:path/>
                    <v:fill on="f" focussize="0,0"/>
                    <v:stroke on="f"/>
                    <v:imagedata o:title=""/>
                    <o:lock v:ext="edit" aspectratio="t"/>
                  </v:rect>
                  <v:rect id="矩形 66" o:spid="_x0000_s2087" o:spt="1" style="position:absolute;left:1605915;top:148604;height:305464;width:1398905;" filled="f" stroked="f" coordsize="21600,21600" o:gfxdata="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zgRe7Y&#10;AAAABgEAAA8AAAAAAAAAAQAgAAAAIgAAAGRycy9kb3ducmV2LnhtbFBLAQIUABQAAAAIAIdO4kCo&#10;DrH0rgEAAE4DAAAOAAAAAAAAAAEAIAAAACcBAABkcnMvZTJvRG9jLnhtbFBLBQYAAAAABgAGAFkB&#10;AABHBQAAAAA=&#10;">
                    <v:path/>
                    <v:fill on="f" focussize="0,0"/>
                    <v:stroke on="f"/>
                    <v:imagedata o:title=""/>
                    <o:lock v:ext="edit" aspectratio="f"/>
                    <v:textbox>
                      <w:txbxContent>
                        <w:p w14:paraId="64B328F1">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b w:val="0"/>
                              <w:bCs w:val="0"/>
                              <w:sz w:val="18"/>
                              <w:szCs w:val="18"/>
                              <w:lang w:val="en-US" w:eastAsia="zh-CN"/>
                            </w:rPr>
                            <w:t>芯子、外管</w:t>
                          </w:r>
                        </w:p>
                      </w:txbxContent>
                    </v:textbox>
                  </v:rect>
                  <v:rect id="矩形 83" o:spid="_x0000_s2088" o:spt="1" style="position:absolute;left:1848485;top:876383;height:305464;width:903605;" fillcolor="#FFFFFF" filled="t" stroked="t" coordsize="21600,21600" o:gfxdata="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MngXVAAAABgEAAA8AAAAAAAAAAQAgAAAAIgAAAGRy&#10;cy9kb3ducmV2LnhtbFBLAQIUABQAAAAIAIdO4kCbumNwCAIAADUEAAAOAAAAAAAAAAEAIAAAACQB&#10;AABkcnMvZTJvRG9jLnhtbFBLBQYAAAAABgAGAFkBAACeBQAAAAA=&#10;">
                    <v:path/>
                    <v:fill on="t" color2="#FFFFFF" focussize="0,0"/>
                    <v:stroke color="#000000" joinstyle="miter"/>
                    <v:imagedata o:title=""/>
                    <o:lock v:ext="edit" aspectratio="f"/>
                    <v:textbox>
                      <w:txbxContent>
                        <w:p w14:paraId="76B49BAC">
                          <w:pPr>
                            <w:jc w:val="center"/>
                            <w:rPr>
                              <w:rFonts w:hint="eastAsia" w:ascii="黑体" w:hAnsi="黑体" w:eastAsia="黑体"/>
                              <w:b w:val="0"/>
                              <w:bCs w:val="0"/>
                              <w:sz w:val="21"/>
                              <w:szCs w:val="21"/>
                              <w:lang w:eastAsia="zh-CN"/>
                            </w:rPr>
                          </w:pPr>
                          <w:r>
                            <w:rPr>
                              <w:rFonts w:hint="eastAsia" w:ascii="黑体" w:hAnsi="黑体" w:eastAsia="黑体"/>
                              <w:b w:val="0"/>
                              <w:bCs w:val="0"/>
                              <w:sz w:val="18"/>
                              <w:szCs w:val="18"/>
                              <w:lang w:val="en-US" w:eastAsia="zh-CN"/>
                            </w:rPr>
                            <w:t>抛丸</w:t>
                          </w:r>
                        </w:p>
                      </w:txbxContent>
                    </v:textbox>
                  </v:rect>
                  <v:rect id="矩形 85" o:spid="_x0000_s2089" o:spt="1" style="position:absolute;left:1848485;top:2687955;height:305435;width:903605;" fillcolor="#FFFFFF" filled="t" stroked="t" coordsize="21600,21600" o:gfxdata="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zJ4F1QAAAAYBAAAPAAAAAAAAAAEAIAAA&#10;ACIAAABkcnMvZG93bnJldi54bWxQSwECFAAUAAAACACHTuJAn2gJyg8CAAA2BAAADgAAAAAAAAAB&#10;ACAAAAAkAQAAZHJzL2Uyb0RvYy54bWxQSwUGAAAAAAYABgBZAQAApQUAAAAA&#10;">
                    <v:path/>
                    <v:fill on="t" color2="#FFFFFF" focussize="0,0"/>
                    <v:stroke color="#000000" joinstyle="miter"/>
                    <v:imagedata o:title=""/>
                    <o:lock v:ext="edit" aspectratio="f"/>
                    <v:textbox>
                      <w:txbxContent>
                        <w:p w14:paraId="1BA44248">
                          <w:pPr>
                            <w:ind w:left="0" w:leftChars="0" w:right="0" w:rightChars="0" w:firstLine="0" w:firstLineChars="0"/>
                            <w:jc w:val="center"/>
                            <w:rPr>
                              <w:rFonts w:hint="default" w:ascii="黑体" w:hAnsi="黑体" w:eastAsia="黑体"/>
                              <w:sz w:val="21"/>
                              <w:szCs w:val="21"/>
                              <w:lang w:val="en-US" w:eastAsia="zh-CN"/>
                            </w:rPr>
                          </w:pPr>
                          <w:r>
                            <w:rPr>
                              <w:rFonts w:hint="eastAsia" w:ascii="黑体" w:hAnsi="黑体" w:eastAsia="黑体"/>
                              <w:b w:val="0"/>
                              <w:bCs w:val="0"/>
                              <w:sz w:val="18"/>
                              <w:szCs w:val="18"/>
                              <w:lang w:val="en-US" w:eastAsia="zh-CN"/>
                            </w:rPr>
                            <w:t>超声波清洗</w:t>
                          </w:r>
                        </w:p>
                      </w:txbxContent>
                    </v:textbox>
                  </v:rect>
                  <v:rect id="矩形 86" o:spid="_x0000_s2090" o:spt="1" style="position:absolute;left:1844675;top:4034154;height:304800;width:904875;" fillcolor="#FFFFFF" filled="t" stroked="t" coordsize="21600,21600" o:gfxdata="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iSY&#10;7NQAAAAGAQAADwAAAAAAAAABACAAAAAiAAAAZHJzL2Rvd25yZXYueG1sUEsBAhQAFAAAAAgAh07i&#10;QNG3gJkmAgAAagQAAA4AAAAAAAAAAQAgAAAAIwEAAGRycy9lMm9Eb2MueG1sUEsFBgAAAAAGAAYA&#10;WQEAALsFAAAAAA==&#10;">
                    <v:path/>
                    <v:fill on="t" color2="#FFFFFF" focussize="0,0"/>
                    <v:stroke color="#000000" joinstyle="miter"/>
                    <v:imagedata o:title=""/>
                    <o:lock v:ext="edit" aspectratio="f"/>
                    <v:textbox inset="0.5mm,1.27mm,0.5mm,1.27mm">
                      <w:txbxContent>
                        <w:p w14:paraId="671BAE28">
                          <w:pPr>
                            <w:ind w:left="0" w:leftChars="0" w:right="0" w:rightChars="0" w:firstLine="0" w:firstLineChars="0"/>
                            <w:jc w:val="center"/>
                            <w:rPr>
                              <w:rFonts w:hint="default" w:ascii="黑体" w:hAnsi="黑体" w:eastAsia="黑体"/>
                              <w:b w:val="0"/>
                              <w:bCs w:val="0"/>
                              <w:sz w:val="18"/>
                              <w:szCs w:val="18"/>
                              <w:lang w:val="en-US" w:eastAsia="zh-CN"/>
                            </w:rPr>
                          </w:pPr>
                          <w:r>
                            <w:rPr>
                              <w:rFonts w:hint="eastAsia" w:ascii="黑体" w:hAnsi="黑体" w:eastAsia="黑体"/>
                              <w:b w:val="0"/>
                              <w:bCs w:val="0"/>
                              <w:sz w:val="18"/>
                              <w:szCs w:val="18"/>
                              <w:lang w:val="en-US" w:eastAsia="zh-CN"/>
                            </w:rPr>
                            <w:t>硫化注胶</w:t>
                          </w:r>
                        </w:p>
                        <w:p w14:paraId="52A3C4F0">
                          <w:pPr>
                            <w:rPr>
                              <w:szCs w:val="21"/>
                            </w:rPr>
                          </w:pPr>
                        </w:p>
                      </w:txbxContent>
                    </v:textbox>
                  </v:rect>
                  <v:shape id="任意多边形 88" o:spid="_x0000_s2091" style="position:absolute;left:2763520;top:811530;height:231140;width:414655;" filled="f" stroked="t" coordsize="780,714" o:gfxdata="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rLLQNNUAAAAGAQAADwAAAAAAAAABACAAAAAiAAAAZHJzL2Rvd25yZXYueG1s&#10;UEsBAhQAFAAAAAgAh07iQITr3xSmAgAAmwUAAA4AAAAAAAAAAQAgAAAAJAEAAGRycy9lMm9Eb2Mu&#10;eG1sUEsFBgAAAAAGAAYAWQEAADwGAAAAAA==&#10;" path="m0,714c105,489,211,265,300,255c389,245,452,694,532,652c612,610,696,305,780,0e">
                    <v:fill on="f" focussize="0,0"/>
                    <v:stroke color="#00B050" joinstyle="round" dashstyle="dash" endarrow="block" endarrowwidth="narrow"/>
                    <v:imagedata o:title=""/>
                    <o:lock v:ext="edit" aspectratio="f"/>
                  </v:shape>
                  <v:rect id="矩形 89" o:spid="_x0000_s2092" o:spt="1" style="position:absolute;left:1848485;top:3359150;height:306070;width:904875;" fillcolor="#FFFFFF" filled="t" stroked="t" coordsize="21600,21600" o:gfxdata="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zJ4F1QAAAAYBAAAPAAAAAAAAAAEAIAAA&#10;ACIAAABkcnMvZG93bnJldi54bWxQSwECFAAUAAAACACHTuJApNn4xQ8CAAA2BAAADgAAAAAAAAAB&#10;ACAAAAAkAQAAZHJzL2Uyb0RvYy54bWxQSwUGAAAAAAYABgBZAQAApQUAAAAA&#10;">
                    <v:path/>
                    <v:fill on="t" color2="#FFFFFF" focussize="0,0"/>
                    <v:stroke color="#000000" joinstyle="miter"/>
                    <v:imagedata o:title=""/>
                    <o:lock v:ext="edit" aspectratio="f"/>
                    <v:textbox>
                      <w:txbxContent>
                        <w:p w14:paraId="695BA269">
                          <w:pPr>
                            <w:jc w:val="center"/>
                            <w:rPr>
                              <w:rFonts w:hint="eastAsia" w:ascii="黑体" w:hAnsi="黑体" w:eastAsia="黑体"/>
                              <w:b w:val="0"/>
                              <w:bCs w:val="0"/>
                              <w:sz w:val="21"/>
                              <w:szCs w:val="21"/>
                              <w:lang w:val="en-US" w:eastAsia="zh-CN"/>
                            </w:rPr>
                          </w:pPr>
                          <w:r>
                            <w:rPr>
                              <w:rFonts w:hint="eastAsia" w:ascii="黑体" w:hAnsi="黑体" w:eastAsia="黑体"/>
                              <w:b w:val="0"/>
                              <w:bCs w:val="0"/>
                              <w:sz w:val="18"/>
                              <w:szCs w:val="18"/>
                              <w:lang w:val="en-US" w:eastAsia="zh-CN"/>
                            </w:rPr>
                            <w:t>涂胶</w:t>
                          </w:r>
                        </w:p>
                      </w:txbxContent>
                    </v:textbox>
                  </v:rect>
                  <v:rect id="矩形 94" o:spid="_x0000_s2093" o:spt="1" style="position:absolute;left:1850390;top:1873250;height:304800;width:901700;" fillcolor="#FFFFFF" filled="t" stroked="t" coordsize="21600,21600" o:gfxdata="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8yeBdUAAAAGAQAADwAAAAAAAAABACAAAAAiAAAA&#10;ZHJzL2Rvd25yZXYueG1sUEsBAhQAFAAAAAgAh07iQDSiCXUKAgAANgQAAA4AAAAAAAAAAQAgAAAA&#10;JAEAAGRycy9lMm9Eb2MueG1sUEsFBgAAAAAGAAYAWQEAAKAFAAAAAA==&#10;">
                    <v:path/>
                    <v:fill on="t" color2="#FFFFFF" focussize="0,0"/>
                    <v:stroke color="#000000" joinstyle="miter"/>
                    <v:imagedata o:title=""/>
                    <o:lock v:ext="edit" aspectratio="f"/>
                    <v:textbox>
                      <w:txbxContent>
                        <w:p w14:paraId="1A5A531A">
                          <w:pPr>
                            <w:jc w:val="center"/>
                            <w:rPr>
                              <w:rFonts w:hint="default" w:ascii="黑体" w:hAnsi="黑体" w:eastAsia="黑体"/>
                              <w:b w:val="0"/>
                              <w:bCs w:val="0"/>
                              <w:sz w:val="21"/>
                              <w:szCs w:val="21"/>
                              <w:lang w:val="en-US" w:eastAsia="zh-CN"/>
                            </w:rPr>
                          </w:pPr>
                          <w:r>
                            <w:rPr>
                              <w:rFonts w:hint="eastAsia" w:ascii="黑体" w:hAnsi="黑体" w:eastAsia="黑体"/>
                              <w:b w:val="0"/>
                              <w:bCs w:val="0"/>
                              <w:sz w:val="18"/>
                              <w:szCs w:val="18"/>
                              <w:lang w:val="en-US" w:eastAsia="zh-CN"/>
                            </w:rPr>
                            <w:t>振光</w:t>
                          </w:r>
                        </w:p>
                      </w:txbxContent>
                    </v:textbox>
                  </v:rect>
                  <v:rect id="矩形 98" o:spid="_x0000_s2094" o:spt="1" style="position:absolute;left:1844675;top:4704080;height:304800;width:901700;" fillcolor="#FFFFFF" filled="t" stroked="t" coordsize="21600,21600" o:gfxdata="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YkmOzU&#10;AAAABgEAAA8AAAAAAAAAAQAgAAAAIgAAAGRycy9kb3ducmV2LnhtbFBLAQIUABQAAAAIAIdO4kDQ&#10;oOFkJAIAAGoEAAAOAAAAAAAAAAEAIAAAACMBAABkcnMvZTJvRG9jLnhtbFBLBQYAAAAABgAGAFkB&#10;AAC5BQAAAAA=&#10;">
                    <v:path/>
                    <v:fill on="t" color2="#FFFFFF" focussize="0,0"/>
                    <v:stroke color="#000000" joinstyle="miter"/>
                    <v:imagedata o:title=""/>
                    <o:lock v:ext="edit" aspectratio="f"/>
                    <v:textbox inset="0.5mm,1.27mm,0.5mm,1.27mm">
                      <w:txbxContent>
                        <w:p w14:paraId="103F9A87">
                          <w:pPr>
                            <w:ind w:left="0" w:leftChars="0" w:right="0" w:rightChars="0" w:firstLine="0" w:firstLineChars="0"/>
                            <w:jc w:val="center"/>
                            <w:rPr>
                              <w:rFonts w:hint="default" w:ascii="黑体" w:hAnsi="黑体" w:eastAsia="黑体"/>
                              <w:b w:val="0"/>
                              <w:bCs w:val="0"/>
                              <w:sz w:val="21"/>
                              <w:szCs w:val="21"/>
                              <w:lang w:val="en-US" w:eastAsia="zh-CN"/>
                            </w:rPr>
                          </w:pPr>
                          <w:r>
                            <w:rPr>
                              <w:rFonts w:hint="default" w:ascii="黑体" w:hAnsi="黑体" w:eastAsia="黑体"/>
                              <w:b w:val="0"/>
                              <w:bCs w:val="0"/>
                              <w:sz w:val="18"/>
                              <w:szCs w:val="18"/>
                              <w:lang w:val="en-US" w:eastAsia="zh-CN"/>
                            </w:rPr>
                            <w:t>抛边</w:t>
                          </w:r>
                        </w:p>
                      </w:txbxContent>
                    </v:textbox>
                  </v:rect>
                  <v:rect id="矩形 99" o:spid="_x0000_s2095" o:spt="1" style="position:absolute;left:3174365;top:570230;height:241300;width:1181100;v-text-anchor:middle;" fillcolor="#00B050" filled="t" stroked="f" coordsize="21600,21600" o:gfxdata="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AV17XAAAABgEAAA8AAAAAAAAAAQAgAAAAIgAAAGRycy9kb3ducmV2LnhtbFBLAQIUABQAAAAI&#10;AIdO4kCIofgW7gEAANcDAAAOAAAAAAAAAAEAIAAAACYBAABkcnMvZTJvRG9jLnhtbFBLBQYAAAAA&#10;BgAGAFkBAACGBQAAAAA=&#10;">
                    <v:path/>
                    <v:fill on="t" color2="#FFFFFF" opacity="13107f" focussize="0,0"/>
                    <v:stroke on="f"/>
                    <v:imagedata o:title=""/>
                    <o:lock v:ext="edit" aspectratio="f"/>
                    <v:textbox inset="0mm,0mm,0mm,0mm">
                      <w:txbxContent>
                        <w:p w14:paraId="511090F9">
                          <w:pPr>
                            <w:spacing w:line="240" w:lineRule="atLeast"/>
                            <w:jc w:val="center"/>
                            <w:rPr>
                              <w:rFonts w:hAnsi="黑体" w:eastAsia="黑体"/>
                              <w:b w:val="0"/>
                              <w:bCs w:val="0"/>
                              <w:color w:val="00B050"/>
                              <w:sz w:val="21"/>
                              <w:szCs w:val="21"/>
                            </w:rPr>
                          </w:pPr>
                          <w:r>
                            <w:rPr>
                              <w:rFonts w:hint="eastAsia" w:eastAsia="黑体"/>
                              <w:b w:val="0"/>
                              <w:bCs w:val="0"/>
                              <w:color w:val="00B050"/>
                              <w:sz w:val="18"/>
                              <w:szCs w:val="18"/>
                            </w:rPr>
                            <w:t>G</w:t>
                          </w:r>
                          <w:r>
                            <w:rPr>
                              <w:rFonts w:hint="eastAsia" w:eastAsia="黑体"/>
                              <w:b w:val="0"/>
                              <w:bCs w:val="0"/>
                              <w:color w:val="00B050"/>
                              <w:sz w:val="18"/>
                              <w:szCs w:val="18"/>
                              <w:vertAlign w:val="subscript"/>
                            </w:rPr>
                            <w:t>1-</w:t>
                          </w:r>
                          <w:r>
                            <w:rPr>
                              <w:rFonts w:hint="eastAsia" w:eastAsia="黑体"/>
                              <w:b w:val="0"/>
                              <w:bCs w:val="0"/>
                              <w:color w:val="00B050"/>
                              <w:sz w:val="18"/>
                              <w:szCs w:val="18"/>
                              <w:vertAlign w:val="subscript"/>
                              <w:lang w:val="en-US" w:eastAsia="zh-CN"/>
                            </w:rPr>
                            <w:t>1</w:t>
                          </w:r>
                          <w:r>
                            <w:rPr>
                              <w:rFonts w:hint="eastAsia" w:eastAsia="黑体"/>
                              <w:b w:val="0"/>
                              <w:bCs w:val="0"/>
                              <w:color w:val="00B050"/>
                              <w:sz w:val="18"/>
                              <w:szCs w:val="18"/>
                            </w:rPr>
                            <w:t>：</w:t>
                          </w:r>
                          <w:r>
                            <w:rPr>
                              <w:rFonts w:hint="eastAsia" w:eastAsia="黑体"/>
                              <w:b w:val="0"/>
                              <w:bCs w:val="0"/>
                              <w:color w:val="00B050"/>
                              <w:sz w:val="18"/>
                              <w:szCs w:val="18"/>
                              <w:lang w:val="en-US" w:eastAsia="zh-CN"/>
                            </w:rPr>
                            <w:t>抛丸粉尘</w:t>
                          </w:r>
                        </w:p>
                      </w:txbxContent>
                    </v:textbox>
                  </v:rect>
                  <v:shape id="直接箭头连接符 102" o:spid="_x0000_s2096" o:spt="32" type="#_x0000_t32" style="position:absolute;left:2770505;top:1178037;flip:x;height:0;width:406400;" filled="f" stroked="t" coordsize="21600,21600" o:gfxdata="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sVNujXAAAA&#10;BgEAAA8AAAAAAAAAAQAgAAAAIgAAAGRycy9kb3ducmV2LnhtbFBLAQIUABQAAAAIAIdO4kCv4MiB&#10;HgIAAAYEAAAOAAAAAAAAAAEAIAAAACYBAABkcnMvZTJvRG9jLnhtbFBLBQYAAAAABgAGAFkBAAC2&#10;BQAAAAA=&#10;">
                    <v:path arrowok="t"/>
                    <v:fill on="f" focussize="0,0"/>
                    <v:stroke color="#FF0000" joinstyle="round" dashstyle="dash" startarrow="block" startarrowwidth="narrow" endarrowwidth="narrow"/>
                    <v:imagedata o:title=""/>
                    <o:lock v:ext="edit" aspectratio="f"/>
                  </v:shape>
                  <v:rect id="矩形 116" o:spid="_x0000_s2097" o:spt="1" style="position:absolute;left:3189605;top:1038324;height:241323;width:1181100;v-text-anchor:middle;" fillcolor="#FFCCCC" filled="t" stroked="f" coordsize="21600,21600" o:gfxdata="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5R81tYAAAAGAQAA&#10;DwAAAAAAAAABACAAAAAiAAAAZHJzL2Rvd25yZXYueG1sUEsBAhQAFAAAAAgAh07iQPtIWMziAQAA&#10;uQMAAA4AAAAAAAAAAQAgAAAAJQEAAGRycy9lMm9Eb2MueG1sUEsFBgAAAAAGAAYAWQEAAHkFAAAA&#10;AA==&#10;">
                    <v:path/>
                    <v:fill on="t" color2="#FFFFFF" focussize="0,0"/>
                    <v:stroke on="f"/>
                    <v:imagedata o:title=""/>
                    <o:lock v:ext="edit" aspectratio="f"/>
                    <v:textbox inset="0mm,0mm,0mm,0mm">
                      <w:txbxContent>
                        <w:p w14:paraId="74F67D88">
                          <w:pPr>
                            <w:ind w:left="0" w:leftChars="0" w:right="0" w:rightChars="0" w:firstLine="0" w:firstLineChars="0"/>
                            <w:jc w:val="center"/>
                            <w:rPr>
                              <w:rFonts w:hint="eastAsia" w:eastAsia="黑体"/>
                              <w:b w:val="0"/>
                              <w:bCs w:val="0"/>
                              <w:color w:val="00B050"/>
                              <w:sz w:val="18"/>
                              <w:szCs w:val="18"/>
                              <w:lang w:val="en-US" w:eastAsia="zh-CN"/>
                            </w:rPr>
                          </w:pPr>
                          <w:r>
                            <w:rPr>
                              <w:rFonts w:hint="eastAsia" w:eastAsia="黑体"/>
                              <w:b w:val="0"/>
                              <w:bCs w:val="0"/>
                              <w:color w:val="FF0000"/>
                              <w:sz w:val="18"/>
                              <w:szCs w:val="18"/>
                              <w:highlight w:val="none"/>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1</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eastAsia="zh-CN"/>
                            </w:rPr>
                            <w:t>废钢丸</w:t>
                          </w:r>
                        </w:p>
                      </w:txbxContent>
                    </v:textbox>
                  </v:rect>
                  <v:shape id="直接箭头连接符 134" o:spid="_x0000_s2098" o:spt="32" type="#_x0000_t32" style="position:absolute;left:2770505;top:2086610;flip:x;height:0;width:406400;" filled="f" stroked="t" coordsize="21600,21600" o:gfxdata="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xU26NcAAAAG&#10;AQAADwAAAAAAAAABACAAAAAiAAAAZHJzL2Rvd25yZXYueG1sUEsBAhQAFAAAAAgAh07iQDMIpJcd&#10;AgAABgQAAA4AAAAAAAAAAQAgAAAAJgEAAGRycy9lMm9Eb2MueG1sUEsFBgAAAAAGAAYAWQEAALUF&#10;AAAAAA==&#10;">
                    <v:path arrowok="t"/>
                    <v:fill on="f" focussize="0,0"/>
                    <v:stroke color="#FF0000" joinstyle="round" dashstyle="dash" startarrow="block" startarrowwidth="narrow" endarrowwidth="narrow"/>
                    <v:imagedata o:title=""/>
                    <o:lock v:ext="edit" aspectratio="f"/>
                  </v:shape>
                  <v:rect id="矩形 135" o:spid="_x0000_s2099" o:spt="1" style="position:absolute;left:3189605;top:1884045;height:395605;width:1181100;v-text-anchor:middle;" fillcolor="#FFCCCC" filled="t" stroked="f" coordsize="21600,21600" o:gfxdata="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5R81tYAAAAGAQAA&#10;DwAAAAAAAAABACAAAAAiAAAAZHJzL2Rvd25yZXYueG1sUEsBAhQAFAAAAAgAh07iQAOL/gviAQAA&#10;uQMAAA4AAAAAAAAAAQAgAAAAJQEAAGRycy9lMm9Eb2MueG1sUEsFBgAAAAAGAAYAWQEAAHkFAAAA&#10;AA==&#10;">
                    <v:path/>
                    <v:fill on="t" color2="#FFFFFF" focussize="0,0"/>
                    <v:stroke on="f"/>
                    <v:imagedata o:title=""/>
                    <o:lock v:ext="edit" aspectratio="f"/>
                    <v:textbox inset="0mm,0mm,0mm,0mm">
                      <w:txbxContent>
                        <w:p w14:paraId="5E1425BC">
                          <w:pPr>
                            <w:ind w:left="0" w:leftChars="0" w:right="0" w:rightChars="0" w:firstLine="0" w:firstLineChars="0"/>
                            <w:jc w:val="center"/>
                            <w:rPr>
                              <w:rFonts w:hint="eastAsia" w:eastAsia="黑体"/>
                              <w:b w:val="0"/>
                              <w:bCs w:val="0"/>
                              <w:color w:val="FF0000"/>
                              <w:sz w:val="18"/>
                              <w:szCs w:val="18"/>
                              <w:highlight w:val="none"/>
                              <w:lang w:val="en-US" w:eastAsia="zh-CN"/>
                            </w:rPr>
                          </w:pPr>
                          <w:r>
                            <w:rPr>
                              <w:rFonts w:hint="eastAsia" w:eastAsia="黑体"/>
                              <w:b w:val="0"/>
                              <w:bCs w:val="0"/>
                              <w:color w:val="FF0000"/>
                              <w:sz w:val="18"/>
                              <w:szCs w:val="18"/>
                              <w:highlight w:val="none"/>
                              <w:lang w:val="en-US" w:eastAsia="zh-CN"/>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2</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eastAsia="zh-CN"/>
                            </w:rPr>
                            <w:t>振光</w:t>
                          </w:r>
                          <w:r>
                            <w:rPr>
                              <w:rFonts w:hint="eastAsia" w:eastAsia="黑体"/>
                              <w:b w:val="0"/>
                              <w:bCs w:val="0"/>
                              <w:color w:val="FF0000"/>
                              <w:sz w:val="18"/>
                              <w:szCs w:val="18"/>
                              <w:highlight w:val="none"/>
                            </w:rPr>
                            <w:t>废</w:t>
                          </w:r>
                          <w:r>
                            <w:rPr>
                              <w:rFonts w:hint="eastAsia" w:eastAsia="黑体"/>
                              <w:b w:val="0"/>
                              <w:bCs w:val="0"/>
                              <w:color w:val="FF0000"/>
                              <w:sz w:val="18"/>
                              <w:szCs w:val="18"/>
                              <w:highlight w:val="none"/>
                              <w:lang w:val="en-US" w:eastAsia="zh-CN"/>
                            </w:rPr>
                            <w:t>水</w:t>
                          </w:r>
                        </w:p>
                        <w:p w14:paraId="13FA922D">
                          <w:pPr>
                            <w:ind w:left="0" w:leftChars="0" w:right="0" w:rightChars="0" w:firstLine="0" w:firstLineChars="0"/>
                            <w:jc w:val="center"/>
                            <w:rPr>
                              <w:rFonts w:hint="eastAsia" w:eastAsia="黑体"/>
                              <w:b w:val="0"/>
                              <w:bCs w:val="0"/>
                              <w:color w:val="FF0000"/>
                              <w:sz w:val="18"/>
                              <w:szCs w:val="18"/>
                              <w:lang w:val="en-US" w:eastAsia="zh-CN"/>
                            </w:rPr>
                          </w:pPr>
                          <w:r>
                            <w:rPr>
                              <w:rFonts w:hint="eastAsia" w:eastAsia="黑体"/>
                              <w:b w:val="0"/>
                              <w:bCs w:val="0"/>
                              <w:color w:val="FF0000"/>
                              <w:sz w:val="18"/>
                              <w:szCs w:val="18"/>
                              <w:highlight w:val="none"/>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3</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eastAsia="zh-CN"/>
                            </w:rPr>
                            <w:t>槽渣</w:t>
                          </w:r>
                        </w:p>
                      </w:txbxContent>
                    </v:textbox>
                  </v:rect>
                  <v:shape id="直接箭头连接符 136" o:spid="_x0000_s2100" o:spt="32" type="#_x0000_t32" style="position:absolute;left:2770505;top:2920365;flip:x;height:0;width:406400;" filled="f" stroked="t" coordsize="21600,21600" o:gfxdata="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sVNujXAAAA&#10;BgEAAA8AAAAAAAAAAQAgAAAAIgAAAGRycy9kb3ducmV2LnhtbFBLAQIUABQAAAAIAIdO4kDSIUDC&#10;HgIAAAYEAAAOAAAAAAAAAAEAIAAAACYBAABkcnMvZTJvRG9jLnhtbFBLBQYAAAAABgAGAFkBAAC2&#10;BQAAAAA=&#10;">
                    <v:path arrowok="t"/>
                    <v:fill on="f" focussize="0,0"/>
                    <v:stroke color="#FF0000" joinstyle="round" dashstyle="dash" startarrow="block" startarrowwidth="narrow" endarrowwidth="narrow"/>
                    <v:imagedata o:title=""/>
                    <o:lock v:ext="edit" aspectratio="f"/>
                  </v:shape>
                  <v:rect id="矩形 137" o:spid="_x0000_s2101" o:spt="1" style="position:absolute;left:3189605;top:2780665;height:241300;width:1181100;v-text-anchor:middle;" fillcolor="#FFCCCC" filled="t" stroked="f" coordsize="21600,21600" o:gfxdata="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eUfNbWAAAABgEA&#10;AA8AAAAAAAAAAQAgAAAAIgAAAGRycy9kb3ducmV2LnhtbFBLAQIUABQAAAAIAIdO4kDW067H4wEA&#10;ALkDAAAOAAAAAAAAAAEAIAAAACUBAABkcnMvZTJvRG9jLnhtbFBLBQYAAAAABgAGAFkBAAB6BQAA&#10;AAA=&#10;">
                    <v:path/>
                    <v:fill on="t" color2="#FFFFFF" focussize="0,0"/>
                    <v:stroke on="f"/>
                    <v:imagedata o:title=""/>
                    <o:lock v:ext="edit" aspectratio="f"/>
                    <v:textbox inset="0mm,0mm,0mm,0mm">
                      <w:txbxContent>
                        <w:p w14:paraId="4530E908">
                          <w:pPr>
                            <w:ind w:left="0" w:leftChars="0" w:right="0" w:rightChars="0" w:firstLine="0" w:firstLineChars="0"/>
                            <w:jc w:val="center"/>
                            <w:rPr>
                              <w:rFonts w:hint="eastAsia" w:eastAsia="黑体"/>
                              <w:b w:val="0"/>
                              <w:bCs w:val="0"/>
                              <w:color w:val="FF0000"/>
                              <w:sz w:val="18"/>
                              <w:szCs w:val="18"/>
                              <w:lang w:val="en-US" w:eastAsia="zh-CN"/>
                            </w:rPr>
                          </w:pPr>
                          <w:r>
                            <w:rPr>
                              <w:rFonts w:hint="eastAsia" w:eastAsia="黑体"/>
                              <w:b w:val="0"/>
                              <w:bCs w:val="0"/>
                              <w:color w:val="FF0000"/>
                              <w:sz w:val="18"/>
                              <w:szCs w:val="18"/>
                              <w:highlight w:val="none"/>
                              <w:vertAlign w:val="baseline"/>
                              <w:lang w:val="en-US" w:eastAsia="zh-CN"/>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4</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val="en-US" w:eastAsia="zh-CN"/>
                            </w:rPr>
                            <w:t>清洗废液和</w:t>
                          </w:r>
                          <w:r>
                            <w:rPr>
                              <w:rFonts w:hint="eastAsia" w:eastAsia="黑体"/>
                              <w:b w:val="0"/>
                              <w:bCs w:val="0"/>
                              <w:color w:val="FF0000"/>
                              <w:sz w:val="18"/>
                              <w:szCs w:val="18"/>
                              <w:highlight w:val="none"/>
                            </w:rPr>
                            <w:t>废</w:t>
                          </w:r>
                          <w:r>
                            <w:rPr>
                              <w:rFonts w:hint="eastAsia" w:eastAsia="黑体"/>
                              <w:b w:val="0"/>
                              <w:bCs w:val="0"/>
                              <w:color w:val="FF0000"/>
                              <w:sz w:val="18"/>
                              <w:szCs w:val="18"/>
                              <w:highlight w:val="none"/>
                              <w:lang w:val="en-US" w:eastAsia="zh-CN"/>
                            </w:rPr>
                            <w:t>水</w:t>
                          </w:r>
                        </w:p>
                      </w:txbxContent>
                    </v:textbox>
                  </v:rect>
                  <v:shape id="任意多边形 138" o:spid="_x0000_s2102" style="position:absolute;left:2766060;top:3322320;height:229235;width:406400;" filled="f" stroked="t" coordsize="780,714" o:gfxdata="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LLQNNUAAAAGAQAADwAAAAAAAAABACAAAAAiAAAAZHJzL2Rvd25yZXYu&#10;eG1sUEsBAhQAFAAAAAgAh07iQJ0f5xipAgAAngUAAA4AAAAAAAAAAQAgAAAAJAEAAGRycy9lMm9E&#10;b2MueG1sUEsFBgAAAAAGAAYAWQEAAD8GAAAAAA==&#10;" path="m0,714c105,489,211,265,300,255c389,245,452,694,532,652c612,610,696,305,780,0e">
                    <v:fill on="f" focussize="0,0"/>
                    <v:stroke color="#00B050" joinstyle="round" dashstyle="dash" endarrow="block" endarrowwidth="narrow"/>
                    <v:imagedata o:title=""/>
                    <o:lock v:ext="edit" aspectratio="f"/>
                  </v:shape>
                  <v:rect id="矩形 139" o:spid="_x0000_s2103" o:spt="1" style="position:absolute;left:3183890;top:3081020;height:241300;width:1181100;v-text-anchor:middle;" fillcolor="#00B050" filled="t" stroked="f" coordsize="21600,21600" o:gfxdata="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wBXXtcAAAAGAQAADwAAAAAAAAABACAAAAAiAAAAZHJzL2Rvd25yZXYueG1sUEsBAhQAFAAAAAgA&#10;h07iQH+RPPvtAQAA2gMAAA4AAAAAAAAAAQAgAAAAJgEAAGRycy9lMm9Eb2MueG1sUEsFBgAAAAAG&#10;AAYAWQEAAIUFAAAAAA==&#10;">
                    <v:path/>
                    <v:fill on="t" color2="#FFFFFF" opacity="13107f" focussize="0,0"/>
                    <v:stroke on="f"/>
                    <v:imagedata o:title=""/>
                    <o:lock v:ext="edit" aspectratio="f"/>
                    <v:textbox inset="0mm,0mm,0mm,0mm">
                      <w:txbxContent>
                        <w:p w14:paraId="14C9902C">
                          <w:pPr>
                            <w:spacing w:line="240" w:lineRule="atLeast"/>
                            <w:jc w:val="center"/>
                            <w:rPr>
                              <w:rFonts w:hint="eastAsia" w:hAnsi="黑体" w:eastAsia="黑体"/>
                              <w:b w:val="0"/>
                              <w:bCs w:val="0"/>
                              <w:color w:val="00B050"/>
                              <w:sz w:val="21"/>
                              <w:szCs w:val="21"/>
                              <w:lang w:val="en-US" w:eastAsia="zh-CN"/>
                            </w:rPr>
                          </w:pPr>
                          <w:r>
                            <w:rPr>
                              <w:rFonts w:hint="eastAsia" w:eastAsia="黑体"/>
                              <w:b w:val="0"/>
                              <w:bCs w:val="0"/>
                              <w:color w:val="00B050"/>
                              <w:sz w:val="18"/>
                              <w:szCs w:val="18"/>
                            </w:rPr>
                            <w:t>G</w:t>
                          </w:r>
                          <w:r>
                            <w:rPr>
                              <w:rFonts w:hint="eastAsia" w:eastAsia="黑体"/>
                              <w:b w:val="0"/>
                              <w:bCs w:val="0"/>
                              <w:color w:val="00B050"/>
                              <w:sz w:val="18"/>
                              <w:szCs w:val="18"/>
                              <w:vertAlign w:val="subscript"/>
                            </w:rPr>
                            <w:t>1-</w:t>
                          </w:r>
                          <w:r>
                            <w:rPr>
                              <w:rFonts w:hint="eastAsia" w:eastAsia="黑体"/>
                              <w:b w:val="0"/>
                              <w:bCs w:val="0"/>
                              <w:color w:val="00B050"/>
                              <w:sz w:val="18"/>
                              <w:szCs w:val="18"/>
                              <w:vertAlign w:val="subscript"/>
                              <w:lang w:val="en-US" w:eastAsia="zh-CN"/>
                            </w:rPr>
                            <w:t>3</w:t>
                          </w:r>
                          <w:r>
                            <w:rPr>
                              <w:rFonts w:hint="eastAsia" w:eastAsia="黑体"/>
                              <w:b w:val="0"/>
                              <w:bCs w:val="0"/>
                              <w:color w:val="00B050"/>
                              <w:sz w:val="18"/>
                              <w:szCs w:val="18"/>
                            </w:rPr>
                            <w:t>：</w:t>
                          </w:r>
                          <w:r>
                            <w:rPr>
                              <w:rFonts w:hint="eastAsia" w:eastAsia="黑体"/>
                              <w:b w:val="0"/>
                              <w:bCs w:val="0"/>
                              <w:color w:val="00B050"/>
                              <w:sz w:val="18"/>
                              <w:szCs w:val="18"/>
                              <w:lang w:eastAsia="zh-CN"/>
                            </w:rPr>
                            <w:t>涂胶废气</w:t>
                          </w:r>
                        </w:p>
                      </w:txbxContent>
                    </v:textbox>
                  </v:rect>
                  <v:shape id="直接箭头连接符 142" o:spid="_x0000_s2104" o:spt="32" type="#_x0000_t32" style="position:absolute;left:2300605;top:2995295;height:365760;width:635;" filled="f" stroked="t" coordsize="21600,21600" o:gfxdata="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XOd/1wAAAAYBAAAPAAAA&#10;AAAAAAEAIAAAACIAAABkcnMvZG93bnJldi54bWxQSwECFAAUAAAACACHTuJAGYuqCxYCAAAABAAA&#10;DgAAAAAAAAABACAAAAAmAQAAZHJzL2Uyb0RvYy54bWxQSwUGAAAAAAYABgBZAQAArgUAAAAA&#10;">
                    <v:path arrowok="t"/>
                    <v:fill on="f" focussize="0,0"/>
                    <v:stroke color="#000000" joinstyle="round" endarrow="block" endarrowwidth="narrow"/>
                    <v:imagedata o:title=""/>
                    <o:lock v:ext="edit" aspectratio="f"/>
                  </v:shape>
                  <v:shape id="直接箭头连接符 143" o:spid="_x0000_s2105" o:spt="32" type="#_x0000_t32" style="position:absolute;left:2297430;top:3665220;flip:x;height:368935;width:381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95kd3XAAAA&#10;BgEAAA8AAAAAAAAAAQAgAAAAIgAAAGRycy9kb3ducmV2LnhtbFBLAQIUABQAAAAIAIdO4kCRJ5mI&#10;HgIAAAsEAAAOAAAAAAAAAAEAIAAAACYBAABkcnMvZTJvRG9jLnhtbFBLBQYAAAAABgAGAFkBAAC2&#10;BQAAAAA=&#10;">
                    <v:path arrowok="t"/>
                    <v:fill on="f" focussize="0,0"/>
                    <v:stroke color="#000000" joinstyle="round" endarrow="block" endarrowwidth="narrow"/>
                    <v:imagedata o:title=""/>
                    <o:lock v:ext="edit" aspectratio="f"/>
                  </v:shape>
                  <v:shape id="直接箭头连接符 144" o:spid="_x0000_s2109" o:spt="32" type="#_x0000_t32" style="position:absolute;left:2295525;top:4351655;flip:x;height:365125;width:1905;"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95kd3XAAAA&#10;BgEAAA8AAAAAAAAAAQAgAAAAIgAAAGRycy9kb3ducmV2LnhtbFBLAQIUABQAAAAIAIdO4kBGHf2U&#10;HgIAAAsEAAAOAAAAAAAAAAEAIAAAACYBAABkcnMvZTJvRG9jLnhtbFBLBQYAAAAABgAGAFkBAAC2&#10;BQAAAAA=&#10;">
                    <v:path arrowok="t"/>
                    <v:fill on="f" focussize="0,0"/>
                    <v:stroke color="#000000" joinstyle="round" endarrow="block" endarrowwidth="narrow"/>
                    <v:imagedata o:title=""/>
                    <o:lock v:ext="edit" aspectratio="f"/>
                  </v:shape>
                  <v:shape id="直接箭头连接符 145" o:spid="_x0000_s2110" o:spt="32" type="#_x0000_t32" style="position:absolute;left:2295525;top:5008880;height:353695;width:0;" filled="f" stroked="t" coordsize="21600,21600" o:gfxdata="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c53/XAAAABgEAAA8AAAAA&#10;AAAAAQAgAAAAIgAAAGRycy9kb3ducmV2LnhtbFBLAQIUABQAAAAIAIdO4kAZ7vweFQIAAP4DAAAO&#10;AAAAAAAAAAEAIAAAACYBAABkcnMvZTJvRG9jLnhtbFBLBQYAAAAABgAGAFkBAACtBQAAAAA=&#10;">
                    <v:path arrowok="t"/>
                    <v:fill on="f" focussize="0,0"/>
                    <v:stroke color="#000000" joinstyle="round" endarrow="block" endarrowwidth="narrow"/>
                    <v:imagedata o:title=""/>
                    <o:lock v:ext="edit" aspectratio="f"/>
                  </v:shape>
                  <v:rect id="矩形 146" o:spid="_x0000_s2111" o:spt="1" style="position:absolute;left:1838325;top:5392420;height:304800;width:901700;" filled="f" stroked="t" coordsize="21600,21600" o:gfxdata="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8v49f1gAA&#10;AAYBAAAPAAAAAAAAAAEAIAAAACIAAABkcnMvZG93bnJldi54bWxQSwECFAAUAAAACACHTuJAGbZF&#10;/CACAABDBAAADgAAAAAAAAABACAAAAAlAQAAZHJzL2Uyb0RvYy54bWxQSwUGAAAAAAYABgBZAQAA&#10;twUAAAAA&#10;">
                    <v:path/>
                    <v:fill on="f" focussize="0,0"/>
                    <v:stroke color="#000000" joinstyle="miter"/>
                    <v:imagedata o:title=""/>
                    <o:lock v:ext="edit" aspectratio="f"/>
                    <v:textbox inset="0.5mm,1.27mm,0.5mm,1.27mm">
                      <w:txbxContent>
                        <w:p w14:paraId="45730FE1">
                          <w:pPr>
                            <w:ind w:left="0" w:leftChars="0" w:right="0" w:rightChars="0" w:firstLine="0" w:firstLineChars="0"/>
                            <w:jc w:val="center"/>
                            <w:rPr>
                              <w:rFonts w:hint="default" w:ascii="黑体" w:hAnsi="黑体" w:eastAsia="黑体"/>
                              <w:sz w:val="18"/>
                              <w:szCs w:val="18"/>
                              <w:lang w:val="en-US" w:eastAsia="zh-CN"/>
                            </w:rPr>
                          </w:pPr>
                          <w:r>
                            <w:rPr>
                              <w:rFonts w:hint="eastAsia" w:ascii="黑体" w:hAnsi="黑体" w:eastAsia="黑体"/>
                              <w:b w:val="0"/>
                              <w:bCs w:val="0"/>
                              <w:sz w:val="18"/>
                              <w:szCs w:val="18"/>
                              <w:lang w:val="en-US" w:eastAsia="zh-CN"/>
                            </w:rPr>
                            <w:t>磷化（外协）</w:t>
                          </w:r>
                        </w:p>
                      </w:txbxContent>
                    </v:textbox>
                  </v:rect>
                  <v:shape id="直接箭头连接符 147" o:spid="_x0000_s2113" o:spt="32" type="#_x0000_t32" style="position:absolute;left:2755265;top:4864100;flip:x;height:0;width:406400;" filled="f" stroked="t" coordsize="21600,21600" o:gfxdata="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xU26NcAAAAG&#10;AQAADwAAAAAAAAABACAAAAAiAAAAZHJzL2Rvd25yZXYueG1sUEsBAhQAFAAAAAgAh07iQNDzMicd&#10;AgAABgQAAA4AAAAAAAAAAQAgAAAAJgEAAGRycy9lMm9Eb2MueG1sUEsFBgAAAAAGAAYAWQEAALUF&#10;AAAAAA==&#10;">
                    <v:path arrowok="t"/>
                    <v:fill on="f" focussize="0,0"/>
                    <v:stroke color="#FF0000" joinstyle="round" dashstyle="dash" startarrow="block" startarrowwidth="narrow" endarrowwidth="narrow"/>
                    <v:imagedata o:title=""/>
                    <o:lock v:ext="edit" aspectratio="f"/>
                  </v:shape>
                  <v:rect id="矩形 148" o:spid="_x0000_s2114" o:spt="1" style="position:absolute;left:3174365;top:4724400;height:241300;width:1181100;v-text-anchor:middle;" fillcolor="#FFCCCC" filled="t" stroked="f" coordsize="21600,21600" o:gfxdata="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lHzW1gAAAAYB&#10;AAAPAAAAAAAAAAEAIAAAACIAAABkcnMvZG93bnJldi54bWxQSwECFAAUAAAACACHTuJAkrMdo+QB&#10;AAC5AwAADgAAAAAAAAABACAAAAAlAQAAZHJzL2Uyb0RvYy54bWxQSwUGAAAAAAYABgBZAQAAewUA&#10;AAAA&#10;">
                    <v:path/>
                    <v:fill on="t" color2="#FFFFFF" focussize="0,0"/>
                    <v:stroke on="f"/>
                    <v:imagedata o:title=""/>
                    <o:lock v:ext="edit" aspectratio="f"/>
                    <v:textbox inset="0mm,0mm,0mm,0mm">
                      <w:txbxContent>
                        <w:p w14:paraId="19B6DCDA">
                          <w:pPr>
                            <w:ind w:left="0" w:leftChars="0" w:right="0" w:rightChars="0" w:firstLine="0" w:firstLineChars="0"/>
                            <w:jc w:val="center"/>
                            <w:rPr>
                              <w:rFonts w:hint="default" w:eastAsia="黑体"/>
                              <w:b w:val="0"/>
                              <w:bCs w:val="0"/>
                              <w:color w:val="FF0000"/>
                              <w:sz w:val="18"/>
                              <w:szCs w:val="18"/>
                              <w:lang w:val="en-US" w:eastAsia="zh-CN"/>
                            </w:rPr>
                          </w:pPr>
                          <w:r>
                            <w:rPr>
                              <w:rFonts w:hint="eastAsia" w:eastAsia="黑体"/>
                              <w:b w:val="0"/>
                              <w:bCs w:val="0"/>
                              <w:color w:val="FF0000"/>
                              <w:sz w:val="18"/>
                              <w:szCs w:val="18"/>
                              <w:highlight w:val="none"/>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6</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val="en-US" w:eastAsia="zh-CN"/>
                            </w:rPr>
                            <w:t>废橡胶边角料</w:t>
                          </w:r>
                        </w:p>
                      </w:txbxContent>
                    </v:textbox>
                  </v:rect>
                  <v:shape id="直接箭头连接符 149" o:spid="_x0000_s2116" o:spt="32" type="#_x0000_t32" style="position:absolute;left:2760980;top:4329430;flip:x;height:0;width:406400;" filled="f" stroked="t" coordsize="21600,21600" o:gfxdata="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sVNujXAAAA&#10;BgEAAA8AAAAAAAAAAQAgAAAAIgAAAGRycy9kb3ducmV2LnhtbFBLAQIUABQAAAAIAIdO4kBA+SFt&#10;HgIAAAYEAAAOAAAAAAAAAAEAIAAAACYBAABkcnMvZTJvRG9jLnhtbFBLBQYAAAAABgAGAFkBAAC2&#10;BQAAAAA=&#10;">
                    <v:path arrowok="t"/>
                    <v:fill on="f" focussize="0,0"/>
                    <v:stroke color="#FF0000" joinstyle="round" dashstyle="dash" startarrow="block" startarrowwidth="narrow" endarrowwidth="narrow"/>
                    <v:imagedata o:title=""/>
                    <o:lock v:ext="edit" aspectratio="f"/>
                  </v:shape>
                  <v:rect id="矩形 150" o:spid="_x0000_s2120" o:spt="1" style="position:absolute;left:1837055;top:6034405;height:304800;width:901700;" filled="f" stroked="t" coordsize="21600,21600" o:gfxdata="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L+PX9YAAAAG&#10;AQAADwAAAAAAAAABACAAAAAiAAAAZHJzL2Rvd25yZXYueG1sUEsBAhQAFAAAAAgAh07iQG6nz7Ue&#10;AgAAQwQAAA4AAAAAAAAAAQAgAAAAJQEAAGRycy9lMm9Eb2MueG1sUEsFBgAAAAAGAAYAWQEAALUF&#10;AAAAAA==&#10;">
                    <v:path/>
                    <v:fill on="f" focussize="0,0"/>
                    <v:stroke color="#000000" joinstyle="miter"/>
                    <v:imagedata o:title=""/>
                    <o:lock v:ext="edit" aspectratio="f"/>
                    <v:textbox inset="0.5mm,1.27mm,0.5mm,1.27mm">
                      <w:txbxContent>
                        <w:p w14:paraId="3423404A">
                          <w:pPr>
                            <w:ind w:left="0" w:leftChars="0" w:right="0" w:rightChars="0" w:firstLine="0" w:firstLineChars="0"/>
                            <w:jc w:val="center"/>
                            <w:rPr>
                              <w:rFonts w:hint="default" w:ascii="黑体" w:hAnsi="黑体" w:eastAsia="黑体"/>
                              <w:b w:val="0"/>
                              <w:bCs w:val="0"/>
                              <w:sz w:val="18"/>
                              <w:szCs w:val="18"/>
                              <w:lang w:val="en-US" w:eastAsia="zh-CN"/>
                            </w:rPr>
                          </w:pPr>
                          <w:r>
                            <w:rPr>
                              <w:rFonts w:hint="eastAsia" w:ascii="黑体" w:hAnsi="黑体" w:eastAsia="黑体"/>
                              <w:b w:val="0"/>
                              <w:bCs w:val="0"/>
                              <w:sz w:val="18"/>
                              <w:szCs w:val="18"/>
                              <w:lang w:val="en-US" w:eastAsia="zh-CN"/>
                            </w:rPr>
                            <w:t>锁紧</w:t>
                          </w:r>
                        </w:p>
                      </w:txbxContent>
                    </v:textbox>
                  </v:rect>
                  <v:shape id="直接箭头连接符 151" o:spid="_x0000_s2122" o:spt="32" type="#_x0000_t32" style="position:absolute;left:2287905;top:5697220;flip:x;height:337185;width:127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3mR3dcA&#10;AAAGAQAADwAAAAAAAAABACAAAAAiAAAAZHJzL2Rvd25yZXYueG1sUEsBAhQAFAAAAAgAh07iQC16&#10;KCsgAgAACwQAAA4AAAAAAAAAAQAgAAAAJgEAAGRycy9lMm9Eb2MueG1sUEsFBgAAAAAGAAYAWQEA&#10;ALgFAAAAAA==&#10;">
                    <v:path arrowok="t"/>
                    <v:fill on="f" focussize="0,0"/>
                    <v:stroke color="#000000" joinstyle="round" endarrow="block" endarrowwidth="narrow"/>
                    <v:imagedata o:title=""/>
                    <o:lock v:ext="edit" aspectratio="f"/>
                  </v:shape>
                  <v:shape id="任意多边形 152" o:spid="_x0000_s2123" style="position:absolute;left:2755265;top:3978275;height:228600;width:406400;" filled="f" stroked="t" coordsize="780,714" o:gfxdata="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LLQNNUAAAAGAQAADwAAAAAAAAABACAAAAAiAAAAZHJzL2Rvd25yZXYu&#10;eG1sUEsBAhQAFAAAAAgAh07iQMAANwupAgAAngUAAA4AAAAAAAAAAQAgAAAAJAEAAGRycy9lMm9E&#10;b2MueG1sUEsFBgAAAAAGAAYAWQEAAD8GAAAAAA==&#10;" path="m0,714c105,489,211,265,300,255c389,245,452,694,532,652c612,610,696,305,780,0e">
                    <v:fill on="f" focussize="0,0"/>
                    <v:stroke color="#00B050" joinstyle="round" dashstyle="dash" endarrow="block" endarrowwidth="narrow"/>
                    <v:imagedata o:title=""/>
                    <o:lock v:ext="edit" aspectratio="f"/>
                  </v:shape>
                  <v:rect id="矩形 153" o:spid="_x0000_s2124" o:spt="1" style="position:absolute;left:3174365;top:3736340;height:241935;width:1181100;v-text-anchor:middle;" fillcolor="#00B050" filled="t" stroked="f" coordsize="21600,21600" o:gfxdata="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AFde1wAAAAYBAAAPAAAAAAAAAAEAIAAAACIAAABkcnMvZG93bnJldi54bWxQSwECFAAU&#10;AAAACACHTuJA6H5TjvIBAADaAwAADgAAAAAAAAABACAAAAAmAQAAZHJzL2Uyb0RvYy54bWxQSwUG&#10;AAAAAAYABgBZAQAAigUAAAAA&#10;">
                    <v:path/>
                    <v:fill on="t" color2="#FFFFFF" opacity="13107f" focussize="0,0"/>
                    <v:stroke on="f"/>
                    <v:imagedata o:title=""/>
                    <o:lock v:ext="edit" aspectratio="f"/>
                    <v:textbox inset="0mm,0mm,0mm,0mm">
                      <w:txbxContent>
                        <w:p w14:paraId="42B36A66">
                          <w:pPr>
                            <w:spacing w:line="240" w:lineRule="atLeast"/>
                            <w:jc w:val="center"/>
                            <w:rPr>
                              <w:rFonts w:hint="eastAsia" w:hAnsi="黑体" w:eastAsia="黑体"/>
                              <w:b w:val="0"/>
                              <w:bCs w:val="0"/>
                              <w:color w:val="00B050"/>
                              <w:sz w:val="21"/>
                              <w:szCs w:val="21"/>
                              <w:lang w:val="en-US" w:eastAsia="zh-CN"/>
                            </w:rPr>
                          </w:pPr>
                          <w:r>
                            <w:rPr>
                              <w:rFonts w:hint="eastAsia" w:eastAsia="黑体"/>
                              <w:b w:val="0"/>
                              <w:bCs w:val="0"/>
                              <w:color w:val="00B050"/>
                              <w:sz w:val="18"/>
                              <w:szCs w:val="18"/>
                            </w:rPr>
                            <w:t>G</w:t>
                          </w:r>
                          <w:r>
                            <w:rPr>
                              <w:rFonts w:hint="eastAsia" w:eastAsia="黑体"/>
                              <w:b w:val="0"/>
                              <w:bCs w:val="0"/>
                              <w:color w:val="00B050"/>
                              <w:sz w:val="18"/>
                              <w:szCs w:val="18"/>
                              <w:vertAlign w:val="subscript"/>
                            </w:rPr>
                            <w:t>1-</w:t>
                          </w:r>
                          <w:r>
                            <w:rPr>
                              <w:rFonts w:hint="eastAsia" w:eastAsia="黑体"/>
                              <w:b w:val="0"/>
                              <w:bCs w:val="0"/>
                              <w:color w:val="00B050"/>
                              <w:sz w:val="18"/>
                              <w:szCs w:val="18"/>
                              <w:vertAlign w:val="subscript"/>
                              <w:lang w:val="en-US" w:eastAsia="zh-CN"/>
                            </w:rPr>
                            <w:t>4</w:t>
                          </w:r>
                          <w:r>
                            <w:rPr>
                              <w:rFonts w:hint="eastAsia" w:eastAsia="黑体"/>
                              <w:b w:val="0"/>
                              <w:bCs w:val="0"/>
                              <w:color w:val="00B050"/>
                              <w:sz w:val="18"/>
                              <w:szCs w:val="18"/>
                            </w:rPr>
                            <w:t>：</w:t>
                          </w:r>
                          <w:r>
                            <w:rPr>
                              <w:rFonts w:hint="eastAsia" w:eastAsia="黑体"/>
                              <w:b w:val="0"/>
                              <w:bCs w:val="0"/>
                              <w:color w:val="00B050"/>
                              <w:sz w:val="18"/>
                              <w:szCs w:val="18"/>
                              <w:lang w:eastAsia="zh-CN"/>
                            </w:rPr>
                            <w:t>硫化废气</w:t>
                          </w:r>
                        </w:p>
                      </w:txbxContent>
                    </v:textbox>
                  </v:rect>
                  <v:rect id="矩形 154" o:spid="_x0000_s2126" o:spt="1" style="position:absolute;left:3164840;top:4189095;height:240665;width:1181100;v-text-anchor:middle;" fillcolor="#FFCCCC" filled="t" stroked="f" coordsize="21600,21600" o:gfxdata="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5R81tYAAAAG&#10;AQAADwAAAAAAAAABACAAAAAiAAAAZHJzL2Rvd25yZXYueG1sUEsBAhQAFAAAAAgAh07iQL83OIvl&#10;AQAAuQMAAA4AAAAAAAAAAQAgAAAAJQEAAGRycy9lMm9Eb2MueG1sUEsFBgAAAAAGAAYAWQEAAHwF&#10;AAAAAA==&#10;">
                    <v:path/>
                    <v:fill on="t" color2="#FFFFFF" focussize="0,0"/>
                    <v:stroke on="f"/>
                    <v:imagedata o:title=""/>
                    <o:lock v:ext="edit" aspectratio="f"/>
                    <v:textbox inset="0mm,0mm,0mm,0mm">
                      <w:txbxContent>
                        <w:p w14:paraId="5CC81BE9">
                          <w:pPr>
                            <w:ind w:left="0" w:leftChars="0" w:right="0" w:rightChars="0" w:firstLine="0" w:firstLineChars="0"/>
                            <w:jc w:val="center"/>
                            <w:rPr>
                              <w:rFonts w:hint="eastAsia" w:eastAsia="黑体"/>
                              <w:b w:val="0"/>
                              <w:bCs w:val="0"/>
                              <w:color w:val="FF0000"/>
                              <w:sz w:val="18"/>
                              <w:szCs w:val="18"/>
                              <w:lang w:val="en-US" w:eastAsia="zh-CN"/>
                            </w:rPr>
                          </w:pPr>
                          <w:r>
                            <w:rPr>
                              <w:rFonts w:hint="eastAsia" w:eastAsia="黑体"/>
                              <w:b w:val="0"/>
                              <w:bCs w:val="0"/>
                              <w:color w:val="FF0000"/>
                              <w:sz w:val="18"/>
                              <w:szCs w:val="18"/>
                              <w:highlight w:val="none"/>
                            </w:rPr>
                            <w:t>S</w:t>
                          </w:r>
                          <w:r>
                            <w:rPr>
                              <w:rFonts w:hint="eastAsia" w:eastAsia="黑体"/>
                              <w:b w:val="0"/>
                              <w:bCs w:val="0"/>
                              <w:color w:val="FF0000"/>
                              <w:sz w:val="18"/>
                              <w:szCs w:val="18"/>
                              <w:highlight w:val="none"/>
                              <w:vertAlign w:val="subscript"/>
                            </w:rPr>
                            <w:t>1-</w:t>
                          </w:r>
                          <w:r>
                            <w:rPr>
                              <w:rFonts w:hint="eastAsia" w:eastAsia="黑体"/>
                              <w:b w:val="0"/>
                              <w:bCs w:val="0"/>
                              <w:color w:val="FF0000"/>
                              <w:sz w:val="18"/>
                              <w:szCs w:val="18"/>
                              <w:highlight w:val="none"/>
                              <w:vertAlign w:val="subscript"/>
                              <w:lang w:val="en-US" w:eastAsia="zh-CN"/>
                            </w:rPr>
                            <w:t>5</w:t>
                          </w:r>
                          <w:r>
                            <w:rPr>
                              <w:rFonts w:hint="eastAsia" w:eastAsia="黑体"/>
                              <w:b w:val="0"/>
                              <w:bCs w:val="0"/>
                              <w:color w:val="FF0000"/>
                              <w:sz w:val="18"/>
                              <w:szCs w:val="18"/>
                              <w:highlight w:val="none"/>
                            </w:rPr>
                            <w:t>：</w:t>
                          </w:r>
                          <w:r>
                            <w:rPr>
                              <w:rFonts w:hint="eastAsia" w:eastAsia="黑体"/>
                              <w:b w:val="0"/>
                              <w:bCs w:val="0"/>
                              <w:color w:val="FF0000"/>
                              <w:sz w:val="18"/>
                              <w:szCs w:val="18"/>
                              <w:highlight w:val="none"/>
                              <w:lang w:eastAsia="zh-CN"/>
                            </w:rPr>
                            <w:t>废脱模剂</w:t>
                          </w:r>
                        </w:p>
                      </w:txbxContent>
                    </v:textbox>
                  </v:rect>
                  <v:shape id="直接箭头连接符 155" o:spid="_x0000_s2127" o:spt="32" type="#_x0000_t32" style="position:absolute;left:2300605;top:454068;flip:x;height:422315;width:508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ZHd1wAA&#10;AAYBAAAPAAAAAAAAAAEAIAAAACIAAABkcnMvZG93bnJldi54bWxQSwECFAAUAAAACACHTuJAlChK&#10;iR8CAAAKBAAADgAAAAAAAAABACAAAAAmAQAAZHJzL2Uyb0RvYy54bWxQSwUGAAAAAAYABgBZAQAA&#10;twUAAAAA&#10;">
                    <v:path arrowok="t"/>
                    <v:fill on="f" focussize="0,0"/>
                    <v:stroke color="#000000" joinstyle="round" endarrow="block" endarrowwidth="narrow"/>
                    <v:imagedata o:title=""/>
                    <o:lock v:ext="edit" aspectratio="f"/>
                  </v:shape>
                  <v:rect id="矩形 156" o:spid="_x0000_s2128" o:spt="1" style="position:absolute;left:744854;top:6736715;height:304800;width:901700;" filled="f" stroked="f" coordsize="21600,21600" o:gfxdata="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BFSXW1AAAAAYBAAAPAAAAAAAAAAEAIAAAACIAAABkcnMvZG93bnJldi54&#10;bWxQSwECFAAUAAAACACHTuJAg0KZg8UBAACDAwAADgAAAAAAAAABACAAAAAjAQAAZHJzL2Uyb0Rv&#10;Yy54bWxQSwUGAAAAAAYABgBZAQAAWgUAAAAA&#10;">
                    <v:path/>
                    <v:fill on="f" focussize="0,0"/>
                    <v:stroke on="f"/>
                    <v:imagedata o:title=""/>
                    <o:lock v:ext="edit" aspectratio="f"/>
                    <v:textbox inset="0.5mm,1.27mm,0.5mm,1.27mm">
                      <w:txbxContent>
                        <w:p w14:paraId="7A64849D">
                          <w:pPr>
                            <w:ind w:left="0" w:leftChars="0" w:right="0" w:rightChars="0" w:firstLine="0" w:firstLineChars="0"/>
                            <w:jc w:val="center"/>
                            <w:rPr>
                              <w:rFonts w:hint="default" w:ascii="黑体" w:hAnsi="黑体" w:eastAsia="黑体"/>
                              <w:b w:val="0"/>
                              <w:bCs w:val="0"/>
                              <w:sz w:val="18"/>
                              <w:szCs w:val="18"/>
                              <w:lang w:val="en-US" w:eastAsia="zh-CN"/>
                            </w:rPr>
                          </w:pPr>
                          <w:r>
                            <w:rPr>
                              <w:rFonts w:hint="eastAsia" w:ascii="黑体" w:hAnsi="黑体" w:eastAsia="黑体"/>
                              <w:b w:val="0"/>
                              <w:bCs w:val="0"/>
                              <w:sz w:val="18"/>
                              <w:szCs w:val="18"/>
                              <w:lang w:val="en-US" w:eastAsia="zh-CN"/>
                            </w:rPr>
                            <w:t>包装入库</w:t>
                          </w:r>
                        </w:p>
                      </w:txbxContent>
                    </v:textbox>
                  </v:rect>
                  <v:rect id="矩形 157" o:spid="_x0000_s2129" o:spt="1" style="position:absolute;left:2593975;top:6735445;height:304800;width:1451610;" filled="f" stroked="f" coordsize="21600,21600" o:gfxdata="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RUl1tQAAAAGAQAADwAAAAAAAAABACAAAAAiAAAAZHJzL2Rvd25y&#10;ZXYueG1sUEsBAhQAFAAAAAgAh07iQIJ+6aXJAQAAhQMAAA4AAAAAAAAAAQAgAAAAIwEAAGRycy9l&#10;Mm9Eb2MueG1sUEsFBgAAAAAGAAYAWQEAAF4FAAAAAA==&#10;">
                    <v:path/>
                    <v:fill on="f" focussize="0,0"/>
                    <v:stroke on="f"/>
                    <v:imagedata o:title=""/>
                    <o:lock v:ext="edit" aspectratio="f"/>
                    <v:textbox inset="0.5mm,1.27mm,0.5mm,1.27mm">
                      <w:txbxContent>
                        <w:p w14:paraId="624FED49">
                          <w:pPr>
                            <w:ind w:left="0" w:leftChars="0" w:right="0" w:rightChars="0" w:firstLine="0" w:firstLineChars="0"/>
                            <w:jc w:val="center"/>
                            <w:rPr>
                              <w:rFonts w:hint="default" w:ascii="黑体" w:hAnsi="黑体" w:eastAsia="黑体"/>
                              <w:b w:val="0"/>
                              <w:bCs w:val="0"/>
                              <w:sz w:val="18"/>
                              <w:szCs w:val="18"/>
                              <w:lang w:val="en-US" w:eastAsia="zh-CN"/>
                            </w:rPr>
                          </w:pPr>
                          <w:r>
                            <w:rPr>
                              <w:rFonts w:hint="default" w:ascii="Times New Roman" w:hAnsi="Times New Roman" w:eastAsia="黑体" w:cs="Times New Roman"/>
                              <w:b w:val="0"/>
                              <w:bCs w:val="0"/>
                              <w:sz w:val="18"/>
                              <w:szCs w:val="18"/>
                              <w:lang w:val="en-US" w:eastAsia="zh-CN"/>
                            </w:rPr>
                            <w:t>2</w:t>
                          </w:r>
                          <w:r>
                            <w:rPr>
                              <w:rFonts w:hint="eastAsia" w:ascii="黑体" w:hAnsi="黑体" w:eastAsia="黑体"/>
                              <w:b w:val="0"/>
                              <w:bCs w:val="0"/>
                              <w:sz w:val="18"/>
                              <w:szCs w:val="18"/>
                              <w:lang w:val="en-US" w:eastAsia="zh-CN"/>
                            </w:rPr>
                            <w:t>楼配件区堆放</w:t>
                          </w:r>
                        </w:p>
                      </w:txbxContent>
                    </v:textbox>
                  </v:rect>
                  <v:shape id="肘形连接符 158" o:spid="_x0000_s2132" o:spt="34" type="#_x0000_t34" style="position:absolute;left:1543049;top:5991860;height:1092200;width:397510;rotation:5898240f;" filled="f" stroked="t" coordsize="21600,21600" o:gfxdata="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5Ayu1QAAAAYBAAAPAAAAAAAAAAEAIAAAACIAAABkcnMvZG93bnJldi54&#10;bWxQSwECFAAUAAAACACHTuJAJ6V/dTYCAAA/BAAADgAAAAAAAAABACAAAAAkAQAAZHJzL2Uyb0Rv&#10;Yy54bWxQSwUGAAAAAAYABgBZAQAAzAUAAAAA&#10;" adj="10800">
                    <v:path arrowok="t"/>
                    <v:fill on="f" focussize="0,0"/>
                    <v:stroke color="#000000" joinstyle="miter" endarrow="block" endarrowwidth="narrow"/>
                    <v:imagedata o:title=""/>
                    <o:lock v:ext="edit" aspectratio="f"/>
                  </v:shape>
                  <v:shape id="肘形连接符 159" o:spid="_x0000_s2133" o:spt="34" type="#_x0000_t34" style="position:absolute;left:2605405;top:6021070;flip:y;height:1031875;width:396240;rotation:-5898240f;" filled="f" stroked="t" coordsize="21600,21600" o:gfxdata="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S/UH1wAAAAYBAAAPAAAAAAAAAAEAIAAAACIA&#10;AABkcnMvZG93bnJldi54bWxQSwECFAAUAAAACACHTuJA1yihHkMCAABJBAAADgAAAAAAAAABACAA&#10;AAAmAQAAZHJzL2Uyb0RvYy54bWxQSwUGAAAAAAYABgBZAQAA2wUAAAAA&#10;" adj="10783">
                    <v:path arrowok="t"/>
                    <v:fill on="f" focussize="0,0"/>
                    <v:stroke color="#000000" joinstyle="miter" endarrow="block" endarrowwidth="narrow"/>
                    <v:imagedata o:title=""/>
                    <o:lock v:ext="edit" aspectratio="f"/>
                  </v:shape>
                  <v:rect id="矩形 160" o:spid="_x0000_s2134" o:spt="1" style="position:absolute;left:91439;top:1887220;height:286385;width:1295400;" fillcolor="#FFFFFF" filled="t" stroked="f" coordsize="21600,21600" o:gfxdata="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TqFeXVAAAABgEAAA8AAAAAAAAAAQAgAAAAIgAAAGRycy9kb3ducmV2Lnht&#10;bFBLAQIUABQAAAAIAIdO4kBjzKC0wwEAAHgDAAAOAAAAAAAAAAEAIAAAACQBAABkcnMvZTJvRG9j&#10;LnhtbFBLBQYAAAAABgAGAFkBAABZBQAAAAA=&#10;">
                    <v:path/>
                    <v:fill on="t" color2="#FFFFFF" focussize="0,0"/>
                    <v:stroke on="f"/>
                    <v:imagedata o:title=""/>
                    <o:lock v:ext="edit" aspectratio="f"/>
                    <v:textbox>
                      <w:txbxContent>
                        <w:p w14:paraId="4D9F01FD">
                          <w:pPr>
                            <w:jc w:val="center"/>
                            <w:rPr>
                              <w:rFonts w:hint="default" w:ascii="黑体" w:hAnsi="黑体" w:eastAsia="黑体"/>
                              <w:b w:val="0"/>
                              <w:bCs w:val="0"/>
                              <w:sz w:val="21"/>
                              <w:szCs w:val="21"/>
                              <w:lang w:val="en-US" w:eastAsia="zh-CN"/>
                            </w:rPr>
                          </w:pPr>
                          <w:r>
                            <w:rPr>
                              <w:rFonts w:hint="eastAsia" w:ascii="黑体" w:hAnsi="黑体" w:eastAsia="黑体"/>
                              <w:b w:val="0"/>
                              <w:bCs w:val="0"/>
                              <w:sz w:val="18"/>
                              <w:szCs w:val="18"/>
                              <w:lang w:val="en-US" w:eastAsia="zh-CN"/>
                            </w:rPr>
                            <w:t>光亮剂、水、研磨石子</w:t>
                          </w:r>
                        </w:p>
                      </w:txbxContent>
                    </v:textbox>
                  </v:rect>
                  <v:shape id="直接箭头连接符 161" o:spid="_x0000_s2135" o:spt="32" type="#_x0000_t32" style="position:absolute;left:1386840;top:2030095;flip:y;height:5080;width:46355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3mR3dcA&#10;AAAGAQAADwAAAAAAAAABACAAAAAiAAAAZHJzL2Rvd25yZXYueG1sUEsBAhQAFAAAAAgAh07iQF0W&#10;E7YgAgAACwQAAA4AAAAAAAAAAQAgAAAAJgEAAGRycy9lMm9Eb2MueG1sUEsFBgAAAAAGAAYAWQEA&#10;ALgFAAAAAA==&#10;">
                    <v:path arrowok="t"/>
                    <v:fill on="f" focussize="0,0"/>
                    <v:stroke color="#000000" joinstyle="round" endarrow="block" endarrowwidth="narrow"/>
                    <v:imagedata o:title=""/>
                    <o:lock v:ext="edit" aspectratio="f"/>
                  </v:shape>
                  <v:rect id="矩形 162" o:spid="_x0000_s2138" o:spt="1" style="position:absolute;left:103505;top:2722245;height:279400;width:1295400;" fillcolor="#FFFFFF" filled="t" stroked="f" coordsize="21600,21600" o:gfxdata="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OoV5dUAAAAGAQAADwAAAAAAAAABACAAAAAiAAAAZHJzL2Rvd25yZXYueG1s&#10;UEsBAhQAFAAAAAgAh07iQIX7X+nCAQAAeQMAAA4AAAAAAAAAAQAgAAAAJAEAAGRycy9lMm9Eb2Mu&#10;eG1sUEsFBgAAAAAGAAYAWQEAAFgFAAAAAA==&#10;">
                    <v:path/>
                    <v:fill on="t" color2="#FFFFFF" focussize="0,0"/>
                    <v:stroke on="f"/>
                    <v:imagedata o:title=""/>
                    <o:lock v:ext="edit" aspectratio="f"/>
                    <v:textbox>
                      <w:txbxContent>
                        <w:p w14:paraId="041D0BE3">
                          <w:pPr>
                            <w:jc w:val="center"/>
                            <w:rPr>
                              <w:rFonts w:hint="default" w:ascii="黑体" w:hAnsi="黑体" w:eastAsia="黑体"/>
                              <w:b w:val="0"/>
                              <w:bCs w:val="0"/>
                              <w:sz w:val="21"/>
                              <w:szCs w:val="21"/>
                              <w:lang w:val="en-US" w:eastAsia="zh-CN"/>
                            </w:rPr>
                          </w:pPr>
                          <w:r>
                            <w:rPr>
                              <w:rFonts w:hint="eastAsia" w:ascii="黑体" w:hAnsi="黑体" w:eastAsia="黑体"/>
                              <w:b w:val="0"/>
                              <w:bCs w:val="0"/>
                              <w:sz w:val="18"/>
                              <w:szCs w:val="18"/>
                              <w:lang w:val="en-US" w:eastAsia="zh-CN"/>
                            </w:rPr>
                            <w:t>水、清洗剂</w:t>
                          </w:r>
                        </w:p>
                      </w:txbxContent>
                    </v:textbox>
                  </v:rect>
                  <v:shape id="直接箭头连接符 163" o:spid="_x0000_s2139" o:spt="32" type="#_x0000_t32" style="position:absolute;left:1398905;top:2849245;flip:y;height:0;width:45720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95kd3XAAAA&#10;BgEAAA8AAAAAAAAAAQAgAAAAIgAAAGRycy9kb3ducmV2LnhtbFBLAQIUABQAAAAIAIdO4kDx5BN2&#10;HgIAAAgEAAAOAAAAAAAAAAEAIAAAACYBAABkcnMvZTJvRG9jLnhtbFBLBQYAAAAABgAGAFkBAAC2&#10;BQAAAAA=&#10;">
                    <v:path arrowok="t"/>
                    <v:fill on="f" focussize="0,0"/>
                    <v:stroke color="#000000" joinstyle="round" endarrow="block" endarrowwidth="narrow"/>
                    <v:imagedata o:title=""/>
                    <o:lock v:ext="edit" aspectratio="f"/>
                  </v:shape>
                  <v:rect id="矩形 164" o:spid="_x0000_s2141" o:spt="1" style="position:absolute;left:88265;top:3392805;height:279400;width:1295400;" fillcolor="#FFFFFF" filled="t" stroked="f" coordsize="21600,21600" o:gfxdata="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k6hXl1QAAAAYBAAAPAAAAAAAAAAEAIAAAACIAAABkcnMvZG93bnJldi54&#10;bWxQSwECFAAUAAAACACHTuJA8JP2qsQBAAB4AwAADgAAAAAAAAABACAAAAAkAQAAZHJzL2Uyb0Rv&#10;Yy54bWxQSwUGAAAAAAYABgBZAQAAWgUAAAAA&#10;">
                    <v:path/>
                    <v:fill on="t" color2="#FFFFFF" focussize="0,0"/>
                    <v:stroke on="f"/>
                    <v:imagedata o:title=""/>
                    <o:lock v:ext="edit" aspectratio="f"/>
                    <v:textbox>
                      <w:txbxContent>
                        <w:p w14:paraId="4AAB8395">
                          <w:pPr>
                            <w:jc w:val="center"/>
                            <w:rPr>
                              <w:rFonts w:hint="default" w:ascii="黑体" w:hAnsi="黑体" w:eastAsia="黑体"/>
                              <w:b w:val="0"/>
                              <w:bCs w:val="0"/>
                              <w:sz w:val="18"/>
                              <w:szCs w:val="18"/>
                              <w:lang w:val="en-US" w:eastAsia="zh-CN"/>
                            </w:rPr>
                          </w:pPr>
                          <w:r>
                            <w:rPr>
                              <w:rFonts w:hint="eastAsia" w:ascii="黑体" w:hAnsi="黑体" w:eastAsia="黑体"/>
                              <w:b w:val="0"/>
                              <w:bCs w:val="0"/>
                              <w:sz w:val="18"/>
                              <w:szCs w:val="18"/>
                              <w:lang w:val="en-US" w:eastAsia="zh-CN"/>
                            </w:rPr>
                            <w:t>黑胶、灰胶</w:t>
                          </w:r>
                        </w:p>
                      </w:txbxContent>
                    </v:textbox>
                  </v:rect>
                  <v:shape id="直接箭头连接符 165" o:spid="_x0000_s2142" o:spt="32" type="#_x0000_t32" style="position:absolute;left:1383665;top:3519805;flip:y;height:0;width:45720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ZHd1wAAAAYB&#10;AAAPAAAAAAAAAAEAIAAAACIAAABkcnMvZG93bnJldi54bWxQSwECFAAUAAAACACHTuJApHqgOBwC&#10;AAAIBAAADgAAAAAAAAABACAAAAAmAQAAZHJzL2Uyb0RvYy54bWxQSwUGAAAAAAYABgBZAQAAtAUA&#10;AAAA&#10;">
                    <v:path arrowok="t"/>
                    <v:fill on="f" focussize="0,0"/>
                    <v:stroke color="#000000" joinstyle="round" endarrow="block" endarrowwidth="narrow"/>
                    <v:imagedata o:title=""/>
                    <o:lock v:ext="edit" aspectratio="f"/>
                  </v:shape>
                  <v:rect id="矩形 166" o:spid="_x0000_s2144" o:spt="1" style="position:absolute;left:95885;top:4064000;height:279400;width:1295400;" fillcolor="#FFFFFF" filled="t" stroked="f" coordsize="21600,21600" o:gfxdata="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OoV5dUAAAAGAQAADwAAAAAAAAABACAAAAAiAAAAZHJzL2Rvd25yZXYueG1s&#10;UEsBAhQAFAAAAAgAh07iQEAlHn7CAQAAeAMAAA4AAAAAAAAAAQAgAAAAJAEAAGRycy9lMm9Eb2Mu&#10;eG1sUEsFBgAAAAAGAAYAWQEAAFgFAAAAAA==&#10;">
                    <v:path/>
                    <v:fill on="t" color2="#FFFFFF" focussize="0,0"/>
                    <v:stroke on="f"/>
                    <v:imagedata o:title=""/>
                    <o:lock v:ext="edit" aspectratio="f"/>
                    <v:textbox>
                      <w:txbxContent>
                        <w:p w14:paraId="1E8F8E0C">
                          <w:pPr>
                            <w:jc w:val="center"/>
                            <w:rPr>
                              <w:rFonts w:hint="default" w:ascii="黑体" w:hAnsi="黑体" w:eastAsia="黑体"/>
                              <w:b w:val="0"/>
                              <w:bCs w:val="0"/>
                              <w:sz w:val="18"/>
                              <w:szCs w:val="18"/>
                              <w:lang w:val="en-US" w:eastAsia="zh-CN"/>
                            </w:rPr>
                          </w:pPr>
                          <w:r>
                            <w:rPr>
                              <w:rFonts w:hint="eastAsia" w:ascii="黑体" w:hAnsi="黑体" w:eastAsia="黑体"/>
                              <w:b w:val="0"/>
                              <w:bCs w:val="0"/>
                              <w:sz w:val="18"/>
                              <w:szCs w:val="18"/>
                              <w:lang w:val="en-US" w:eastAsia="zh-CN"/>
                            </w:rPr>
                            <w:t>混炼成型后橡胶</w:t>
                          </w:r>
                        </w:p>
                      </w:txbxContent>
                    </v:textbox>
                  </v:rect>
                  <v:shape id="直接箭头连接符 167" o:spid="_x0000_s2145" o:spt="32" type="#_x0000_t32" style="position:absolute;left:1391285;top:4191000;flip:y;height:0;width:457200;" filled="f" stroked="t" coordsize="21600,21600" o:gfxdata="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3mR3dcAAAAG&#10;AQAADwAAAAAAAAABACAAAAAiAAAAZHJzL2Rvd25yZXYueG1sUEsBAhQAFAAAAAgAh07iQE69J2Yd&#10;AgAACAQAAA4AAAAAAAAAAQAgAAAAJgEAAGRycy9lMm9Eb2MueG1sUEsFBgAAAAAGAAYAWQEAALUF&#10;AAAAAA==&#10;">
                    <v:path arrowok="t"/>
                    <v:fill on="f" focussize="0,0"/>
                    <v:stroke color="#000000" joinstyle="round" endarrow="block" endarrowwidth="narrow"/>
                    <v:imagedata o:title=""/>
                    <o:lock v:ext="edit" aspectratio="f"/>
                  </v:shape>
                  <v:shape id="直接箭头连接符 171" o:spid="_x0000_s2146" o:spt="32" type="#_x0000_t32" style="position:absolute;left:2300605;top:1181735;height:691515;width:635;" filled="f" stroked="t" coordsize="21600,21600" o:gfxdata="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02XFnVAAAABgEAAA8AAAAAAAAAAQAgAAAAIgAAAGRycy9kb3du&#10;cmV2LnhtbFBLAQIUABQAAAAIAIdO4kAnbPt3OwIAAEYEAAAOAAAAAAAAAAEAIAAAACQBAABkcnMv&#10;ZTJvRG9jLnhtbFBLBQYAAAAABgAGAFkBAADRBQAAAAA=&#10;">
                    <v:path arrowok="t"/>
                    <v:fill on="f" focussize="0,0"/>
                    <v:stroke weight="1pt" color="#000000" miterlimit="8" joinstyle="miter" endarrow="block" endarrowwidth="narrow"/>
                    <v:imagedata o:title=""/>
                    <o:lock v:ext="edit" aspectratio="f"/>
                  </v:shape>
                  <v:shape id="任意多边形 172" o:spid="_x0000_s2157" style="position:absolute;left:2748915;top:2598420;height:229235;width:406400;" filled="f" stroked="t" coordsize="780,714" o:gfxdata="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y0DTVAAAABgEAAA8AAAAAAAAAAQAgAAAAIgAAAGRycy9kb3ducmV2&#10;LnhtbFBLAQIUABQAAAAIAIdO4kCl+BBaqgIAAJ4FAAAOAAAAAAAAAAEAIAAAACQBAABkcnMvZTJv&#10;RG9jLnhtbFBLBQYAAAAABgAGAFkBAABABgAAAAA=&#10;" path="m0,714c105,489,211,265,300,255c389,245,452,694,532,652c612,610,696,305,780,0e">
                    <v:fill on="f" focussize="0,0"/>
                    <v:stroke color="#00B050" joinstyle="round" dashstyle="dash" endarrow="block" endarrowwidth="narrow"/>
                    <v:imagedata o:title=""/>
                    <o:lock v:ext="edit" aspectratio="f"/>
                  </v:shape>
                  <v:rect id="矩形 173" o:spid="_x0000_s2158" o:spt="1" style="position:absolute;left:3166745;top:2357120;height:241300;width:1181100;v-text-anchor:middle;" fillcolor="#00B050" filled="t" stroked="f" coordsize="21600,21600" o:gfxdata="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AFde1wAAAAYBAAAPAAAAAAAAAAEAIAAAACIAAABkcnMvZG93bnJldi54bWxQSwECFAAUAAAA&#10;CACHTuJAwvHTfe8BAADaAwAADgAAAAAAAAABACAAAAAmAQAAZHJzL2Uyb0RvYy54bWxQSwUGAAAA&#10;AAYABgBZAQAAhwUAAAAA&#10;">
                    <v:path/>
                    <v:fill on="t" color2="#FFFFFF" opacity="13107f" focussize="0,0"/>
                    <v:stroke on="f"/>
                    <v:imagedata o:title=""/>
                    <o:lock v:ext="edit" aspectratio="f"/>
                    <v:textbox inset="0mm,0mm,0mm,0mm">
                      <w:txbxContent>
                        <w:p w14:paraId="192B97FD">
                          <w:pPr>
                            <w:spacing w:line="240" w:lineRule="atLeast"/>
                            <w:jc w:val="center"/>
                            <w:rPr>
                              <w:rFonts w:hint="eastAsia" w:hAnsi="黑体" w:eastAsia="黑体"/>
                              <w:b w:val="0"/>
                              <w:bCs w:val="0"/>
                              <w:color w:val="00B050"/>
                              <w:sz w:val="21"/>
                              <w:szCs w:val="21"/>
                              <w:lang w:val="en-US" w:eastAsia="zh-CN"/>
                            </w:rPr>
                          </w:pPr>
                          <w:r>
                            <w:rPr>
                              <w:rFonts w:hint="eastAsia" w:eastAsia="黑体"/>
                              <w:b w:val="0"/>
                              <w:bCs w:val="0"/>
                              <w:color w:val="00B050"/>
                              <w:sz w:val="18"/>
                              <w:szCs w:val="18"/>
                            </w:rPr>
                            <w:t>G</w:t>
                          </w:r>
                          <w:r>
                            <w:rPr>
                              <w:rFonts w:hint="eastAsia" w:eastAsia="黑体"/>
                              <w:b w:val="0"/>
                              <w:bCs w:val="0"/>
                              <w:color w:val="00B050"/>
                              <w:sz w:val="18"/>
                              <w:szCs w:val="18"/>
                              <w:vertAlign w:val="subscript"/>
                            </w:rPr>
                            <w:t>1-</w:t>
                          </w:r>
                          <w:r>
                            <w:rPr>
                              <w:rFonts w:hint="eastAsia" w:eastAsia="黑体"/>
                              <w:b w:val="0"/>
                              <w:bCs w:val="0"/>
                              <w:color w:val="00B050"/>
                              <w:sz w:val="18"/>
                              <w:szCs w:val="18"/>
                              <w:vertAlign w:val="subscript"/>
                              <w:lang w:val="en-US" w:eastAsia="zh-CN"/>
                            </w:rPr>
                            <w:t>2</w:t>
                          </w:r>
                          <w:r>
                            <w:rPr>
                              <w:rFonts w:hint="eastAsia" w:eastAsia="黑体"/>
                              <w:b w:val="0"/>
                              <w:bCs w:val="0"/>
                              <w:color w:val="00B050"/>
                              <w:sz w:val="18"/>
                              <w:szCs w:val="18"/>
                            </w:rPr>
                            <w:t>：</w:t>
                          </w:r>
                          <w:r>
                            <w:rPr>
                              <w:rFonts w:hint="eastAsia" w:eastAsia="黑体"/>
                              <w:b w:val="0"/>
                              <w:bCs w:val="0"/>
                              <w:color w:val="00B050"/>
                              <w:sz w:val="18"/>
                              <w:szCs w:val="18"/>
                              <w:lang w:val="en-US" w:eastAsia="zh-CN"/>
                            </w:rPr>
                            <w:t>清洗</w:t>
                          </w:r>
                          <w:r>
                            <w:rPr>
                              <w:rFonts w:hint="eastAsia" w:eastAsia="黑体"/>
                              <w:b w:val="0"/>
                              <w:bCs w:val="0"/>
                              <w:color w:val="00B050"/>
                              <w:sz w:val="18"/>
                              <w:szCs w:val="18"/>
                              <w:lang w:eastAsia="zh-CN"/>
                            </w:rPr>
                            <w:t>废气</w:t>
                          </w:r>
                        </w:p>
                      </w:txbxContent>
                    </v:textbox>
                  </v:rect>
                  <v:shape id="直接箭头连接符 174" o:spid="_x0000_s2159" o:spt="32" type="#_x0000_t32" style="position:absolute;left:2300605;top:2178050;flip:x;height:509905;width:635;" filled="f" stroked="t" coordsize="21600,21600" o:gfxdata="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yWHbNgAAAAGAQAADwAAAAAAAAABACAAAAAiAAAA&#10;ZHJzL2Rvd25yZXYueG1sUEsBAhQAFAAAAAgAh07iQBrkfNxAAgAAUAQAAA4AAAAAAAAAAQAgAAAA&#10;JwEAAGRycy9lMm9Eb2MueG1sUEsFBgAAAAAGAAYAWQEAANkFAAAAAA==&#10;">
                    <v:path arrowok="t"/>
                    <v:fill on="f" focussize="0,0"/>
                    <v:stroke weight="1pt" color="#000000" miterlimit="8" joinstyle="miter" endarrow="block" endarrowwidth="narrow"/>
                    <v:imagedata o:title=""/>
                    <o:lock v:ext="edit" aspectratio="f"/>
                  </v:shape>
                  <w10:wrap type="none"/>
                  <w10:anchorlock/>
                </v:group>
              </w:pict>
            </w:r>
          </w:p>
          <w:p w14:paraId="75A5D569">
            <w:pPr>
              <w:spacing w:line="360" w:lineRule="auto"/>
              <w:ind w:firstLine="480" w:firstLineChars="200"/>
              <w:jc w:val="center"/>
              <w:rPr>
                <w:rFonts w:eastAsia="黑体"/>
              </w:rPr>
            </w:pPr>
            <w:r>
              <w:rPr>
                <w:rFonts w:hAnsi="黑体" w:eastAsia="黑体"/>
              </w:rPr>
              <w:t>图</w:t>
            </w:r>
            <w:r>
              <w:rPr>
                <w:rFonts w:hint="eastAsia" w:eastAsia="黑体"/>
              </w:rPr>
              <w:t>2-2</w:t>
            </w:r>
            <w:r>
              <w:rPr>
                <w:rFonts w:hAnsi="黑体" w:eastAsia="黑体"/>
              </w:rPr>
              <w:t>本项目</w:t>
            </w:r>
            <w:r>
              <w:rPr>
                <w:rFonts w:hint="eastAsia" w:hAnsi="黑体" w:eastAsia="黑体"/>
              </w:rPr>
              <w:t>衬套</w:t>
            </w:r>
            <w:r>
              <w:rPr>
                <w:rFonts w:hAnsi="黑体" w:eastAsia="黑体"/>
              </w:rPr>
              <w:t>生产工艺流程及产污节点示意图</w:t>
            </w:r>
          </w:p>
          <w:p w14:paraId="519A4AC5">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生产工艺流程说明如下：</w:t>
            </w:r>
          </w:p>
          <w:p w14:paraId="690C26A2">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抛丸：</w:t>
            </w:r>
            <w:r>
              <w:rPr>
                <w:rFonts w:hint="eastAsia" w:ascii="Times New Roman" w:hAnsi="Times New Roman" w:eastAsia="宋体" w:cs="Times New Roman"/>
                <w:b w:val="0"/>
                <w:bCs w:val="0"/>
                <w:sz w:val="24"/>
                <w:szCs w:val="24"/>
              </w:rPr>
              <w:t>本项目外购芯子和外管为原料，通过自动抛丸机对其进行抛丸处理。</w:t>
            </w:r>
          </w:p>
          <w:p w14:paraId="1EC12F46">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产排污环节分析及治理措施：</w:t>
            </w:r>
            <w:r>
              <w:rPr>
                <w:rFonts w:hint="eastAsia" w:ascii="Times New Roman" w:hAnsi="Times New Roman" w:eastAsia="宋体" w:cs="Times New Roman"/>
                <w:b w:val="0"/>
                <w:bCs w:val="0"/>
                <w:sz w:val="24"/>
                <w:szCs w:val="24"/>
              </w:rPr>
              <w:t>此过程会产生抛丸粉尘（G</w:t>
            </w:r>
            <w:r>
              <w:rPr>
                <w:rFonts w:hint="eastAsia" w:ascii="Times New Roman" w:hAnsi="Times New Roman" w:eastAsia="宋体" w:cs="Times New Roman"/>
                <w:b w:val="0"/>
                <w:bCs w:val="0"/>
                <w:sz w:val="24"/>
                <w:szCs w:val="24"/>
                <w:vertAlign w:val="subscript"/>
              </w:rPr>
              <w:t>1-1</w:t>
            </w:r>
            <w:r>
              <w:rPr>
                <w:rFonts w:hint="eastAsia" w:ascii="Times New Roman" w:hAnsi="Times New Roman" w:eastAsia="宋体" w:cs="Times New Roman"/>
                <w:b w:val="0"/>
                <w:bCs w:val="0"/>
                <w:sz w:val="24"/>
                <w:szCs w:val="24"/>
              </w:rPr>
              <w:t>）和废钢丸（S</w:t>
            </w:r>
            <w:r>
              <w:rPr>
                <w:rFonts w:hint="eastAsia" w:ascii="Times New Roman" w:hAnsi="Times New Roman" w:eastAsia="宋体" w:cs="Times New Roman"/>
                <w:b w:val="0"/>
                <w:bCs w:val="0"/>
                <w:sz w:val="24"/>
                <w:szCs w:val="24"/>
                <w:vertAlign w:val="subscript"/>
              </w:rPr>
              <w:t>1-1</w:t>
            </w:r>
            <w:r>
              <w:rPr>
                <w:rFonts w:hint="eastAsia" w:ascii="Times New Roman" w:hAnsi="Times New Roman" w:eastAsia="宋体" w:cs="Times New Roman"/>
                <w:b w:val="0"/>
                <w:bCs w:val="0"/>
                <w:sz w:val="24"/>
                <w:szCs w:val="24"/>
              </w:rPr>
              <w:t>）。抛丸粉尘（G</w:t>
            </w:r>
            <w:r>
              <w:rPr>
                <w:rFonts w:hint="eastAsia" w:ascii="Times New Roman" w:hAnsi="Times New Roman" w:eastAsia="宋体" w:cs="Times New Roman"/>
                <w:b w:val="0"/>
                <w:bCs w:val="0"/>
                <w:sz w:val="24"/>
                <w:szCs w:val="24"/>
                <w:vertAlign w:val="subscript"/>
              </w:rPr>
              <w:t>1-1</w:t>
            </w:r>
            <w:r>
              <w:rPr>
                <w:rFonts w:hint="eastAsia" w:ascii="Times New Roman" w:hAnsi="Times New Roman" w:eastAsia="宋体" w:cs="Times New Roman"/>
                <w:b w:val="0"/>
                <w:bCs w:val="0"/>
                <w:sz w:val="24"/>
                <w:szCs w:val="24"/>
              </w:rPr>
              <w:t>）经密闭收集，通过袋式除尘器（TA001）处理后，最终通过15m高排气筒（DA001）排放；废钢丸（S</w:t>
            </w:r>
            <w:r>
              <w:rPr>
                <w:rFonts w:hint="eastAsia" w:ascii="Times New Roman" w:hAnsi="Times New Roman" w:eastAsia="宋体" w:cs="Times New Roman"/>
                <w:b w:val="0"/>
                <w:bCs w:val="0"/>
                <w:sz w:val="24"/>
                <w:szCs w:val="24"/>
                <w:vertAlign w:val="subscript"/>
              </w:rPr>
              <w:t>1-1</w:t>
            </w:r>
            <w:r>
              <w:rPr>
                <w:rFonts w:hint="eastAsia" w:ascii="Times New Roman" w:hAnsi="Times New Roman" w:eastAsia="宋体" w:cs="Times New Roman"/>
                <w:b w:val="0"/>
                <w:bCs w:val="0"/>
                <w:sz w:val="24"/>
                <w:szCs w:val="24"/>
              </w:rPr>
              <w:t>）收集后暂存于一般固废暂存间，定期外售，综合利用。</w:t>
            </w:r>
          </w:p>
          <w:p w14:paraId="4B4CB2FF">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振光：</w:t>
            </w:r>
            <w:r>
              <w:rPr>
                <w:rFonts w:hint="eastAsia" w:ascii="Times New Roman" w:hAnsi="Times New Roman" w:eastAsia="宋体" w:cs="Times New Roman"/>
                <w:b w:val="0"/>
                <w:bCs w:val="0"/>
                <w:sz w:val="24"/>
                <w:szCs w:val="24"/>
              </w:rPr>
              <w:t>将抛丸后的芯子和外管进行振光处理。在振光机的高频率振动旋转作用下，使工件与磨料互相摩擦，去除产品的角刺，并且加入水性光亮剂，提高产品的光泽度。</w:t>
            </w:r>
          </w:p>
          <w:p w14:paraId="5EA68B43">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产排污环节分析及治理措施：</w:t>
            </w:r>
            <w:r>
              <w:rPr>
                <w:rFonts w:hint="eastAsia" w:ascii="Times New Roman" w:hAnsi="Times New Roman" w:eastAsia="宋体" w:cs="Times New Roman"/>
                <w:b w:val="0"/>
                <w:bCs w:val="0"/>
                <w:sz w:val="24"/>
                <w:szCs w:val="24"/>
              </w:rPr>
              <w:t>此过程会产生振光废水（S</w:t>
            </w:r>
            <w:r>
              <w:rPr>
                <w:rFonts w:hint="eastAsia" w:ascii="Times New Roman" w:hAnsi="Times New Roman" w:eastAsia="宋体" w:cs="Times New Roman"/>
                <w:b w:val="0"/>
                <w:bCs w:val="0"/>
                <w:sz w:val="24"/>
                <w:szCs w:val="24"/>
                <w:vertAlign w:val="subscript"/>
              </w:rPr>
              <w:t>1-2</w:t>
            </w:r>
            <w:r>
              <w:rPr>
                <w:rFonts w:hint="eastAsia" w:ascii="Times New Roman" w:hAnsi="Times New Roman" w:eastAsia="宋体" w:cs="Times New Roman"/>
                <w:b w:val="0"/>
                <w:bCs w:val="0"/>
                <w:sz w:val="24"/>
                <w:szCs w:val="24"/>
              </w:rPr>
              <w:t>）和槽渣（S</w:t>
            </w:r>
            <w:r>
              <w:rPr>
                <w:rFonts w:hint="eastAsia" w:ascii="Times New Roman" w:hAnsi="Times New Roman" w:eastAsia="宋体" w:cs="Times New Roman"/>
                <w:b w:val="0"/>
                <w:bCs w:val="0"/>
                <w:sz w:val="24"/>
                <w:szCs w:val="24"/>
                <w:vertAlign w:val="subscript"/>
              </w:rPr>
              <w:t>1-3</w:t>
            </w:r>
            <w:r>
              <w:rPr>
                <w:rFonts w:hint="eastAsia" w:ascii="Times New Roman" w:hAnsi="Times New Roman" w:eastAsia="宋体" w:cs="Times New Roman"/>
                <w:b w:val="0"/>
                <w:bCs w:val="0"/>
                <w:sz w:val="24"/>
                <w:szCs w:val="24"/>
              </w:rPr>
              <w:t>），振光废水（S</w:t>
            </w:r>
            <w:r>
              <w:rPr>
                <w:rFonts w:hint="eastAsia" w:ascii="Times New Roman" w:hAnsi="Times New Roman" w:eastAsia="宋体" w:cs="Times New Roman"/>
                <w:b w:val="0"/>
                <w:bCs w:val="0"/>
                <w:sz w:val="24"/>
                <w:szCs w:val="24"/>
                <w:vertAlign w:val="subscript"/>
              </w:rPr>
              <w:t>1-2</w:t>
            </w:r>
            <w:r>
              <w:rPr>
                <w:rFonts w:hint="eastAsia" w:ascii="Times New Roman" w:hAnsi="Times New Roman" w:eastAsia="宋体" w:cs="Times New Roman"/>
                <w:b w:val="0"/>
                <w:bCs w:val="0"/>
                <w:sz w:val="24"/>
                <w:szCs w:val="24"/>
              </w:rPr>
              <w:t>）和槽渣（S</w:t>
            </w:r>
            <w:r>
              <w:rPr>
                <w:rFonts w:hint="eastAsia" w:ascii="Times New Roman" w:hAnsi="Times New Roman" w:eastAsia="宋体" w:cs="Times New Roman"/>
                <w:b w:val="0"/>
                <w:bCs w:val="0"/>
                <w:sz w:val="24"/>
                <w:szCs w:val="24"/>
                <w:vertAlign w:val="subscript"/>
              </w:rPr>
              <w:t>1-3</w:t>
            </w:r>
            <w:r>
              <w:rPr>
                <w:rFonts w:hint="eastAsia" w:ascii="Times New Roman" w:hAnsi="Times New Roman" w:eastAsia="宋体" w:cs="Times New Roman"/>
                <w:b w:val="0"/>
                <w:bCs w:val="0"/>
                <w:sz w:val="24"/>
                <w:szCs w:val="24"/>
              </w:rPr>
              <w:t>）作为危废委托有资质单位进行处理。</w:t>
            </w:r>
          </w:p>
          <w:p w14:paraId="17662486">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超声波清洗：</w:t>
            </w:r>
            <w:r>
              <w:rPr>
                <w:rFonts w:hint="eastAsia" w:ascii="Times New Roman" w:hAnsi="Times New Roman" w:eastAsia="宋体" w:cs="Times New Roman"/>
                <w:b w:val="0"/>
                <w:bCs w:val="0"/>
                <w:sz w:val="24"/>
                <w:szCs w:val="24"/>
              </w:rPr>
              <w:t>本工序使用专用清洗剂对振光后的芯子和外管表面进行清洗，去除工件表面油污。项目清洗采用超声波清洗机处理，共设置2台超声波清洗机，每台尺寸为0.4m×0.6m×0.4m，1台清洗机只用清洗剂进行初道清洗，另一台清洗剂只用水进行二道清洗，清洗前需要利用清洗加热器对超声波清洗机内的清洗液和水进行加热，加热到40℃，采用电加热。清洗后的芯子和外管放置硫化配件区进行自然晾干。</w:t>
            </w:r>
          </w:p>
          <w:p w14:paraId="7D4B31BE">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产排污环节分析及治理措施：</w:t>
            </w:r>
            <w:r>
              <w:rPr>
                <w:rFonts w:hint="eastAsia" w:ascii="Times New Roman" w:hAnsi="Times New Roman" w:eastAsia="宋体" w:cs="Times New Roman"/>
                <w:b w:val="0"/>
                <w:bCs w:val="0"/>
                <w:sz w:val="24"/>
                <w:szCs w:val="24"/>
              </w:rPr>
              <w:t>此过程会产生清洗废气（G</w:t>
            </w:r>
            <w:r>
              <w:rPr>
                <w:rFonts w:hint="eastAsia" w:ascii="Times New Roman" w:hAnsi="Times New Roman" w:eastAsia="宋体" w:cs="Times New Roman"/>
                <w:b w:val="0"/>
                <w:bCs w:val="0"/>
                <w:sz w:val="24"/>
                <w:szCs w:val="24"/>
                <w:vertAlign w:val="subscript"/>
              </w:rPr>
              <w:t>1-2</w:t>
            </w:r>
            <w:r>
              <w:rPr>
                <w:rFonts w:hint="eastAsia" w:ascii="Times New Roman" w:hAnsi="Times New Roman" w:eastAsia="宋体" w:cs="Times New Roman"/>
                <w:b w:val="0"/>
                <w:bCs w:val="0"/>
                <w:sz w:val="24"/>
                <w:szCs w:val="24"/>
              </w:rPr>
              <w:t>）、清洗废液和废水（S</w:t>
            </w:r>
            <w:r>
              <w:rPr>
                <w:rFonts w:hint="eastAsia" w:ascii="Times New Roman" w:hAnsi="Times New Roman" w:eastAsia="宋体" w:cs="Times New Roman"/>
                <w:b w:val="0"/>
                <w:bCs w:val="0"/>
                <w:sz w:val="24"/>
                <w:szCs w:val="24"/>
                <w:vertAlign w:val="subscript"/>
              </w:rPr>
              <w:t>1-4</w:t>
            </w:r>
            <w:r>
              <w:rPr>
                <w:rFonts w:hint="eastAsia" w:ascii="Times New Roman" w:hAnsi="Times New Roman" w:eastAsia="宋体" w:cs="Times New Roman"/>
                <w:b w:val="0"/>
                <w:bCs w:val="0"/>
                <w:sz w:val="24"/>
                <w:szCs w:val="24"/>
              </w:rPr>
              <w:t>）。清洗废气（G</w:t>
            </w:r>
            <w:r>
              <w:rPr>
                <w:rFonts w:hint="eastAsia" w:ascii="Times New Roman" w:hAnsi="Times New Roman" w:eastAsia="宋体" w:cs="Times New Roman"/>
                <w:b w:val="0"/>
                <w:bCs w:val="0"/>
                <w:sz w:val="24"/>
                <w:szCs w:val="24"/>
                <w:vertAlign w:val="subscript"/>
              </w:rPr>
              <w:t>1-2</w:t>
            </w:r>
            <w:r>
              <w:rPr>
                <w:rFonts w:hint="eastAsia" w:ascii="Times New Roman" w:hAnsi="Times New Roman" w:eastAsia="宋体" w:cs="Times New Roman"/>
                <w:b w:val="0"/>
                <w:bCs w:val="0"/>
                <w:sz w:val="24"/>
                <w:szCs w:val="24"/>
              </w:rPr>
              <w:t>）通过集气罩收集，再经过两级活性炭（TA002）处理后，最终通过15m高排气筒（DA002）排放；清洗废液和废水（S</w:t>
            </w:r>
            <w:r>
              <w:rPr>
                <w:rFonts w:hint="eastAsia" w:ascii="Times New Roman" w:hAnsi="Times New Roman" w:eastAsia="宋体" w:cs="Times New Roman"/>
                <w:b w:val="0"/>
                <w:bCs w:val="0"/>
                <w:sz w:val="24"/>
                <w:szCs w:val="24"/>
                <w:vertAlign w:val="subscript"/>
              </w:rPr>
              <w:t>1-4</w:t>
            </w:r>
            <w:r>
              <w:rPr>
                <w:rFonts w:hint="eastAsia" w:ascii="Times New Roman" w:hAnsi="Times New Roman" w:eastAsia="宋体" w:cs="Times New Roman"/>
                <w:b w:val="0"/>
                <w:bCs w:val="0"/>
                <w:sz w:val="24"/>
                <w:szCs w:val="24"/>
              </w:rPr>
              <w:t>）作为危废委托有资质单位进行处理。</w:t>
            </w:r>
          </w:p>
          <w:p w14:paraId="6317B4CE">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涂胶：</w:t>
            </w:r>
            <w:r>
              <w:rPr>
                <w:rFonts w:hint="eastAsia" w:ascii="Times New Roman" w:hAnsi="Times New Roman" w:eastAsia="宋体" w:cs="Times New Roman"/>
                <w:b w:val="0"/>
                <w:bCs w:val="0"/>
                <w:sz w:val="24"/>
                <w:szCs w:val="24"/>
              </w:rPr>
              <w:t>待芯子和外管晾干后，利用芯子注胶机依次对芯子侧面涂黑胶和灰胶，再利用外管涂胶机对外管内侧依次涂黑胶和灰胶。</w:t>
            </w:r>
          </w:p>
          <w:p w14:paraId="17D26FE3">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产排污环节分析及治理措施：</w:t>
            </w:r>
            <w:r>
              <w:rPr>
                <w:rFonts w:hint="eastAsia" w:ascii="Times New Roman" w:hAnsi="Times New Roman" w:eastAsia="宋体" w:cs="Times New Roman"/>
                <w:b w:val="0"/>
                <w:bCs w:val="0"/>
                <w:sz w:val="24"/>
                <w:szCs w:val="24"/>
              </w:rPr>
              <w:t>此过程产生涂胶废气（G</w:t>
            </w:r>
            <w:r>
              <w:rPr>
                <w:rFonts w:hint="eastAsia" w:ascii="Times New Roman" w:hAnsi="Times New Roman" w:eastAsia="宋体" w:cs="Times New Roman"/>
                <w:b w:val="0"/>
                <w:bCs w:val="0"/>
                <w:sz w:val="24"/>
                <w:szCs w:val="24"/>
                <w:vertAlign w:val="subscript"/>
              </w:rPr>
              <w:t>1-3</w:t>
            </w:r>
            <w:r>
              <w:rPr>
                <w:rFonts w:hint="eastAsia" w:ascii="Times New Roman" w:hAnsi="Times New Roman" w:eastAsia="宋体" w:cs="Times New Roman"/>
                <w:b w:val="0"/>
                <w:bCs w:val="0"/>
                <w:sz w:val="24"/>
                <w:szCs w:val="24"/>
              </w:rPr>
              <w:t>），通过集气罩收集，再经过两级活性炭（TA002）处理后，最终通过15m高排气筒（DA002）排放。</w:t>
            </w:r>
          </w:p>
          <w:p w14:paraId="61B826B5">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硫化注胶：</w:t>
            </w:r>
            <w:r>
              <w:rPr>
                <w:rFonts w:hint="eastAsia" w:ascii="Times New Roman" w:hAnsi="Times New Roman" w:eastAsia="宋体" w:cs="Times New Roman"/>
                <w:b w:val="0"/>
                <w:bCs w:val="0"/>
                <w:sz w:val="24"/>
                <w:szCs w:val="24"/>
              </w:rPr>
              <w:t>先将脱模剂均匀涂在模具上，再将外管和芯子固定在模具上，最后混炼后的天然橡胶通过硫化注射机注入芯子和外管间缝隙内，待橡胶熟化成型。</w:t>
            </w:r>
          </w:p>
          <w:p w14:paraId="13AC6CE5">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产排污环节分析及治理措施：</w:t>
            </w:r>
            <w:r>
              <w:rPr>
                <w:rFonts w:hint="eastAsia" w:ascii="Times New Roman" w:hAnsi="Times New Roman" w:eastAsia="宋体" w:cs="Times New Roman"/>
                <w:b w:val="0"/>
                <w:bCs w:val="0"/>
                <w:sz w:val="24"/>
                <w:szCs w:val="24"/>
              </w:rPr>
              <w:t>此过程产生硫化废气（G</w:t>
            </w:r>
            <w:r>
              <w:rPr>
                <w:rFonts w:hint="eastAsia" w:ascii="Times New Roman" w:hAnsi="Times New Roman" w:eastAsia="宋体" w:cs="Times New Roman"/>
                <w:b w:val="0"/>
                <w:bCs w:val="0"/>
                <w:sz w:val="24"/>
                <w:szCs w:val="24"/>
                <w:vertAlign w:val="subscript"/>
              </w:rPr>
              <w:t>1-4</w:t>
            </w:r>
            <w:r>
              <w:rPr>
                <w:rFonts w:hint="eastAsia" w:ascii="Times New Roman" w:hAnsi="Times New Roman" w:eastAsia="宋体" w:cs="Times New Roman"/>
                <w:b w:val="0"/>
                <w:bCs w:val="0"/>
                <w:sz w:val="24"/>
                <w:szCs w:val="24"/>
              </w:rPr>
              <w:t>）和废脱模剂（S</w:t>
            </w:r>
            <w:r>
              <w:rPr>
                <w:rFonts w:hint="eastAsia" w:ascii="Times New Roman" w:hAnsi="Times New Roman" w:eastAsia="宋体" w:cs="Times New Roman"/>
                <w:b w:val="0"/>
                <w:bCs w:val="0"/>
                <w:sz w:val="24"/>
                <w:szCs w:val="24"/>
                <w:vertAlign w:val="subscript"/>
              </w:rPr>
              <w:t>1-5</w:t>
            </w:r>
            <w:r>
              <w:rPr>
                <w:rFonts w:hint="eastAsia" w:ascii="Times New Roman" w:hAnsi="Times New Roman" w:eastAsia="宋体" w:cs="Times New Roman"/>
                <w:b w:val="0"/>
                <w:bCs w:val="0"/>
                <w:sz w:val="24"/>
                <w:szCs w:val="24"/>
              </w:rPr>
              <w:t>）。硫化废气（G</w:t>
            </w:r>
            <w:r>
              <w:rPr>
                <w:rFonts w:hint="eastAsia" w:ascii="Times New Roman" w:hAnsi="Times New Roman" w:eastAsia="宋体" w:cs="Times New Roman"/>
                <w:b w:val="0"/>
                <w:bCs w:val="0"/>
                <w:sz w:val="24"/>
                <w:szCs w:val="24"/>
                <w:vertAlign w:val="subscript"/>
              </w:rPr>
              <w:t>1-4</w:t>
            </w:r>
            <w:r>
              <w:rPr>
                <w:rFonts w:hint="eastAsia" w:ascii="Times New Roman" w:hAnsi="Times New Roman" w:eastAsia="宋体" w:cs="Times New Roman"/>
                <w:b w:val="0"/>
                <w:bCs w:val="0"/>
                <w:sz w:val="24"/>
                <w:szCs w:val="24"/>
              </w:rPr>
              <w:t>）通过集气罩收集，再经过两级活性炭（TA002）处理后，最终通过15m高排气筒（DA002）排放；废脱模剂（S</w:t>
            </w:r>
            <w:r>
              <w:rPr>
                <w:rFonts w:hint="eastAsia" w:ascii="Times New Roman" w:hAnsi="Times New Roman" w:eastAsia="宋体" w:cs="Times New Roman"/>
                <w:b w:val="0"/>
                <w:bCs w:val="0"/>
                <w:sz w:val="24"/>
                <w:szCs w:val="24"/>
                <w:vertAlign w:val="subscript"/>
              </w:rPr>
              <w:t>1-5</w:t>
            </w:r>
            <w:r>
              <w:rPr>
                <w:rFonts w:hint="eastAsia" w:ascii="Times New Roman" w:hAnsi="Times New Roman" w:eastAsia="宋体" w:cs="Times New Roman"/>
                <w:b w:val="0"/>
                <w:bCs w:val="0"/>
                <w:sz w:val="24"/>
                <w:szCs w:val="24"/>
              </w:rPr>
              <w:t>）收集后委托有资质单位处理。</w:t>
            </w:r>
          </w:p>
          <w:p w14:paraId="0F802563">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抛边：</w:t>
            </w:r>
            <w:r>
              <w:rPr>
                <w:rFonts w:hint="eastAsia" w:ascii="Times New Roman" w:hAnsi="Times New Roman" w:eastAsia="宋体" w:cs="Times New Roman"/>
                <w:b w:val="0"/>
                <w:bCs w:val="0"/>
                <w:sz w:val="24"/>
                <w:szCs w:val="24"/>
              </w:rPr>
              <w:t>利用自动抛边机对产品进行抛边，去除毛刺。</w:t>
            </w:r>
          </w:p>
          <w:p w14:paraId="27C93A3A">
            <w:pPr>
              <w:pStyle w:val="3"/>
              <w:spacing w:before="0" w:after="0" w:line="360" w:lineRule="auto"/>
              <w:ind w:firstLine="480" w:firstLineChars="200"/>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产排污环节分析及治理措施：此过程产生橡胶边角料（S</w:t>
            </w:r>
            <w:r>
              <w:rPr>
                <w:rFonts w:hint="eastAsia" w:ascii="Times New Roman" w:hAnsi="Times New Roman" w:eastAsia="宋体" w:cs="Times New Roman"/>
                <w:b w:val="0"/>
                <w:bCs w:val="0"/>
                <w:sz w:val="24"/>
                <w:szCs w:val="24"/>
                <w:vertAlign w:val="subscript"/>
              </w:rPr>
              <w:t>1-6</w:t>
            </w:r>
            <w:r>
              <w:rPr>
                <w:rFonts w:hint="eastAsia" w:ascii="Times New Roman" w:hAnsi="Times New Roman" w:eastAsia="宋体" w:cs="Times New Roman"/>
                <w:b w:val="0"/>
                <w:bCs w:val="0"/>
                <w:sz w:val="24"/>
                <w:szCs w:val="24"/>
              </w:rPr>
              <w:t>），收集后暂存于一般固废暂存间，定期外售，综合利用。</w:t>
            </w:r>
          </w:p>
          <w:p w14:paraId="2AC2F75D">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磷化：</w:t>
            </w:r>
            <w:r>
              <w:rPr>
                <w:rFonts w:hint="eastAsia" w:ascii="Times New Roman" w:hAnsi="Times New Roman" w:eastAsia="宋体" w:cs="Times New Roman"/>
                <w:b w:val="0"/>
                <w:bCs w:val="0"/>
                <w:sz w:val="24"/>
                <w:szCs w:val="24"/>
              </w:rPr>
              <w:t>本项目该工序为外协加工，所以不产生污染。</w:t>
            </w:r>
          </w:p>
          <w:p w14:paraId="7B868864">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锁紧：</w:t>
            </w:r>
            <w:r>
              <w:rPr>
                <w:rFonts w:hint="eastAsia" w:ascii="Times New Roman" w:hAnsi="Times New Roman" w:eastAsia="宋体" w:cs="Times New Roman"/>
                <w:b w:val="0"/>
                <w:bCs w:val="0"/>
                <w:sz w:val="24"/>
                <w:szCs w:val="24"/>
              </w:rPr>
              <w:t>将抛边后的成品通过自动扣管机进行微调锁紧。此工序不产生污染。</w:t>
            </w:r>
          </w:p>
          <w:p w14:paraId="36F6E08D">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成品入库：</w:t>
            </w:r>
            <w:r>
              <w:rPr>
                <w:rFonts w:hint="eastAsia" w:ascii="Times New Roman" w:hAnsi="Times New Roman" w:eastAsia="宋体" w:cs="Times New Roman"/>
                <w:b w:val="0"/>
                <w:bCs w:val="0"/>
                <w:sz w:val="24"/>
                <w:szCs w:val="24"/>
              </w:rPr>
              <w:t>将外售的衬套成品进行检验包装并入库。</w:t>
            </w:r>
          </w:p>
          <w:p w14:paraId="4E19B10F">
            <w:pPr>
              <w:pStyle w:val="3"/>
              <w:spacing w:before="0" w:after="0" w:line="360" w:lineRule="auto"/>
              <w:ind w:firstLine="482" w:firstLineChars="200"/>
              <w:rPr>
                <w:rFonts w:ascii="Times New Roman" w:hAnsi="黑体" w:eastAsia="黑体" w:cs="Times New Roman"/>
                <w:b w:val="0"/>
                <w:bCs w:val="0"/>
                <w:sz w:val="24"/>
                <w:szCs w:val="24"/>
              </w:rPr>
            </w:pPr>
            <w:r>
              <w:rPr>
                <w:rFonts w:hint="eastAsia" w:ascii="Times New Roman" w:hAnsi="Times New Roman" w:eastAsia="宋体" w:cs="Times New Roman"/>
                <w:sz w:val="24"/>
                <w:szCs w:val="24"/>
              </w:rPr>
              <w:t>堆放：</w:t>
            </w:r>
            <w:r>
              <w:rPr>
                <w:rFonts w:hint="eastAsia" w:ascii="Times New Roman" w:hAnsi="Times New Roman" w:eastAsia="宋体" w:cs="Times New Roman"/>
                <w:b w:val="0"/>
                <w:bCs w:val="0"/>
                <w:sz w:val="24"/>
                <w:szCs w:val="24"/>
              </w:rPr>
              <w:t>用于装配的成品运至2楼装配区堆放。</w:t>
            </w:r>
          </w:p>
          <w:p w14:paraId="1FA84E3B">
            <w:pPr>
              <w:pStyle w:val="3"/>
              <w:spacing w:before="0" w:after="0" w:line="360" w:lineRule="auto"/>
              <w:jc w:val="center"/>
              <w:rPr>
                <w:rFonts w:ascii="Times New Roman" w:hAnsi="Times New Roman" w:eastAsia="宋体" w:cs="Times New Roman"/>
                <w:b w:val="0"/>
                <w:bCs w:val="0"/>
                <w:sz w:val="24"/>
                <w:szCs w:val="24"/>
              </w:rPr>
            </w:pPr>
            <w:r>
              <w:rPr>
                <w:rFonts w:hint="eastAsia" w:ascii="Times New Roman" w:hAnsi="黑体" w:eastAsia="黑体" w:cs="Times New Roman"/>
                <w:b w:val="0"/>
                <w:bCs w:val="0"/>
                <w:sz w:val="24"/>
                <w:szCs w:val="24"/>
              </w:rPr>
              <w:t>表2-9  衬套生产线生产过程产污环节统计表</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47"/>
              <w:gridCol w:w="1002"/>
              <w:gridCol w:w="1720"/>
              <w:gridCol w:w="3235"/>
            </w:tblGrid>
            <w:tr w14:paraId="3B8D8E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Align w:val="center"/>
                </w:tcPr>
                <w:p w14:paraId="32C71B62">
                  <w:pPr>
                    <w:spacing w:line="276" w:lineRule="auto"/>
                    <w:jc w:val="center"/>
                    <w:rPr>
                      <w:b/>
                      <w:sz w:val="21"/>
                      <w:szCs w:val="21"/>
                    </w:rPr>
                  </w:pPr>
                  <w:r>
                    <w:rPr>
                      <w:rFonts w:hint="eastAsia"/>
                      <w:b/>
                      <w:sz w:val="21"/>
                      <w:szCs w:val="21"/>
                    </w:rPr>
                    <w:t>类别</w:t>
                  </w:r>
                </w:p>
              </w:tc>
              <w:tc>
                <w:tcPr>
                  <w:tcW w:w="730" w:type="pct"/>
                  <w:vAlign w:val="center"/>
                </w:tcPr>
                <w:p w14:paraId="5D6A35A5">
                  <w:pPr>
                    <w:spacing w:line="276" w:lineRule="auto"/>
                    <w:jc w:val="center"/>
                    <w:rPr>
                      <w:b/>
                      <w:sz w:val="21"/>
                      <w:szCs w:val="21"/>
                    </w:rPr>
                  </w:pPr>
                  <w:r>
                    <w:rPr>
                      <w:rFonts w:hint="eastAsia"/>
                      <w:b/>
                      <w:sz w:val="21"/>
                      <w:szCs w:val="21"/>
                    </w:rPr>
                    <w:t>生产工序</w:t>
                  </w:r>
                </w:p>
              </w:tc>
              <w:tc>
                <w:tcPr>
                  <w:tcW w:w="638" w:type="pct"/>
                  <w:vAlign w:val="center"/>
                </w:tcPr>
                <w:p w14:paraId="5842A4FC">
                  <w:pPr>
                    <w:spacing w:line="276" w:lineRule="auto"/>
                    <w:jc w:val="center"/>
                    <w:rPr>
                      <w:b/>
                      <w:sz w:val="21"/>
                      <w:szCs w:val="21"/>
                    </w:rPr>
                  </w:pPr>
                  <w:r>
                    <w:rPr>
                      <w:rFonts w:hint="eastAsia"/>
                      <w:b/>
                      <w:sz w:val="21"/>
                      <w:szCs w:val="21"/>
                    </w:rPr>
                    <w:t>污染源</w:t>
                  </w:r>
                </w:p>
              </w:tc>
              <w:tc>
                <w:tcPr>
                  <w:tcW w:w="1095" w:type="pct"/>
                  <w:vAlign w:val="center"/>
                </w:tcPr>
                <w:p w14:paraId="7F1080B1">
                  <w:pPr>
                    <w:spacing w:line="276" w:lineRule="auto"/>
                    <w:jc w:val="center"/>
                    <w:rPr>
                      <w:b/>
                      <w:sz w:val="21"/>
                      <w:szCs w:val="21"/>
                    </w:rPr>
                  </w:pPr>
                  <w:r>
                    <w:rPr>
                      <w:rFonts w:hint="eastAsia"/>
                      <w:b/>
                      <w:sz w:val="21"/>
                      <w:szCs w:val="21"/>
                    </w:rPr>
                    <w:t>主要污染物名称</w:t>
                  </w:r>
                </w:p>
              </w:tc>
              <w:tc>
                <w:tcPr>
                  <w:tcW w:w="2060" w:type="pct"/>
                  <w:vAlign w:val="center"/>
                </w:tcPr>
                <w:p w14:paraId="7AEC5AD6">
                  <w:pPr>
                    <w:spacing w:line="276" w:lineRule="auto"/>
                    <w:jc w:val="center"/>
                    <w:rPr>
                      <w:b/>
                      <w:sz w:val="21"/>
                      <w:szCs w:val="21"/>
                    </w:rPr>
                  </w:pPr>
                  <w:r>
                    <w:rPr>
                      <w:rFonts w:hint="eastAsia"/>
                      <w:b/>
                      <w:sz w:val="21"/>
                      <w:szCs w:val="21"/>
                    </w:rPr>
                    <w:t>收集方式及治理措施</w:t>
                  </w:r>
                </w:p>
              </w:tc>
            </w:tr>
            <w:tr w14:paraId="7E363C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restart"/>
                  <w:vAlign w:val="center"/>
                </w:tcPr>
                <w:p w14:paraId="4D78730F">
                  <w:pPr>
                    <w:spacing w:line="276" w:lineRule="auto"/>
                    <w:jc w:val="center"/>
                    <w:rPr>
                      <w:bCs/>
                      <w:sz w:val="21"/>
                      <w:szCs w:val="21"/>
                    </w:rPr>
                  </w:pPr>
                  <w:r>
                    <w:rPr>
                      <w:rFonts w:hint="eastAsia"/>
                      <w:bCs/>
                      <w:sz w:val="21"/>
                      <w:szCs w:val="21"/>
                    </w:rPr>
                    <w:t>废气</w:t>
                  </w:r>
                </w:p>
              </w:tc>
              <w:tc>
                <w:tcPr>
                  <w:tcW w:w="730" w:type="pct"/>
                  <w:vAlign w:val="center"/>
                </w:tcPr>
                <w:p w14:paraId="4E6EEA95">
                  <w:pPr>
                    <w:spacing w:line="276" w:lineRule="auto"/>
                    <w:jc w:val="center"/>
                    <w:rPr>
                      <w:bCs/>
                      <w:sz w:val="21"/>
                      <w:szCs w:val="21"/>
                    </w:rPr>
                  </w:pPr>
                  <w:r>
                    <w:rPr>
                      <w:rFonts w:hint="eastAsia"/>
                      <w:bCs/>
                      <w:sz w:val="21"/>
                      <w:szCs w:val="21"/>
                    </w:rPr>
                    <w:t>抛丸</w:t>
                  </w:r>
                </w:p>
              </w:tc>
              <w:tc>
                <w:tcPr>
                  <w:tcW w:w="638" w:type="pct"/>
                  <w:vAlign w:val="center"/>
                </w:tcPr>
                <w:p w14:paraId="44C3CBC5">
                  <w:pPr>
                    <w:spacing w:line="276" w:lineRule="auto"/>
                    <w:jc w:val="center"/>
                    <w:rPr>
                      <w:bCs/>
                      <w:sz w:val="21"/>
                      <w:szCs w:val="21"/>
                    </w:rPr>
                  </w:pPr>
                  <w:r>
                    <w:rPr>
                      <w:rFonts w:hint="eastAsia"/>
                      <w:bCs/>
                      <w:sz w:val="21"/>
                      <w:szCs w:val="21"/>
                    </w:rPr>
                    <w:t>G</w:t>
                  </w:r>
                  <w:r>
                    <w:rPr>
                      <w:rFonts w:hint="eastAsia"/>
                      <w:bCs/>
                      <w:sz w:val="21"/>
                      <w:szCs w:val="21"/>
                      <w:vertAlign w:val="subscript"/>
                    </w:rPr>
                    <w:t>1-1</w:t>
                  </w:r>
                </w:p>
              </w:tc>
              <w:tc>
                <w:tcPr>
                  <w:tcW w:w="1095" w:type="pct"/>
                  <w:vAlign w:val="center"/>
                </w:tcPr>
                <w:p w14:paraId="4E8C018D">
                  <w:pPr>
                    <w:spacing w:line="276" w:lineRule="auto"/>
                    <w:jc w:val="center"/>
                    <w:rPr>
                      <w:bCs/>
                      <w:sz w:val="21"/>
                      <w:szCs w:val="21"/>
                    </w:rPr>
                  </w:pPr>
                  <w:r>
                    <w:rPr>
                      <w:rFonts w:hint="eastAsia"/>
                      <w:bCs/>
                      <w:sz w:val="21"/>
                      <w:szCs w:val="21"/>
                    </w:rPr>
                    <w:t>颗粒物</w:t>
                  </w:r>
                </w:p>
              </w:tc>
              <w:tc>
                <w:tcPr>
                  <w:tcW w:w="2060" w:type="pct"/>
                  <w:vMerge w:val="restart"/>
                  <w:vAlign w:val="center"/>
                </w:tcPr>
                <w:p w14:paraId="62B5F932">
                  <w:pPr>
                    <w:spacing w:line="276" w:lineRule="auto"/>
                    <w:jc w:val="center"/>
                    <w:rPr>
                      <w:bCs/>
                      <w:sz w:val="21"/>
                      <w:szCs w:val="21"/>
                    </w:rPr>
                  </w:pPr>
                  <w:r>
                    <w:rPr>
                      <w:rFonts w:hint="eastAsia"/>
                      <w:bCs/>
                      <w:sz w:val="21"/>
                      <w:szCs w:val="21"/>
                    </w:rPr>
                    <w:t>经密闭收集，通过袋式除尘器（TA001）处理后，最终通过15m高排气筒（DA001）排放</w:t>
                  </w:r>
                </w:p>
              </w:tc>
            </w:tr>
            <w:tr w14:paraId="6A26A2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38DC6ED7">
                  <w:pPr>
                    <w:spacing w:line="276" w:lineRule="auto"/>
                    <w:jc w:val="center"/>
                    <w:rPr>
                      <w:bCs/>
                      <w:sz w:val="21"/>
                      <w:szCs w:val="21"/>
                    </w:rPr>
                  </w:pPr>
                </w:p>
              </w:tc>
              <w:tc>
                <w:tcPr>
                  <w:tcW w:w="730" w:type="pct"/>
                  <w:vAlign w:val="center"/>
                </w:tcPr>
                <w:p w14:paraId="6B157E0F">
                  <w:pPr>
                    <w:spacing w:line="276" w:lineRule="auto"/>
                    <w:jc w:val="center"/>
                    <w:rPr>
                      <w:bCs/>
                      <w:sz w:val="21"/>
                      <w:szCs w:val="21"/>
                    </w:rPr>
                  </w:pPr>
                  <w:r>
                    <w:rPr>
                      <w:rFonts w:hint="eastAsia"/>
                      <w:bCs/>
                      <w:sz w:val="21"/>
                      <w:szCs w:val="21"/>
                      <w:lang w:val="en-US" w:eastAsia="zh-CN"/>
                    </w:rPr>
                    <w:t>超声波</w:t>
                  </w:r>
                  <w:r>
                    <w:rPr>
                      <w:rFonts w:hint="eastAsia"/>
                      <w:bCs/>
                      <w:sz w:val="21"/>
                      <w:szCs w:val="21"/>
                    </w:rPr>
                    <w:t>清洗</w:t>
                  </w:r>
                </w:p>
              </w:tc>
              <w:tc>
                <w:tcPr>
                  <w:tcW w:w="638" w:type="pct"/>
                  <w:vAlign w:val="center"/>
                </w:tcPr>
                <w:p w14:paraId="43AA5626">
                  <w:pPr>
                    <w:spacing w:line="276" w:lineRule="auto"/>
                    <w:jc w:val="center"/>
                    <w:rPr>
                      <w:bCs/>
                      <w:sz w:val="21"/>
                      <w:szCs w:val="21"/>
                    </w:rPr>
                  </w:pPr>
                  <w:r>
                    <w:rPr>
                      <w:rFonts w:hint="eastAsia"/>
                      <w:bCs/>
                      <w:sz w:val="21"/>
                      <w:szCs w:val="21"/>
                    </w:rPr>
                    <w:t>G</w:t>
                  </w:r>
                  <w:r>
                    <w:rPr>
                      <w:rFonts w:hint="eastAsia"/>
                      <w:bCs/>
                      <w:sz w:val="21"/>
                      <w:szCs w:val="21"/>
                      <w:vertAlign w:val="subscript"/>
                    </w:rPr>
                    <w:t>1-2</w:t>
                  </w:r>
                </w:p>
              </w:tc>
              <w:tc>
                <w:tcPr>
                  <w:tcW w:w="1095" w:type="pct"/>
                  <w:vAlign w:val="center"/>
                </w:tcPr>
                <w:p w14:paraId="0F1CB891">
                  <w:pPr>
                    <w:spacing w:line="276" w:lineRule="auto"/>
                    <w:jc w:val="center"/>
                    <w:rPr>
                      <w:bCs/>
                      <w:sz w:val="21"/>
                      <w:szCs w:val="21"/>
                    </w:rPr>
                  </w:pPr>
                  <w:r>
                    <w:rPr>
                      <w:rFonts w:hint="eastAsia"/>
                      <w:bCs/>
                      <w:sz w:val="21"/>
                      <w:szCs w:val="21"/>
                    </w:rPr>
                    <w:t>非甲烷总烃</w:t>
                  </w:r>
                </w:p>
              </w:tc>
              <w:tc>
                <w:tcPr>
                  <w:tcW w:w="2060" w:type="pct"/>
                  <w:vMerge w:val="continue"/>
                  <w:vAlign w:val="center"/>
                </w:tcPr>
                <w:p w14:paraId="1396F29C">
                  <w:pPr>
                    <w:spacing w:line="276" w:lineRule="auto"/>
                    <w:jc w:val="center"/>
                    <w:rPr>
                      <w:bCs/>
                      <w:sz w:val="21"/>
                      <w:szCs w:val="21"/>
                    </w:rPr>
                  </w:pPr>
                </w:p>
              </w:tc>
            </w:tr>
            <w:tr w14:paraId="6C752D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12620422">
                  <w:pPr>
                    <w:spacing w:line="276" w:lineRule="auto"/>
                    <w:jc w:val="center"/>
                    <w:rPr>
                      <w:bCs/>
                      <w:sz w:val="21"/>
                      <w:szCs w:val="21"/>
                    </w:rPr>
                  </w:pPr>
                </w:p>
              </w:tc>
              <w:tc>
                <w:tcPr>
                  <w:tcW w:w="730" w:type="pct"/>
                  <w:vAlign w:val="center"/>
                </w:tcPr>
                <w:p w14:paraId="75CEB67D">
                  <w:pPr>
                    <w:spacing w:line="276" w:lineRule="auto"/>
                    <w:jc w:val="center"/>
                    <w:rPr>
                      <w:bCs/>
                      <w:sz w:val="21"/>
                      <w:szCs w:val="21"/>
                    </w:rPr>
                  </w:pPr>
                  <w:r>
                    <w:rPr>
                      <w:rFonts w:hint="eastAsia"/>
                      <w:bCs/>
                      <w:sz w:val="21"/>
                      <w:szCs w:val="21"/>
                    </w:rPr>
                    <w:t>涂胶</w:t>
                  </w:r>
                </w:p>
              </w:tc>
              <w:tc>
                <w:tcPr>
                  <w:tcW w:w="638" w:type="pct"/>
                  <w:vAlign w:val="center"/>
                </w:tcPr>
                <w:p w14:paraId="5314717E">
                  <w:pPr>
                    <w:spacing w:line="276" w:lineRule="auto"/>
                    <w:jc w:val="center"/>
                    <w:rPr>
                      <w:bCs/>
                      <w:sz w:val="21"/>
                      <w:szCs w:val="21"/>
                    </w:rPr>
                  </w:pPr>
                  <w:r>
                    <w:rPr>
                      <w:rFonts w:hint="eastAsia"/>
                      <w:bCs/>
                      <w:sz w:val="21"/>
                      <w:szCs w:val="21"/>
                    </w:rPr>
                    <w:t>G</w:t>
                  </w:r>
                  <w:r>
                    <w:rPr>
                      <w:rFonts w:hint="eastAsia"/>
                      <w:bCs/>
                      <w:sz w:val="21"/>
                      <w:szCs w:val="21"/>
                      <w:vertAlign w:val="subscript"/>
                    </w:rPr>
                    <w:t>1-3</w:t>
                  </w:r>
                </w:p>
              </w:tc>
              <w:tc>
                <w:tcPr>
                  <w:tcW w:w="1095" w:type="pct"/>
                  <w:vAlign w:val="center"/>
                </w:tcPr>
                <w:p w14:paraId="7AA4487F">
                  <w:pPr>
                    <w:spacing w:line="276" w:lineRule="auto"/>
                    <w:jc w:val="center"/>
                    <w:rPr>
                      <w:bCs/>
                      <w:sz w:val="21"/>
                      <w:szCs w:val="21"/>
                    </w:rPr>
                  </w:pPr>
                  <w:r>
                    <w:rPr>
                      <w:rFonts w:hint="eastAsia"/>
                      <w:bCs/>
                      <w:sz w:val="21"/>
                      <w:szCs w:val="21"/>
                    </w:rPr>
                    <w:t>甲苯、二甲苯、非甲烷总烃、四氯乙烯</w:t>
                  </w:r>
                </w:p>
              </w:tc>
              <w:tc>
                <w:tcPr>
                  <w:tcW w:w="2060" w:type="pct"/>
                  <w:vMerge w:val="continue"/>
                  <w:vAlign w:val="center"/>
                </w:tcPr>
                <w:p w14:paraId="57735ECA">
                  <w:pPr>
                    <w:spacing w:line="276" w:lineRule="auto"/>
                    <w:jc w:val="center"/>
                    <w:rPr>
                      <w:bCs/>
                      <w:sz w:val="21"/>
                      <w:szCs w:val="21"/>
                    </w:rPr>
                  </w:pPr>
                </w:p>
              </w:tc>
            </w:tr>
            <w:tr w14:paraId="267FD7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42F20060">
                  <w:pPr>
                    <w:spacing w:line="276" w:lineRule="auto"/>
                    <w:jc w:val="center"/>
                    <w:rPr>
                      <w:bCs/>
                      <w:sz w:val="21"/>
                      <w:szCs w:val="21"/>
                    </w:rPr>
                  </w:pPr>
                </w:p>
              </w:tc>
              <w:tc>
                <w:tcPr>
                  <w:tcW w:w="730" w:type="pct"/>
                  <w:vAlign w:val="center"/>
                </w:tcPr>
                <w:p w14:paraId="0C0C9BA9">
                  <w:pPr>
                    <w:spacing w:line="276" w:lineRule="auto"/>
                    <w:jc w:val="center"/>
                    <w:rPr>
                      <w:bCs/>
                      <w:sz w:val="21"/>
                      <w:szCs w:val="21"/>
                    </w:rPr>
                  </w:pPr>
                  <w:r>
                    <w:rPr>
                      <w:rFonts w:hint="eastAsia"/>
                      <w:bCs/>
                      <w:sz w:val="21"/>
                      <w:szCs w:val="21"/>
                    </w:rPr>
                    <w:t>硫化</w:t>
                  </w:r>
                </w:p>
              </w:tc>
              <w:tc>
                <w:tcPr>
                  <w:tcW w:w="638" w:type="pct"/>
                  <w:vAlign w:val="center"/>
                </w:tcPr>
                <w:p w14:paraId="30C48A1C">
                  <w:pPr>
                    <w:spacing w:line="276" w:lineRule="auto"/>
                    <w:jc w:val="center"/>
                    <w:rPr>
                      <w:bCs/>
                      <w:sz w:val="21"/>
                      <w:szCs w:val="21"/>
                    </w:rPr>
                  </w:pPr>
                  <w:r>
                    <w:rPr>
                      <w:rFonts w:hint="eastAsia"/>
                      <w:bCs/>
                      <w:sz w:val="21"/>
                      <w:szCs w:val="21"/>
                    </w:rPr>
                    <w:t>G</w:t>
                  </w:r>
                  <w:r>
                    <w:rPr>
                      <w:rFonts w:hint="eastAsia"/>
                      <w:bCs/>
                      <w:sz w:val="21"/>
                      <w:szCs w:val="21"/>
                      <w:vertAlign w:val="subscript"/>
                    </w:rPr>
                    <w:t>1-4</w:t>
                  </w:r>
                </w:p>
              </w:tc>
              <w:tc>
                <w:tcPr>
                  <w:tcW w:w="1095" w:type="pct"/>
                  <w:vAlign w:val="center"/>
                </w:tcPr>
                <w:p w14:paraId="35BA6D30">
                  <w:pPr>
                    <w:spacing w:line="276" w:lineRule="auto"/>
                    <w:jc w:val="center"/>
                    <w:rPr>
                      <w:bCs/>
                      <w:sz w:val="21"/>
                      <w:szCs w:val="21"/>
                    </w:rPr>
                  </w:pPr>
                  <w:r>
                    <w:rPr>
                      <w:rFonts w:hint="eastAsia"/>
                      <w:bCs/>
                      <w:sz w:val="21"/>
                      <w:szCs w:val="21"/>
                    </w:rPr>
                    <w:t>非甲烷总烃、硫化氢、臭气浓度</w:t>
                  </w:r>
                </w:p>
              </w:tc>
              <w:tc>
                <w:tcPr>
                  <w:tcW w:w="2060" w:type="pct"/>
                  <w:vMerge w:val="continue"/>
                  <w:vAlign w:val="center"/>
                </w:tcPr>
                <w:p w14:paraId="0CDC9EA8">
                  <w:pPr>
                    <w:spacing w:line="276" w:lineRule="auto"/>
                    <w:jc w:val="center"/>
                    <w:rPr>
                      <w:bCs/>
                      <w:sz w:val="21"/>
                      <w:szCs w:val="21"/>
                    </w:rPr>
                  </w:pPr>
                </w:p>
              </w:tc>
            </w:tr>
            <w:tr w14:paraId="741BE6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restart"/>
                  <w:vAlign w:val="center"/>
                </w:tcPr>
                <w:p w14:paraId="1770CFEB">
                  <w:pPr>
                    <w:spacing w:line="276" w:lineRule="auto"/>
                    <w:jc w:val="center"/>
                    <w:rPr>
                      <w:bCs/>
                      <w:sz w:val="21"/>
                      <w:szCs w:val="21"/>
                    </w:rPr>
                  </w:pPr>
                  <w:r>
                    <w:rPr>
                      <w:rFonts w:hint="eastAsia"/>
                      <w:bCs/>
                      <w:sz w:val="21"/>
                      <w:szCs w:val="21"/>
                    </w:rPr>
                    <w:t>固废</w:t>
                  </w:r>
                </w:p>
              </w:tc>
              <w:tc>
                <w:tcPr>
                  <w:tcW w:w="730" w:type="pct"/>
                  <w:vAlign w:val="center"/>
                </w:tcPr>
                <w:p w14:paraId="7AE6FE89">
                  <w:pPr>
                    <w:spacing w:line="276" w:lineRule="auto"/>
                    <w:jc w:val="center"/>
                    <w:rPr>
                      <w:bCs/>
                      <w:sz w:val="21"/>
                      <w:szCs w:val="21"/>
                    </w:rPr>
                  </w:pPr>
                  <w:r>
                    <w:rPr>
                      <w:rFonts w:hint="eastAsia"/>
                      <w:bCs/>
                      <w:sz w:val="21"/>
                      <w:szCs w:val="21"/>
                    </w:rPr>
                    <w:t>抛丸</w:t>
                  </w:r>
                </w:p>
              </w:tc>
              <w:tc>
                <w:tcPr>
                  <w:tcW w:w="638" w:type="pct"/>
                  <w:vAlign w:val="center"/>
                </w:tcPr>
                <w:p w14:paraId="489564A1">
                  <w:pPr>
                    <w:spacing w:line="276" w:lineRule="auto"/>
                    <w:jc w:val="center"/>
                    <w:rPr>
                      <w:bCs/>
                      <w:sz w:val="21"/>
                      <w:szCs w:val="21"/>
                    </w:rPr>
                  </w:pPr>
                  <w:r>
                    <w:rPr>
                      <w:rFonts w:hint="eastAsia"/>
                      <w:bCs/>
                      <w:sz w:val="21"/>
                      <w:szCs w:val="21"/>
                    </w:rPr>
                    <w:t>S</w:t>
                  </w:r>
                  <w:r>
                    <w:rPr>
                      <w:rFonts w:hint="eastAsia"/>
                      <w:bCs/>
                      <w:sz w:val="21"/>
                      <w:szCs w:val="21"/>
                      <w:vertAlign w:val="subscript"/>
                    </w:rPr>
                    <w:t>1-1</w:t>
                  </w:r>
                </w:p>
              </w:tc>
              <w:tc>
                <w:tcPr>
                  <w:tcW w:w="1095" w:type="pct"/>
                  <w:vAlign w:val="center"/>
                </w:tcPr>
                <w:p w14:paraId="22F76BA6">
                  <w:pPr>
                    <w:spacing w:line="276" w:lineRule="auto"/>
                    <w:jc w:val="center"/>
                    <w:rPr>
                      <w:bCs/>
                      <w:sz w:val="21"/>
                      <w:szCs w:val="21"/>
                    </w:rPr>
                  </w:pPr>
                  <w:r>
                    <w:rPr>
                      <w:rFonts w:hint="eastAsia"/>
                      <w:bCs/>
                      <w:sz w:val="21"/>
                      <w:szCs w:val="21"/>
                    </w:rPr>
                    <w:t>废钢丸</w:t>
                  </w:r>
                </w:p>
              </w:tc>
              <w:tc>
                <w:tcPr>
                  <w:tcW w:w="2060" w:type="pct"/>
                  <w:vAlign w:val="center"/>
                </w:tcPr>
                <w:p w14:paraId="3B2ED9EA">
                  <w:pPr>
                    <w:spacing w:line="276" w:lineRule="auto"/>
                    <w:jc w:val="center"/>
                    <w:rPr>
                      <w:bCs/>
                      <w:sz w:val="21"/>
                      <w:szCs w:val="21"/>
                    </w:rPr>
                  </w:pPr>
                  <w:r>
                    <w:rPr>
                      <w:rFonts w:hint="eastAsia"/>
                      <w:bCs/>
                      <w:sz w:val="21"/>
                      <w:szCs w:val="21"/>
                    </w:rPr>
                    <w:t>收集后暂存于一般固废暂存间，定期外售，综合利用</w:t>
                  </w:r>
                </w:p>
              </w:tc>
            </w:tr>
            <w:tr w14:paraId="5CE71E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6A91E738">
                  <w:pPr>
                    <w:spacing w:line="276" w:lineRule="auto"/>
                    <w:jc w:val="center"/>
                    <w:rPr>
                      <w:bCs/>
                      <w:sz w:val="21"/>
                      <w:szCs w:val="21"/>
                    </w:rPr>
                  </w:pPr>
                </w:p>
              </w:tc>
              <w:tc>
                <w:tcPr>
                  <w:tcW w:w="730" w:type="pct"/>
                  <w:vMerge w:val="restart"/>
                  <w:vAlign w:val="center"/>
                </w:tcPr>
                <w:p w14:paraId="36881722">
                  <w:pPr>
                    <w:spacing w:line="276" w:lineRule="auto"/>
                    <w:jc w:val="center"/>
                    <w:rPr>
                      <w:bCs/>
                      <w:sz w:val="21"/>
                      <w:szCs w:val="21"/>
                    </w:rPr>
                  </w:pPr>
                  <w:r>
                    <w:rPr>
                      <w:rFonts w:hint="eastAsia"/>
                      <w:bCs/>
                      <w:sz w:val="21"/>
                      <w:szCs w:val="21"/>
                    </w:rPr>
                    <w:t>振光</w:t>
                  </w:r>
                </w:p>
              </w:tc>
              <w:tc>
                <w:tcPr>
                  <w:tcW w:w="638" w:type="pct"/>
                  <w:vAlign w:val="center"/>
                </w:tcPr>
                <w:p w14:paraId="050721AC">
                  <w:pPr>
                    <w:spacing w:line="276" w:lineRule="auto"/>
                    <w:jc w:val="center"/>
                    <w:rPr>
                      <w:bCs/>
                      <w:sz w:val="21"/>
                      <w:szCs w:val="21"/>
                    </w:rPr>
                  </w:pPr>
                  <w:r>
                    <w:rPr>
                      <w:rFonts w:hint="eastAsia"/>
                      <w:bCs/>
                      <w:sz w:val="21"/>
                      <w:szCs w:val="21"/>
                    </w:rPr>
                    <w:t>S</w:t>
                  </w:r>
                  <w:r>
                    <w:rPr>
                      <w:rFonts w:hint="eastAsia"/>
                      <w:bCs/>
                      <w:sz w:val="21"/>
                      <w:szCs w:val="21"/>
                      <w:vertAlign w:val="subscript"/>
                    </w:rPr>
                    <w:t>1-2</w:t>
                  </w:r>
                </w:p>
              </w:tc>
              <w:tc>
                <w:tcPr>
                  <w:tcW w:w="1095" w:type="pct"/>
                  <w:vAlign w:val="center"/>
                </w:tcPr>
                <w:p w14:paraId="08046E5F">
                  <w:pPr>
                    <w:spacing w:line="276" w:lineRule="auto"/>
                    <w:jc w:val="center"/>
                    <w:rPr>
                      <w:bCs/>
                      <w:sz w:val="21"/>
                      <w:szCs w:val="21"/>
                    </w:rPr>
                  </w:pPr>
                  <w:r>
                    <w:rPr>
                      <w:rFonts w:hint="eastAsia"/>
                      <w:bCs/>
                      <w:sz w:val="21"/>
                      <w:szCs w:val="21"/>
                    </w:rPr>
                    <w:t>振光废水</w:t>
                  </w:r>
                </w:p>
              </w:tc>
              <w:tc>
                <w:tcPr>
                  <w:tcW w:w="2060" w:type="pct"/>
                  <w:vMerge w:val="restart"/>
                  <w:vAlign w:val="center"/>
                </w:tcPr>
                <w:p w14:paraId="20D11935">
                  <w:pPr>
                    <w:spacing w:line="276" w:lineRule="auto"/>
                    <w:jc w:val="center"/>
                    <w:rPr>
                      <w:bCs/>
                      <w:sz w:val="21"/>
                      <w:szCs w:val="21"/>
                    </w:rPr>
                  </w:pPr>
                  <w:r>
                    <w:rPr>
                      <w:rFonts w:hint="eastAsia"/>
                      <w:bCs/>
                      <w:sz w:val="21"/>
                      <w:szCs w:val="21"/>
                    </w:rPr>
                    <w:t>收集后暂存于危险废物暂存间，委托有资质单位定期处置</w:t>
                  </w:r>
                </w:p>
              </w:tc>
            </w:tr>
            <w:tr w14:paraId="66F166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0D9BC163">
                  <w:pPr>
                    <w:spacing w:line="276" w:lineRule="auto"/>
                    <w:jc w:val="center"/>
                    <w:rPr>
                      <w:bCs/>
                      <w:sz w:val="21"/>
                      <w:szCs w:val="21"/>
                    </w:rPr>
                  </w:pPr>
                </w:p>
              </w:tc>
              <w:tc>
                <w:tcPr>
                  <w:tcW w:w="730" w:type="pct"/>
                  <w:vMerge w:val="continue"/>
                  <w:vAlign w:val="center"/>
                </w:tcPr>
                <w:p w14:paraId="21EBBACB">
                  <w:pPr>
                    <w:spacing w:line="276" w:lineRule="auto"/>
                    <w:jc w:val="center"/>
                    <w:rPr>
                      <w:bCs/>
                      <w:sz w:val="21"/>
                      <w:szCs w:val="21"/>
                    </w:rPr>
                  </w:pPr>
                </w:p>
              </w:tc>
              <w:tc>
                <w:tcPr>
                  <w:tcW w:w="638" w:type="pct"/>
                  <w:vAlign w:val="center"/>
                </w:tcPr>
                <w:p w14:paraId="1165FF5D">
                  <w:pPr>
                    <w:spacing w:line="276" w:lineRule="auto"/>
                    <w:jc w:val="center"/>
                    <w:rPr>
                      <w:bCs/>
                      <w:sz w:val="21"/>
                      <w:szCs w:val="21"/>
                    </w:rPr>
                  </w:pPr>
                  <w:r>
                    <w:rPr>
                      <w:rFonts w:hint="eastAsia"/>
                      <w:bCs/>
                      <w:sz w:val="21"/>
                      <w:szCs w:val="21"/>
                    </w:rPr>
                    <w:t>S</w:t>
                  </w:r>
                  <w:r>
                    <w:rPr>
                      <w:rFonts w:hint="eastAsia"/>
                      <w:bCs/>
                      <w:sz w:val="21"/>
                      <w:szCs w:val="21"/>
                      <w:vertAlign w:val="subscript"/>
                    </w:rPr>
                    <w:t>1-3</w:t>
                  </w:r>
                </w:p>
              </w:tc>
              <w:tc>
                <w:tcPr>
                  <w:tcW w:w="1095" w:type="pct"/>
                  <w:vAlign w:val="center"/>
                </w:tcPr>
                <w:p w14:paraId="69BD596C">
                  <w:pPr>
                    <w:spacing w:line="276" w:lineRule="auto"/>
                    <w:jc w:val="center"/>
                    <w:rPr>
                      <w:bCs/>
                      <w:sz w:val="21"/>
                      <w:szCs w:val="21"/>
                    </w:rPr>
                  </w:pPr>
                  <w:r>
                    <w:rPr>
                      <w:rFonts w:hint="eastAsia"/>
                      <w:bCs/>
                      <w:sz w:val="21"/>
                      <w:szCs w:val="21"/>
                    </w:rPr>
                    <w:t>槽渣</w:t>
                  </w:r>
                </w:p>
              </w:tc>
              <w:tc>
                <w:tcPr>
                  <w:tcW w:w="2060" w:type="pct"/>
                  <w:vMerge w:val="continue"/>
                  <w:vAlign w:val="center"/>
                </w:tcPr>
                <w:p w14:paraId="31CA70D0">
                  <w:pPr>
                    <w:spacing w:line="276" w:lineRule="auto"/>
                    <w:jc w:val="center"/>
                    <w:rPr>
                      <w:bCs/>
                      <w:sz w:val="21"/>
                      <w:szCs w:val="21"/>
                    </w:rPr>
                  </w:pPr>
                </w:p>
              </w:tc>
            </w:tr>
            <w:tr w14:paraId="20D73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3C5731E2">
                  <w:pPr>
                    <w:spacing w:line="276" w:lineRule="auto"/>
                    <w:jc w:val="center"/>
                    <w:rPr>
                      <w:bCs/>
                      <w:sz w:val="21"/>
                      <w:szCs w:val="21"/>
                    </w:rPr>
                  </w:pPr>
                </w:p>
              </w:tc>
              <w:tc>
                <w:tcPr>
                  <w:tcW w:w="730" w:type="pct"/>
                  <w:vAlign w:val="center"/>
                </w:tcPr>
                <w:p w14:paraId="31487080">
                  <w:pPr>
                    <w:spacing w:line="276" w:lineRule="auto"/>
                    <w:jc w:val="center"/>
                    <w:rPr>
                      <w:bCs/>
                      <w:sz w:val="21"/>
                      <w:szCs w:val="21"/>
                    </w:rPr>
                  </w:pPr>
                  <w:r>
                    <w:rPr>
                      <w:rFonts w:hint="eastAsia"/>
                      <w:bCs/>
                      <w:sz w:val="21"/>
                      <w:szCs w:val="21"/>
                    </w:rPr>
                    <w:t>超声波清洗</w:t>
                  </w:r>
                </w:p>
              </w:tc>
              <w:tc>
                <w:tcPr>
                  <w:tcW w:w="638" w:type="pct"/>
                  <w:vAlign w:val="center"/>
                </w:tcPr>
                <w:p w14:paraId="2809C1CC">
                  <w:pPr>
                    <w:spacing w:line="276" w:lineRule="auto"/>
                    <w:jc w:val="center"/>
                    <w:rPr>
                      <w:bCs/>
                      <w:sz w:val="21"/>
                      <w:szCs w:val="21"/>
                    </w:rPr>
                  </w:pPr>
                  <w:r>
                    <w:rPr>
                      <w:rFonts w:hint="eastAsia"/>
                      <w:bCs/>
                      <w:sz w:val="21"/>
                      <w:szCs w:val="21"/>
                    </w:rPr>
                    <w:t>S</w:t>
                  </w:r>
                  <w:r>
                    <w:rPr>
                      <w:rFonts w:hint="eastAsia"/>
                      <w:bCs/>
                      <w:sz w:val="21"/>
                      <w:szCs w:val="21"/>
                      <w:vertAlign w:val="subscript"/>
                    </w:rPr>
                    <w:t>1-4</w:t>
                  </w:r>
                </w:p>
              </w:tc>
              <w:tc>
                <w:tcPr>
                  <w:tcW w:w="1095" w:type="pct"/>
                  <w:vAlign w:val="center"/>
                </w:tcPr>
                <w:p w14:paraId="2354CFEB">
                  <w:pPr>
                    <w:spacing w:line="276" w:lineRule="auto"/>
                    <w:jc w:val="center"/>
                    <w:rPr>
                      <w:bCs/>
                      <w:sz w:val="21"/>
                      <w:szCs w:val="21"/>
                    </w:rPr>
                  </w:pPr>
                  <w:r>
                    <w:rPr>
                      <w:rFonts w:hint="eastAsia"/>
                      <w:bCs/>
                      <w:sz w:val="21"/>
                      <w:szCs w:val="21"/>
                    </w:rPr>
                    <w:t>清洗废液和废水</w:t>
                  </w:r>
                </w:p>
              </w:tc>
              <w:tc>
                <w:tcPr>
                  <w:tcW w:w="2060" w:type="pct"/>
                  <w:vMerge w:val="continue"/>
                  <w:vAlign w:val="center"/>
                </w:tcPr>
                <w:p w14:paraId="01BCF749">
                  <w:pPr>
                    <w:spacing w:line="276" w:lineRule="auto"/>
                    <w:jc w:val="center"/>
                    <w:rPr>
                      <w:bCs/>
                      <w:sz w:val="21"/>
                      <w:szCs w:val="21"/>
                    </w:rPr>
                  </w:pPr>
                </w:p>
              </w:tc>
            </w:tr>
            <w:tr w14:paraId="3522C2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11ECC4BD">
                  <w:pPr>
                    <w:spacing w:line="276" w:lineRule="auto"/>
                    <w:jc w:val="center"/>
                    <w:rPr>
                      <w:bCs/>
                      <w:sz w:val="21"/>
                      <w:szCs w:val="21"/>
                    </w:rPr>
                  </w:pPr>
                </w:p>
              </w:tc>
              <w:tc>
                <w:tcPr>
                  <w:tcW w:w="730" w:type="pct"/>
                  <w:vAlign w:val="center"/>
                </w:tcPr>
                <w:p w14:paraId="67DF03A9">
                  <w:pPr>
                    <w:spacing w:line="276" w:lineRule="auto"/>
                    <w:jc w:val="center"/>
                    <w:rPr>
                      <w:rFonts w:hint="eastAsia" w:eastAsiaTheme="minorEastAsia"/>
                      <w:bCs/>
                      <w:sz w:val="21"/>
                      <w:szCs w:val="21"/>
                      <w:lang w:val="en-US" w:eastAsia="zh-CN"/>
                    </w:rPr>
                  </w:pPr>
                  <w:r>
                    <w:rPr>
                      <w:rFonts w:hint="eastAsia"/>
                      <w:bCs/>
                      <w:sz w:val="21"/>
                      <w:szCs w:val="21"/>
                    </w:rPr>
                    <w:t>硫化</w:t>
                  </w:r>
                  <w:r>
                    <w:rPr>
                      <w:rStyle w:val="23"/>
                      <w:rFonts w:hint="eastAsia" w:eastAsiaTheme="minorEastAsia" w:cstheme="minorBidi"/>
                      <w:kern w:val="2"/>
                      <w:lang w:val="en-US" w:eastAsia="zh-CN"/>
                    </w:rPr>
                    <w:t>注胶</w:t>
                  </w:r>
                </w:p>
              </w:tc>
              <w:tc>
                <w:tcPr>
                  <w:tcW w:w="638" w:type="pct"/>
                  <w:vAlign w:val="center"/>
                </w:tcPr>
                <w:p w14:paraId="0B9B85A4">
                  <w:pPr>
                    <w:spacing w:line="276" w:lineRule="auto"/>
                    <w:jc w:val="center"/>
                    <w:rPr>
                      <w:bCs/>
                      <w:sz w:val="21"/>
                      <w:szCs w:val="21"/>
                    </w:rPr>
                  </w:pPr>
                  <w:r>
                    <w:rPr>
                      <w:rFonts w:hint="eastAsia"/>
                      <w:bCs/>
                      <w:sz w:val="21"/>
                      <w:szCs w:val="21"/>
                    </w:rPr>
                    <w:t>S</w:t>
                  </w:r>
                  <w:r>
                    <w:rPr>
                      <w:rFonts w:hint="eastAsia"/>
                      <w:bCs/>
                      <w:sz w:val="21"/>
                      <w:szCs w:val="21"/>
                      <w:vertAlign w:val="subscript"/>
                    </w:rPr>
                    <w:t>1-5</w:t>
                  </w:r>
                </w:p>
              </w:tc>
              <w:tc>
                <w:tcPr>
                  <w:tcW w:w="1095" w:type="pct"/>
                  <w:vAlign w:val="center"/>
                </w:tcPr>
                <w:p w14:paraId="3B45F9A6">
                  <w:pPr>
                    <w:spacing w:line="276" w:lineRule="auto"/>
                    <w:jc w:val="center"/>
                    <w:rPr>
                      <w:bCs/>
                      <w:sz w:val="21"/>
                      <w:szCs w:val="21"/>
                    </w:rPr>
                  </w:pPr>
                  <w:r>
                    <w:rPr>
                      <w:rFonts w:hint="eastAsia"/>
                      <w:bCs/>
                      <w:sz w:val="21"/>
                      <w:szCs w:val="21"/>
                    </w:rPr>
                    <w:t>废脱模剂</w:t>
                  </w:r>
                </w:p>
              </w:tc>
              <w:tc>
                <w:tcPr>
                  <w:tcW w:w="2060" w:type="pct"/>
                  <w:vMerge w:val="continue"/>
                  <w:vAlign w:val="center"/>
                </w:tcPr>
                <w:p w14:paraId="76DE34F6">
                  <w:pPr>
                    <w:spacing w:line="276" w:lineRule="auto"/>
                    <w:jc w:val="center"/>
                    <w:rPr>
                      <w:bCs/>
                      <w:sz w:val="21"/>
                      <w:szCs w:val="21"/>
                    </w:rPr>
                  </w:pPr>
                </w:p>
              </w:tc>
            </w:tr>
            <w:tr w14:paraId="1B396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2920109A">
                  <w:pPr>
                    <w:spacing w:line="276" w:lineRule="auto"/>
                    <w:jc w:val="center"/>
                    <w:rPr>
                      <w:bCs/>
                      <w:sz w:val="21"/>
                      <w:szCs w:val="21"/>
                    </w:rPr>
                  </w:pPr>
                </w:p>
              </w:tc>
              <w:tc>
                <w:tcPr>
                  <w:tcW w:w="730" w:type="pct"/>
                  <w:vAlign w:val="center"/>
                </w:tcPr>
                <w:p w14:paraId="42BF56B5">
                  <w:pPr>
                    <w:spacing w:line="276" w:lineRule="auto"/>
                    <w:jc w:val="center"/>
                    <w:rPr>
                      <w:bCs/>
                      <w:sz w:val="21"/>
                      <w:szCs w:val="21"/>
                    </w:rPr>
                  </w:pPr>
                  <w:r>
                    <w:rPr>
                      <w:rFonts w:hint="eastAsia"/>
                      <w:bCs/>
                      <w:sz w:val="21"/>
                      <w:szCs w:val="21"/>
                    </w:rPr>
                    <w:t>抛边</w:t>
                  </w:r>
                </w:p>
              </w:tc>
              <w:tc>
                <w:tcPr>
                  <w:tcW w:w="638" w:type="pct"/>
                  <w:vAlign w:val="center"/>
                </w:tcPr>
                <w:p w14:paraId="0CF7F925">
                  <w:pPr>
                    <w:spacing w:line="276" w:lineRule="auto"/>
                    <w:jc w:val="center"/>
                    <w:rPr>
                      <w:bCs/>
                      <w:sz w:val="21"/>
                      <w:szCs w:val="21"/>
                    </w:rPr>
                  </w:pPr>
                  <w:r>
                    <w:rPr>
                      <w:rFonts w:hint="eastAsia"/>
                      <w:bCs/>
                      <w:sz w:val="21"/>
                      <w:szCs w:val="21"/>
                    </w:rPr>
                    <w:t>S</w:t>
                  </w:r>
                  <w:r>
                    <w:rPr>
                      <w:rFonts w:hint="eastAsia"/>
                      <w:bCs/>
                      <w:sz w:val="21"/>
                      <w:szCs w:val="21"/>
                      <w:vertAlign w:val="subscript"/>
                    </w:rPr>
                    <w:t>1-6</w:t>
                  </w:r>
                </w:p>
              </w:tc>
              <w:tc>
                <w:tcPr>
                  <w:tcW w:w="1095" w:type="pct"/>
                  <w:vAlign w:val="center"/>
                </w:tcPr>
                <w:p w14:paraId="50CE28D0">
                  <w:pPr>
                    <w:spacing w:line="276" w:lineRule="auto"/>
                    <w:jc w:val="center"/>
                    <w:rPr>
                      <w:bCs/>
                      <w:sz w:val="21"/>
                      <w:szCs w:val="21"/>
                    </w:rPr>
                  </w:pPr>
                  <w:r>
                    <w:rPr>
                      <w:rFonts w:hint="eastAsia"/>
                      <w:bCs/>
                      <w:sz w:val="21"/>
                      <w:szCs w:val="21"/>
                    </w:rPr>
                    <w:t>橡胶边角料</w:t>
                  </w:r>
                </w:p>
              </w:tc>
              <w:tc>
                <w:tcPr>
                  <w:tcW w:w="2060" w:type="pct"/>
                  <w:vAlign w:val="center"/>
                </w:tcPr>
                <w:p w14:paraId="446116FD">
                  <w:pPr>
                    <w:spacing w:line="276" w:lineRule="auto"/>
                    <w:jc w:val="center"/>
                    <w:rPr>
                      <w:bCs/>
                      <w:sz w:val="21"/>
                      <w:szCs w:val="21"/>
                    </w:rPr>
                  </w:pPr>
                  <w:r>
                    <w:rPr>
                      <w:rFonts w:hint="eastAsia"/>
                      <w:bCs/>
                      <w:sz w:val="21"/>
                      <w:szCs w:val="21"/>
                    </w:rPr>
                    <w:t>收集后暂存于一般固废暂存间，定期外售，综合利用</w:t>
                  </w:r>
                </w:p>
              </w:tc>
            </w:tr>
          </w:tbl>
          <w:p w14:paraId="52358DF4">
            <w:pPr>
              <w:pStyle w:val="3"/>
              <w:spacing w:before="0" w:after="0" w:line="360" w:lineRule="auto"/>
              <w:ind w:firstLine="482" w:firstLineChars="200"/>
              <w:rPr>
                <w:rFonts w:ascii="Times New Roman" w:hAnsi="Times New Roman" w:eastAsia="宋体" w:cs="Times New Roman"/>
                <w:b w:val="0"/>
                <w:bCs w:val="0"/>
                <w:sz w:val="24"/>
                <w:szCs w:val="24"/>
              </w:rPr>
            </w:pPr>
            <w:r>
              <w:rPr>
                <w:rFonts w:hint="eastAsia" w:ascii="Times New Roman" w:hAnsi="Times New Roman" w:eastAsia="宋体" w:cs="Times New Roman"/>
                <w:sz w:val="24"/>
                <w:szCs w:val="24"/>
              </w:rPr>
              <w:t>（2）控制臂总成生产工艺流程简述</w:t>
            </w:r>
          </w:p>
          <w:p w14:paraId="072FDB06">
            <w:pPr>
              <w:pStyle w:val="3"/>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 w:val="0"/>
                <w:bCs w:val="0"/>
                <w:sz w:val="24"/>
                <w:szCs w:val="24"/>
              </w:rPr>
              <w:t>本项目控制臂总成有两种成品，其中控制臂总成2为主要产品，占92%；控制臂总成1为次要产品，占8%。控制臂总成1外购无缝钢管为原料，经成型、弯管、压机、切管后与外购零部件进行焊接，再通过电泳（外协）形成成品，最终放于2楼装配区堆放。控制臂总成2以钢板为原料，经下料、退火、冲压后成型后、与外购零部件进行焊接，再通过电泳（外协）形成成品，最终放于2楼装配区堆放。</w:t>
            </w:r>
          </w:p>
          <w:p w14:paraId="4D5E1380">
            <w:pPr>
              <w:spacing w:line="360" w:lineRule="auto"/>
            </w:pPr>
            <w:r>
              <w:pict>
                <v:group id="_x0000_s2160" o:spid="_x0000_s2160" o:spt="203" style="height:468.35pt;width:390.7pt;" coordorigin="2834,3975" coordsize="7813,9367" editas="canvas">
                  <o:lock v:ext="edit"/>
                  <v:shape id="_x0000_s2161" o:spid="_x0000_s2161" o:spt="75" type="#_x0000_t75" style="position:absolute;left:2834;top:3975;height:9367;width:7813;" filled="f" stroked="f" coordsize="21600,21600">
                    <v:path/>
                    <v:fill on="f" focussize="0,0"/>
                    <v:stroke on="f"/>
                    <v:imagedata o:title=""/>
                    <o:lock v:ext="edit" text="t" aspectratio="t"/>
                  </v:shape>
                  <v:rect id="_x0000_s2162" o:spid="_x0000_s2162" o:spt="1" style="position:absolute;left:7784;top:5158;height:481;width:674;" filled="f" stroked="f" coordsize="21600,21600">
                    <v:path/>
                    <v:fill on="f" focussize="0,0"/>
                    <v:stroke on="f"/>
                    <v:imagedata o:title=""/>
                    <o:lock v:ext="edit" aspectratio="f"/>
                    <v:textbox>
                      <w:txbxContent>
                        <w:p w14:paraId="61534472">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钢板</w:t>
                          </w:r>
                        </w:p>
                      </w:txbxContent>
                    </v:textbox>
                  </v:rect>
                  <v:rect id="_x0000_s2163" o:spid="_x0000_s2163" o:spt="1" style="position:absolute;left:7777;top:6193;height:481;width:671;" fillcolor="#FFFFFF" filled="t" stroked="t" coordsize="21600,21600">
                    <v:path/>
                    <v:fill on="t" color2="#FFFFFF" focussize="0,0"/>
                    <v:stroke color="#000000" joinstyle="miter"/>
                    <v:imagedata o:title=""/>
                    <o:lock v:ext="edit" aspectratio="f"/>
                    <v:textbox inset="0.5mm,1.27mm,0.5mm,1.27mm">
                      <w:txbxContent>
                        <w:p w14:paraId="69EDC2E1">
                          <w:pPr>
                            <w:jc w:val="center"/>
                            <w:rPr>
                              <w:rFonts w:hint="eastAsia" w:ascii="黑体" w:hAnsi="黑体" w:eastAsia="黑体"/>
                              <w:sz w:val="18"/>
                              <w:szCs w:val="18"/>
                              <w:lang w:val="en-US" w:eastAsia="zh-CN"/>
                            </w:rPr>
                          </w:pPr>
                          <w:r>
                            <w:rPr>
                              <w:rFonts w:hint="eastAsia" w:ascii="黑体" w:hAnsi="黑体" w:eastAsia="黑体"/>
                              <w:sz w:val="18"/>
                              <w:szCs w:val="18"/>
                              <w:lang w:val="en-US" w:eastAsia="zh-CN"/>
                            </w:rPr>
                            <w:t>下料</w:t>
                          </w:r>
                        </w:p>
                      </w:txbxContent>
                    </v:textbox>
                  </v:rect>
                  <v:shape id="_x0000_s2164" o:spid="_x0000_s2164" o:spt="32" type="#_x0000_t32" style="position:absolute;left:8456;top:6664;flip:x;height:0;width:659;" filled="f" stroked="t" coordsize="21600,21600">
                    <v:path arrowok="t"/>
                    <v:fill on="f" focussize="0,0"/>
                    <v:stroke color="#FF0000" dashstyle="dash" startarrow="block" startarrowwidth="narrow" endarrowwidth="narrow"/>
                    <v:imagedata o:title=""/>
                    <o:lock v:ext="edit" aspectratio="f"/>
                  </v:shape>
                  <v:shape id="_x0000_s2165" o:spid="_x0000_s2165" style="position:absolute;left:8475;top:6056;height:360;width:640;" filled="f" stroked="t" coordsize="780,714" path="m0,714c105,489,211,265,300,255c389,245,452,694,532,652c612,610,696,305,780,0e">
                    <v:path arrowok="t"/>
                    <v:fill on="f" focussize="0,0"/>
                    <v:stroke color="#00B050" dashstyle="dash" endarrow="block" endarrowwidth="narrow"/>
                    <v:imagedata o:title=""/>
                    <o:lock v:ext="edit" aspectratio="f"/>
                  </v:shape>
                  <v:rect id="_x0000_s2166" o:spid="_x0000_s2166" o:spt="1" style="position:absolute;left:4237;top:5170;height:480;width:1439;" filled="f" stroked="f" coordsize="21600,21600">
                    <v:path/>
                    <v:fill on="f" focussize="0,0"/>
                    <v:stroke on="f"/>
                    <v:imagedata o:title=""/>
                    <o:lock v:ext="edit" aspectratio="f"/>
                    <v:textbox>
                      <w:txbxContent>
                        <w:p w14:paraId="6F84964F">
                          <w:pPr>
                            <w:ind w:left="0" w:leftChars="0" w:right="0" w:rightChars="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外购无缝钢管</w:t>
                          </w:r>
                        </w:p>
                      </w:txbxContent>
                    </v:textbox>
                  </v:rect>
                  <v:rect id="_x0000_s2167" o:spid="_x0000_s2167" o:spt="1" style="position:absolute;left:4629;top:6190;height:480;width:647;" fillcolor="#FFFFFF" filled="t" stroked="t" coordsize="21600,21600">
                    <v:path/>
                    <v:fill on="t" color2="#FFFFFF" focussize="0,0"/>
                    <v:stroke color="#000000" joinstyle="miter"/>
                    <v:imagedata o:title=""/>
                    <o:lock v:ext="edit" aspectratio="f"/>
                    <v:textbox inset="0.5mm,1.27mm,0.5mm,1.27mm">
                      <w:txbxContent>
                        <w:p w14:paraId="068B5272">
                          <w:pPr>
                            <w:jc w:val="center"/>
                            <w:rPr>
                              <w:rFonts w:hint="eastAsia" w:ascii="黑体" w:hAnsi="黑体" w:eastAsia="黑体"/>
                              <w:sz w:val="18"/>
                              <w:szCs w:val="18"/>
                              <w:lang w:val="en-US" w:eastAsia="zh-CN"/>
                            </w:rPr>
                          </w:pPr>
                          <w:r>
                            <w:rPr>
                              <w:rFonts w:hint="eastAsia" w:ascii="黑体" w:hAnsi="黑体" w:eastAsia="黑体"/>
                              <w:sz w:val="18"/>
                              <w:szCs w:val="18"/>
                              <w:lang w:val="en-US" w:eastAsia="zh-CN"/>
                            </w:rPr>
                            <w:t>成型</w:t>
                          </w:r>
                        </w:p>
                      </w:txbxContent>
                    </v:textbox>
                  </v:rect>
                  <v:rect id="_x0000_s2168" o:spid="_x0000_s2168" o:spt="1" style="position:absolute;left:4605;top:7174;height:480;width:671;" fillcolor="#FFFFFF" filled="t" stroked="t" coordsize="21600,21600">
                    <v:path/>
                    <v:fill on="t" color2="#FFFFFF" focussize="0,0"/>
                    <v:stroke color="#000000" joinstyle="miter"/>
                    <v:imagedata o:title=""/>
                    <o:lock v:ext="edit" aspectratio="f"/>
                    <v:textbox>
                      <w:txbxContent>
                        <w:p w14:paraId="1B44B9FE">
                          <w:pPr>
                            <w:jc w:val="center"/>
                            <w:rPr>
                              <w:rFonts w:hint="eastAsia" w:ascii="黑体" w:hAnsi="黑体" w:eastAsia="黑体"/>
                              <w:sz w:val="18"/>
                              <w:szCs w:val="18"/>
                              <w:lang w:eastAsia="zh-CN"/>
                            </w:rPr>
                          </w:pPr>
                          <w:r>
                            <w:rPr>
                              <w:rFonts w:hint="eastAsia" w:ascii="黑体" w:hAnsi="黑体" w:eastAsia="黑体"/>
                              <w:sz w:val="18"/>
                              <w:szCs w:val="18"/>
                              <w:lang w:eastAsia="zh-CN"/>
                            </w:rPr>
                            <w:t>弯管</w:t>
                          </w:r>
                        </w:p>
                      </w:txbxContent>
                    </v:textbox>
                  </v:rect>
                  <v:rect id="_x0000_s2169" o:spid="_x0000_s2169" o:spt="1" style="position:absolute;left:4605;top:8138;height:480;width:671;" fillcolor="#FFFFFF" filled="t" stroked="t" coordsize="21600,21600">
                    <v:path/>
                    <v:fill on="t" color2="#FFFFFF" focussize="0,0"/>
                    <v:stroke color="#000000" joinstyle="miter"/>
                    <v:imagedata o:title=""/>
                    <o:lock v:ext="edit" aspectratio="f"/>
                    <v:textbox>
                      <w:txbxContent>
                        <w:p w14:paraId="43784737">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压机</w:t>
                          </w:r>
                        </w:p>
                      </w:txbxContent>
                    </v:textbox>
                  </v:rect>
                  <v:rect id="_x0000_s2170" o:spid="_x0000_s2170" o:spt="1" style="position:absolute;left:4599;top:9166;height:480;width:670;" fillcolor="#FFFFFF" filled="t" stroked="t" coordsize="21600,21600">
                    <v:path/>
                    <v:fill on="t" color2="#FFFFFF" focussize="0,0"/>
                    <v:stroke color="#000000" joinstyle="miter"/>
                    <v:imagedata o:title=""/>
                    <o:lock v:ext="edit" aspectratio="f"/>
                    <v:textbox>
                      <w:txbxContent>
                        <w:p w14:paraId="4674A710">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切管</w:t>
                          </w:r>
                        </w:p>
                      </w:txbxContent>
                    </v:textbox>
                  </v:rect>
                  <v:rect id="_x0000_s2171" o:spid="_x0000_s2171" o:spt="1" style="position:absolute;left:9104;top:5700;height:380;width:1500;v-text-anchor:middle;" fillcolor="#00B05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">
                    <v:path/>
                    <v:fill on="t" color2="#FFFFFF" opacity="13107f" focussize="0,0"/>
                    <v:stroke on="f"/>
                    <v:imagedata o:title=""/>
                    <o:lock v:ext="edit" aspectratio="f"/>
                    <v:textbox inset="0mm,0mm,0mm,0mm">
                      <w:txbxContent>
                        <w:p w14:paraId="06B62704">
                          <w:pPr>
                            <w:spacing w:line="240" w:lineRule="atLeast"/>
                            <w:jc w:val="center"/>
                            <w:rPr>
                              <w:rFonts w:hAnsi="黑体" w:eastAsia="黑体"/>
                              <w:color w:val="00B050"/>
                              <w:sz w:val="21"/>
                              <w:szCs w:val="21"/>
                            </w:rPr>
                          </w:pPr>
                          <w:r>
                            <w:rPr>
                              <w:rFonts w:hint="eastAsia" w:eastAsia="黑体"/>
                              <w:color w:val="00B050"/>
                              <w:sz w:val="18"/>
                              <w:szCs w:val="18"/>
                            </w:rPr>
                            <w:t>G</w:t>
                          </w:r>
                          <w:r>
                            <w:rPr>
                              <w:rFonts w:hint="eastAsia" w:eastAsia="黑体"/>
                              <w:color w:val="00B050"/>
                              <w:sz w:val="18"/>
                              <w:szCs w:val="18"/>
                              <w:vertAlign w:val="subscript"/>
                              <w:lang w:val="en-US" w:eastAsia="zh-CN"/>
                            </w:rPr>
                            <w:t>2</w:t>
                          </w:r>
                          <w:r>
                            <w:rPr>
                              <w:rFonts w:hint="eastAsia" w:eastAsia="黑体"/>
                              <w:color w:val="00B050"/>
                              <w:sz w:val="18"/>
                              <w:szCs w:val="18"/>
                              <w:vertAlign w:val="subscript"/>
                            </w:rPr>
                            <w:t>-</w:t>
                          </w:r>
                          <w:r>
                            <w:rPr>
                              <w:rFonts w:hint="eastAsia" w:eastAsia="黑体"/>
                              <w:color w:val="00B050"/>
                              <w:sz w:val="18"/>
                              <w:szCs w:val="18"/>
                              <w:vertAlign w:val="subscript"/>
                              <w:lang w:val="en-US" w:eastAsia="zh-CN"/>
                            </w:rPr>
                            <w:t>2</w:t>
                          </w:r>
                          <w:r>
                            <w:rPr>
                              <w:rFonts w:hint="eastAsia" w:eastAsia="黑体"/>
                              <w:color w:val="00B050"/>
                              <w:sz w:val="18"/>
                              <w:szCs w:val="18"/>
                            </w:rPr>
                            <w:t>：</w:t>
                          </w:r>
                          <w:r>
                            <w:rPr>
                              <w:rFonts w:hint="eastAsia" w:eastAsia="黑体"/>
                              <w:color w:val="00B050"/>
                              <w:sz w:val="18"/>
                              <w:szCs w:val="18"/>
                              <w:lang w:val="en-US" w:eastAsia="zh-CN"/>
                            </w:rPr>
                            <w:t>切割粉尘</w:t>
                          </w:r>
                        </w:p>
                      </w:txbxContent>
                    </v:textbox>
                  </v:rect>
                  <v:rect id="_x0000_s2172" o:spid="_x0000_s2172" o:spt="1" style="position:absolute;left:9104;top:6460;height:380;width:1500;v-text-anchor:middle;" fillcolor="#FFCCCC" filled="t" stroked="f" coordsize="21600,21600">
                    <v:path/>
                    <v:fill on="t" color2="#FFFFFF" focussize="0,0"/>
                    <v:stroke on="f"/>
                    <v:imagedata o:title=""/>
                    <o:lock v:ext="edit" aspectratio="f"/>
                    <v:textbox inset="0mm,0mm,0mm,0mm">
                      <w:txbxContent>
                        <w:p w14:paraId="2473BA3F">
                          <w:pPr>
                            <w:ind w:left="0" w:leftChars="0" w:right="0" w:rightChars="0" w:firstLine="0" w:firstLineChars="0"/>
                            <w:jc w:val="center"/>
                            <w:rPr>
                              <w:rFonts w:hint="eastAsia" w:eastAsia="黑体"/>
                              <w:color w:val="00B050"/>
                              <w:sz w:val="18"/>
                              <w:szCs w:val="18"/>
                            </w:rPr>
                          </w:pPr>
                          <w:r>
                            <w:rPr>
                              <w:rFonts w:hint="eastAsia" w:eastAsia="黑体"/>
                              <w:color w:val="FF0000"/>
                              <w:sz w:val="18"/>
                              <w:szCs w:val="18"/>
                              <w:highlight w:val="none"/>
                            </w:rPr>
                            <w:t>S</w:t>
                          </w:r>
                          <w:r>
                            <w:rPr>
                              <w:rFonts w:hint="eastAsia" w:eastAsia="黑体"/>
                              <w:color w:val="FF0000"/>
                              <w:sz w:val="18"/>
                              <w:szCs w:val="18"/>
                              <w:highlight w:val="none"/>
                              <w:vertAlign w:val="subscript"/>
                              <w:lang w:val="en-US" w:eastAsia="zh-CN"/>
                            </w:rPr>
                            <w:t>2</w:t>
                          </w:r>
                          <w:r>
                            <w:rPr>
                              <w:rFonts w:hint="eastAsia" w:eastAsia="黑体"/>
                              <w:color w:val="FF0000"/>
                              <w:sz w:val="18"/>
                              <w:szCs w:val="18"/>
                              <w:highlight w:val="none"/>
                              <w:vertAlign w:val="subscript"/>
                            </w:rPr>
                            <w:t>-</w:t>
                          </w:r>
                          <w:r>
                            <w:rPr>
                              <w:rFonts w:hint="eastAsia" w:eastAsia="黑体"/>
                              <w:color w:val="FF0000"/>
                              <w:sz w:val="18"/>
                              <w:szCs w:val="18"/>
                              <w:highlight w:val="none"/>
                              <w:vertAlign w:val="subscript"/>
                              <w:lang w:val="en-US" w:eastAsia="zh-CN"/>
                            </w:rPr>
                            <w:t>2</w:t>
                          </w:r>
                          <w:r>
                            <w:rPr>
                              <w:rFonts w:hint="eastAsia" w:eastAsia="黑体"/>
                              <w:color w:val="FF0000"/>
                              <w:sz w:val="18"/>
                              <w:szCs w:val="18"/>
                              <w:highlight w:val="none"/>
                            </w:rPr>
                            <w:t>：废边角料</w:t>
                          </w:r>
                        </w:p>
                      </w:txbxContent>
                    </v:textbox>
                  </v:rect>
                  <v:rect id="_x0000_s2173" o:spid="_x0000_s2173" o:spt="1" style="position:absolute;left:3925;top:4526;height:480;width:2200;" filled="f" stroked="f" coordsize="21600,21600">
                    <v:path/>
                    <v:fill on="f" focussize="0,0"/>
                    <v:stroke on="f"/>
                    <v:imagedata o:title=""/>
                    <o:lock v:ext="edit" aspectratio="f"/>
                    <v:textbox>
                      <w:txbxContent>
                        <w:p w14:paraId="639397BA">
                          <w:pPr>
                            <w:ind w:left="0" w:leftChars="0" w:right="0" w:rightChars="0" w:firstLine="0" w:firstLineChars="0"/>
                            <w:jc w:val="center"/>
                            <w:rPr>
                              <w:rFonts w:hint="default" w:eastAsia="宋体"/>
                              <w:sz w:val="18"/>
                              <w:szCs w:val="18"/>
                              <w:lang w:val="en-US" w:eastAsia="zh-CN"/>
                            </w:rPr>
                          </w:pPr>
                          <w:r>
                            <w:rPr>
                              <w:rFonts w:hint="default" w:ascii="Times New Roman" w:hAnsi="Times New Roman" w:eastAsia="黑体" w:cs="Times New Roman"/>
                              <w:sz w:val="18"/>
                              <w:szCs w:val="18"/>
                              <w:lang w:val="en-US" w:eastAsia="zh-CN"/>
                            </w:rPr>
                            <w:t>控制臂总成产品1</w:t>
                          </w:r>
                        </w:p>
                      </w:txbxContent>
                    </v:textbox>
                  </v:rect>
                  <v:rect id="_x0000_s2174" o:spid="_x0000_s2174" o:spt="1" style="position:absolute;left:7143;top:4531;height:480;width:1889;" filled="f" stroked="f" coordsize="21600,21600">
                    <v:path/>
                    <v:fill on="f" focussize="0,0"/>
                    <v:stroke on="f"/>
                    <v:imagedata o:title=""/>
                    <o:lock v:ext="edit" aspectratio="f"/>
                    <v:textbox>
                      <w:txbxContent>
                        <w:p w14:paraId="76D9CC33">
                          <w:pPr>
                            <w:ind w:left="0" w:leftChars="0" w:right="0" w:rightChars="0" w:firstLine="0" w:firstLineChars="0"/>
                            <w:jc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控制臂总成产品2</w:t>
                          </w:r>
                        </w:p>
                      </w:txbxContent>
                    </v:textbox>
                  </v:rect>
                  <v:rect id="_x0000_s2175" o:spid="_x0000_s2175" o:spt="1" style="position:absolute;left:5900;top:11487;height:480;width:1221;" fillcolor="#FFFFFF" filled="t" stroked="t" coordsize="21600,21600">
                    <v:path/>
                    <v:fill on="t" color2="#FFFFFF" focussize="0,0"/>
                    <v:stroke color="#000000" joinstyle="miter"/>
                    <v:imagedata o:title=""/>
                    <o:lock v:ext="edit" aspectratio="f"/>
                    <v:textbox>
                      <w:txbxContent>
                        <w:p w14:paraId="4F6EE44D">
                          <w:pPr>
                            <w:jc w:val="center"/>
                            <w:rPr>
                              <w:rFonts w:hint="eastAsia" w:ascii="黑体" w:hAnsi="黑体" w:eastAsia="黑体"/>
                              <w:sz w:val="21"/>
                              <w:szCs w:val="21"/>
                              <w:lang w:val="en-US" w:eastAsia="zh-CN"/>
                            </w:rPr>
                          </w:pPr>
                          <w:r>
                            <w:rPr>
                              <w:rFonts w:hint="eastAsia" w:ascii="黑体" w:hAnsi="黑体" w:eastAsia="黑体"/>
                              <w:sz w:val="18"/>
                              <w:szCs w:val="18"/>
                              <w:lang w:val="en-US" w:eastAsia="zh-CN"/>
                            </w:rPr>
                            <w:t>电泳（外协）</w:t>
                          </w:r>
                        </w:p>
                      </w:txbxContent>
                    </v:textbox>
                  </v:rect>
                  <v:rect id="_x0000_s2176" o:spid="_x0000_s2176" o:spt="1" style="position:absolute;left:5562;top:12603;height:480;width:1919;" filled="f" stroked="f" coordsize="21600,21600">
                    <v:path/>
                    <v:fill on="f" focussize="0,0"/>
                    <v:stroke on="f"/>
                    <v:imagedata o:title=""/>
                    <o:lock v:ext="edit" aspectratio="f"/>
                    <v:textbox inset="0.5mm,1.27mm,0.5mm,1.27mm">
                      <w:txbxContent>
                        <w:p w14:paraId="2A47F3FE">
                          <w:pPr>
                            <w:ind w:left="0" w:leftChars="0" w:right="0" w:rightChars="0" w:firstLine="0" w:firstLineChars="0"/>
                            <w:jc w:val="center"/>
                            <w:rPr>
                              <w:rFonts w:hint="default" w:ascii="黑体" w:hAnsi="黑体" w:eastAsia="黑体"/>
                              <w:sz w:val="18"/>
                              <w:szCs w:val="18"/>
                              <w:lang w:val="en-US" w:eastAsia="zh-CN"/>
                            </w:rPr>
                          </w:pPr>
                          <w:r>
                            <w:rPr>
                              <w:rFonts w:hint="default" w:ascii="Times New Roman" w:hAnsi="Times New Roman" w:eastAsia="黑体" w:cs="Times New Roman"/>
                              <w:sz w:val="18"/>
                              <w:szCs w:val="18"/>
                              <w:lang w:val="en-US" w:eastAsia="zh-CN"/>
                            </w:rPr>
                            <w:t>2楼</w:t>
                          </w:r>
                          <w:r>
                            <w:rPr>
                              <w:rFonts w:hint="eastAsia" w:ascii="黑体" w:hAnsi="黑体" w:eastAsia="黑体"/>
                              <w:sz w:val="18"/>
                              <w:szCs w:val="18"/>
                              <w:lang w:val="en-US" w:eastAsia="zh-CN"/>
                            </w:rPr>
                            <w:t>配件区堆放</w:t>
                          </w:r>
                        </w:p>
                      </w:txbxContent>
                    </v:textbox>
                  </v:rect>
                  <v:rect id="_x0000_s2177" o:spid="_x0000_s2177" o:spt="1" style="position:absolute;left:7784;top:7622;height:480;width:660;" fillcolor="#FFFFFF" filled="t" stroked="t" coordsize="21600,21600">
                    <v:path/>
                    <v:fill on="t" color2="#FFFFFF" focussize="0,0"/>
                    <v:stroke color="#000000" joinstyle="miter"/>
                    <v:imagedata o:title=""/>
                    <o:lock v:ext="edit" aspectratio="f"/>
                    <v:textbox inset="0.5mm,1.27mm,0.5mm,1.27mm">
                      <w:txbxContent>
                        <w:p w14:paraId="6F023911">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退火</w:t>
                          </w:r>
                        </w:p>
                      </w:txbxContent>
                    </v:textbox>
                  </v:rect>
                  <v:rect id="_x0000_s2178" o:spid="_x0000_s2178" o:spt="1" style="position:absolute;left:7777;top:9158;height:480;width:660;" fillcolor="#FFFFFF" filled="t" stroked="t" coordsize="21600,21600">
                    <v:path/>
                    <v:fill on="t" color2="#FFFFFF" focussize="0,0"/>
                    <v:stroke color="#000000" joinstyle="miter"/>
                    <v:imagedata o:title=""/>
                    <o:lock v:ext="edit" aspectratio="f"/>
                    <v:textbox inset="0.5mm,1.27mm,0.5mm,1.27mm">
                      <w:txbxContent>
                        <w:p w14:paraId="0AFC7FA8">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冲压</w:t>
                          </w:r>
                        </w:p>
                      </w:txbxContent>
                    </v:textbox>
                  </v:rect>
                  <v:shape id="_x0000_s2179" o:spid="_x0000_s2179" o:spt="32" type="#_x0000_t32" style="position:absolute;left:8113;top:5639;flip:x;height:554;width:8;" filled="f" stroked="t" coordsize="21600,21600">
                    <v:path arrowok="t"/>
                    <v:fill on="f" focussize="0,0"/>
                    <v:stroke color="#000000" endarrow="block" endarrowwidth="narrow"/>
                    <v:imagedata o:title=""/>
                    <o:lock v:ext="edit" aspectratio="f"/>
                  </v:shape>
                  <v:shape id="_x0000_s2180" o:spid="_x0000_s2180" o:spt="32" type="#_x0000_t32" style="position:absolute;left:8113;top:6674;height:948;width:1;" filled="f" stroked="t" coordsize="21600,21600">
                    <v:path arrowok="t"/>
                    <v:fill on="f" focussize="0,0"/>
                    <v:stroke color="#000000" endarrow="block" endarrowwidth="narrow"/>
                    <v:imagedata o:title=""/>
                    <o:lock v:ext="edit" aspectratio="f"/>
                  </v:shape>
                  <v:shape id="_x0000_s2181" o:spid="_x0000_s2181" o:spt="32" type="#_x0000_t32" style="position:absolute;left:8107;top:8102;flip:x;height:1056;width:7;" filled="f" stroked="t" coordsize="21600,21600">
                    <v:path arrowok="t"/>
                    <v:fill on="f" focussize="0,0"/>
                    <v:stroke color="#000000" endarrow="block" endarrowwidth="narrow"/>
                    <v:imagedata o:title=""/>
                    <o:lock v:ext="edit" aspectratio="f"/>
                  </v:shape>
                  <v:shape id="_x0000_s2182" o:spid="_x0000_s2182" o:spt="32" type="#_x0000_t32" style="position:absolute;left:4953;top:5650;flip:x;height:540;width:4;" filled="f" stroked="t" coordsize="21600,21600">
                    <v:path arrowok="t"/>
                    <v:fill on="f" focussize="0,0"/>
                    <v:stroke color="#000000" endarrow="block" endarrowwidth="narrow"/>
                    <v:imagedata o:title=""/>
                    <o:lock v:ext="edit" aspectratio="f"/>
                  </v:shape>
                  <v:shape id="_x0000_s2183" o:spid="_x0000_s2183" o:spt="32" type="#_x0000_t32" style="position:absolute;left:4941;top:6670;flip:x;height:504;width:12;" filled="f" stroked="t" coordsize="21600,21600">
                    <v:path arrowok="t"/>
                    <v:fill on="f" focussize="0,0"/>
                    <v:stroke color="#000000" endarrow="block" endarrowwidth="narrow"/>
                    <v:imagedata o:title=""/>
                    <o:lock v:ext="edit" aspectratio="f"/>
                  </v:shape>
                  <v:shape id="_x0000_s2184" o:spid="_x0000_s2184" o:spt="32" type="#_x0000_t32" style="position:absolute;left:4941;top:7654;height:484;width:0;" filled="f" stroked="t" coordsize="21600,21600">
                    <v:path arrowok="t"/>
                    <v:fill on="f" focussize="0,0"/>
                    <v:stroke color="#000000" endarrow="block" endarrowwidth="narrow"/>
                    <v:imagedata o:title=""/>
                    <o:lock v:ext="edit" aspectratio="f"/>
                  </v:shape>
                  <v:shape id="_x0000_s2185" o:spid="_x0000_s2185" o:spt="32" type="#_x0000_t32" style="position:absolute;left:4934;top:8618;flip:x;height:548;width:7;" filled="f" stroked="t" coordsize="21600,21600">
                    <v:path arrowok="t"/>
                    <v:fill on="f" focussize="0,0"/>
                    <v:stroke color="#000000" endarrow="block" endarrowwidth="narrow"/>
                    <v:imagedata o:title=""/>
                    <o:lock v:ext="edit" aspectratio="f"/>
                  </v:shape>
                  <v:shape id="_x0000_s2186" o:spid="_x0000_s2186" o:spt="32" type="#_x0000_t32" style="position:absolute;left:5289;top:9635;flip:x;height:0;width:640;" filled="f" stroked="t" coordsize="21600,21600">
                    <v:path arrowok="t"/>
                    <v:fill on="f" focussize="0,0"/>
                    <v:stroke color="#FF0000" dashstyle="dash" startarrow="block" startarrowwidth="narrow" endarrowwidth="narrow"/>
                    <v:imagedata o:title=""/>
                    <o:lock v:ext="edit" aspectratio="f"/>
                  </v:shape>
                  <v:shape id="_x0000_s2187" o:spid="_x0000_s2187" style="position:absolute;left:5285;top:9035;height:360;width:640;" filled="f" stroked="t" coordsize="780,714" path="m0,714c105,489,211,265,300,255c389,245,452,694,532,652c612,610,696,305,780,0e">
                    <v:path arrowok="t"/>
                    <v:fill on="f" focussize="0,0"/>
                    <v:stroke color="#00B050" dashstyle="dash" endarrow="block" endarrowwidth="narrow"/>
                    <v:imagedata o:title=""/>
                    <o:lock v:ext="edit" aspectratio="f"/>
                  </v:shape>
                  <v:rect id="_x0000_s2188" o:spid="_x0000_s2188" o:spt="1" style="position:absolute;left:5905;top:8675;height:380;width:1499;v-text-anchor:middle;" fillcolor="#00B05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">
                    <v:path/>
                    <v:fill on="t" color2="#FFFFFF" opacity="13107f" focussize="0,0"/>
                    <v:stroke on="f"/>
                    <v:imagedata o:title=""/>
                    <o:lock v:ext="edit" aspectratio="f"/>
                    <v:textbox inset="0mm,0mm,0mm,0mm">
                      <w:txbxContent>
                        <w:p w14:paraId="46709C8B">
                          <w:pPr>
                            <w:spacing w:line="240" w:lineRule="atLeast"/>
                            <w:jc w:val="center"/>
                            <w:rPr>
                              <w:rFonts w:hAnsi="黑体" w:eastAsia="黑体"/>
                              <w:color w:val="00B050"/>
                              <w:sz w:val="21"/>
                              <w:szCs w:val="21"/>
                            </w:rPr>
                          </w:pPr>
                          <w:r>
                            <w:rPr>
                              <w:rFonts w:hint="eastAsia" w:eastAsia="黑体"/>
                              <w:color w:val="00B050"/>
                              <w:sz w:val="18"/>
                              <w:szCs w:val="18"/>
                            </w:rPr>
                            <w:t>G</w:t>
                          </w:r>
                          <w:r>
                            <w:rPr>
                              <w:rFonts w:hint="eastAsia" w:eastAsia="黑体"/>
                              <w:color w:val="00B050"/>
                              <w:sz w:val="18"/>
                              <w:szCs w:val="18"/>
                              <w:vertAlign w:val="subscript"/>
                              <w:lang w:val="en-US" w:eastAsia="zh-CN"/>
                            </w:rPr>
                            <w:t>2</w:t>
                          </w:r>
                          <w:r>
                            <w:rPr>
                              <w:rFonts w:hint="eastAsia" w:eastAsia="黑体"/>
                              <w:color w:val="00B050"/>
                              <w:sz w:val="18"/>
                              <w:szCs w:val="18"/>
                              <w:vertAlign w:val="subscript"/>
                            </w:rPr>
                            <w:t>-</w:t>
                          </w:r>
                          <w:r>
                            <w:rPr>
                              <w:rFonts w:hint="eastAsia" w:eastAsia="黑体"/>
                              <w:color w:val="00B050"/>
                              <w:sz w:val="18"/>
                              <w:szCs w:val="18"/>
                              <w:vertAlign w:val="subscript"/>
                              <w:lang w:val="en-US" w:eastAsia="zh-CN"/>
                            </w:rPr>
                            <w:t>1</w:t>
                          </w:r>
                          <w:r>
                            <w:rPr>
                              <w:rFonts w:hint="eastAsia" w:eastAsia="黑体"/>
                              <w:color w:val="00B050"/>
                              <w:sz w:val="18"/>
                              <w:szCs w:val="18"/>
                            </w:rPr>
                            <w:t>：</w:t>
                          </w:r>
                          <w:r>
                            <w:rPr>
                              <w:rFonts w:hint="eastAsia" w:eastAsia="黑体"/>
                              <w:color w:val="00B050"/>
                              <w:sz w:val="18"/>
                              <w:szCs w:val="18"/>
                              <w:lang w:val="en-US" w:eastAsia="zh-CN"/>
                            </w:rPr>
                            <w:t>切割粉尘</w:t>
                          </w:r>
                        </w:p>
                      </w:txbxContent>
                    </v:textbox>
                  </v:rect>
                  <v:rect id="_x0000_s2189" o:spid="_x0000_s2189" o:spt="1" style="position:absolute;left:5929;top:9435;height:380;width:1499;v-text-anchor:middle;" fillcolor="#FFCCCC" filled="t" stroked="f" coordsize="21600,21600">
                    <v:path/>
                    <v:fill on="t" color2="#FFFFFF" focussize="0,0"/>
                    <v:stroke on="f"/>
                    <v:imagedata o:title=""/>
                    <o:lock v:ext="edit" aspectratio="f"/>
                    <v:textbox inset="0mm,0mm,0mm,0mm">
                      <w:txbxContent>
                        <w:p w14:paraId="22E82A66">
                          <w:pPr>
                            <w:ind w:left="0" w:leftChars="0" w:right="0" w:rightChars="0" w:firstLine="0" w:firstLineChars="0"/>
                            <w:jc w:val="center"/>
                            <w:rPr>
                              <w:rFonts w:hint="eastAsia" w:eastAsia="黑体"/>
                              <w:color w:val="00B050"/>
                              <w:sz w:val="18"/>
                              <w:szCs w:val="18"/>
                            </w:rPr>
                          </w:pPr>
                          <w:r>
                            <w:rPr>
                              <w:rFonts w:hint="eastAsia" w:eastAsia="黑体"/>
                              <w:color w:val="FF0000"/>
                              <w:sz w:val="18"/>
                              <w:szCs w:val="18"/>
                              <w:highlight w:val="none"/>
                            </w:rPr>
                            <w:t>S</w:t>
                          </w:r>
                          <w:r>
                            <w:rPr>
                              <w:rFonts w:hint="eastAsia" w:eastAsia="黑体"/>
                              <w:color w:val="FF0000"/>
                              <w:sz w:val="18"/>
                              <w:szCs w:val="18"/>
                              <w:highlight w:val="none"/>
                              <w:vertAlign w:val="subscript"/>
                              <w:lang w:val="en-US" w:eastAsia="zh-CN"/>
                            </w:rPr>
                            <w:t>2</w:t>
                          </w:r>
                          <w:r>
                            <w:rPr>
                              <w:rFonts w:hint="eastAsia" w:eastAsia="黑体"/>
                              <w:color w:val="FF0000"/>
                              <w:sz w:val="18"/>
                              <w:szCs w:val="18"/>
                              <w:highlight w:val="none"/>
                              <w:vertAlign w:val="subscript"/>
                            </w:rPr>
                            <w:t>-</w:t>
                          </w:r>
                          <w:r>
                            <w:rPr>
                              <w:rFonts w:hint="eastAsia" w:eastAsia="黑体"/>
                              <w:color w:val="FF0000"/>
                              <w:sz w:val="18"/>
                              <w:szCs w:val="18"/>
                              <w:highlight w:val="none"/>
                              <w:vertAlign w:val="subscript"/>
                              <w:lang w:val="en-US" w:eastAsia="zh-CN"/>
                            </w:rPr>
                            <w:t>1</w:t>
                          </w:r>
                          <w:r>
                            <w:rPr>
                              <w:rFonts w:hint="eastAsia" w:eastAsia="黑体"/>
                              <w:color w:val="FF0000"/>
                              <w:sz w:val="18"/>
                              <w:szCs w:val="18"/>
                              <w:highlight w:val="none"/>
                            </w:rPr>
                            <w:t>：废边角料</w:t>
                          </w:r>
                        </w:p>
                      </w:txbxContent>
                    </v:textbox>
                  </v:rect>
                  <v:shape id="_x0000_s2190" o:spid="_x0000_s2190" style="position:absolute;left:7766;top:10213;height:360;width:640;" filled="f" stroked="t" coordsize="780,714" path="m0,714c105,489,211,265,300,255c389,245,452,694,532,652c612,610,696,305,780,0e">
                    <v:path arrowok="t"/>
                    <v:fill on="f" focussize="0,0"/>
                    <v:stroke color="#00B050" dashstyle="dash" endarrow="block" endarrowwidth="narrow"/>
                    <v:imagedata o:title=""/>
                    <o:lock v:ext="edit" aspectratio="f"/>
                  </v:shape>
                  <v:rect id="_x0000_s2191" o:spid="_x0000_s2191" o:spt="1" style="position:absolute;left:8406;top:9873;height:380;width:1500;v-text-anchor:middle;" fillcolor="#00B05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">
                    <v:path/>
                    <v:fill on="t" color2="#FFFFFF" opacity="13107f" focussize="0,0"/>
                    <v:stroke on="f"/>
                    <v:imagedata o:title=""/>
                    <o:lock v:ext="edit" aspectratio="f"/>
                    <v:textbox inset="0mm,0mm,0mm,0mm">
                      <w:txbxContent>
                        <w:p w14:paraId="2A961B31">
                          <w:pPr>
                            <w:spacing w:line="240" w:lineRule="atLeast"/>
                            <w:jc w:val="center"/>
                            <w:rPr>
                              <w:rFonts w:hAnsi="黑体" w:eastAsia="黑体"/>
                              <w:color w:val="00B050"/>
                              <w:sz w:val="21"/>
                              <w:szCs w:val="21"/>
                            </w:rPr>
                          </w:pPr>
                          <w:r>
                            <w:rPr>
                              <w:rFonts w:hint="eastAsia" w:eastAsia="黑体"/>
                              <w:color w:val="00B050"/>
                              <w:sz w:val="18"/>
                              <w:szCs w:val="18"/>
                            </w:rPr>
                            <w:t>G</w:t>
                          </w:r>
                          <w:r>
                            <w:rPr>
                              <w:rFonts w:hint="eastAsia" w:eastAsia="黑体"/>
                              <w:color w:val="00B050"/>
                              <w:sz w:val="18"/>
                              <w:szCs w:val="18"/>
                              <w:vertAlign w:val="subscript"/>
                              <w:lang w:val="en-US" w:eastAsia="zh-CN"/>
                            </w:rPr>
                            <w:t>2</w:t>
                          </w:r>
                          <w:r>
                            <w:rPr>
                              <w:rFonts w:hint="eastAsia" w:eastAsia="黑体"/>
                              <w:color w:val="00B050"/>
                              <w:sz w:val="18"/>
                              <w:szCs w:val="18"/>
                              <w:vertAlign w:val="subscript"/>
                            </w:rPr>
                            <w:t>-</w:t>
                          </w:r>
                          <w:r>
                            <w:rPr>
                              <w:rFonts w:hint="eastAsia" w:eastAsia="黑体"/>
                              <w:color w:val="00B050"/>
                              <w:sz w:val="18"/>
                              <w:szCs w:val="18"/>
                              <w:vertAlign w:val="subscript"/>
                              <w:lang w:val="en-US" w:eastAsia="zh-CN"/>
                            </w:rPr>
                            <w:t>3</w:t>
                          </w:r>
                          <w:r>
                            <w:rPr>
                              <w:rFonts w:hint="eastAsia" w:eastAsia="黑体"/>
                              <w:color w:val="00B050"/>
                              <w:sz w:val="18"/>
                              <w:szCs w:val="18"/>
                            </w:rPr>
                            <w:t>：</w:t>
                          </w:r>
                          <w:r>
                            <w:rPr>
                              <w:rFonts w:hint="eastAsia" w:eastAsia="黑体"/>
                              <w:color w:val="00B050"/>
                              <w:sz w:val="18"/>
                              <w:szCs w:val="18"/>
                              <w:lang w:eastAsia="zh-CN"/>
                            </w:rPr>
                            <w:t>焊</w:t>
                          </w:r>
                          <w:r>
                            <w:rPr>
                              <w:rFonts w:hint="eastAsia" w:eastAsia="黑体"/>
                              <w:color w:val="00B050"/>
                              <w:sz w:val="18"/>
                              <w:szCs w:val="18"/>
                              <w:lang w:val="en-US" w:eastAsia="zh-CN"/>
                            </w:rPr>
                            <w:t>粉粉尘</w:t>
                          </w:r>
                        </w:p>
                      </w:txbxContent>
                    </v:textbox>
                  </v:rect>
                  <v:rect id="_x0000_s2192" o:spid="_x0000_s2192" o:spt="1" style="position:absolute;left:3483;top:10389;height:480;width:1236;" filled="f" stroked="f" coordsize="21600,21600">
                    <v:path/>
                    <v:fill on="f" focussize="0,0"/>
                    <v:stroke on="f"/>
                    <v:imagedata o:title=""/>
                    <o:lock v:ext="edit" aspectratio="f"/>
                    <v:textbox>
                      <w:txbxContent>
                        <w:p w14:paraId="48B4D2A3">
                          <w:pPr>
                            <w:ind w:left="0" w:leftChars="0" w:right="0" w:rightChars="0"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外购零部件</w:t>
                          </w:r>
                        </w:p>
                      </w:txbxContent>
                    </v:textbox>
                  </v:rect>
                  <v:shape id="_x0000_s2193" o:spid="_x0000_s2193" o:spt="32" type="#_x0000_t32" style="position:absolute;left:6511;top:11967;height:636;width:11;" fillcolor="#FFFFFF" filled="t" stroked="t" coordsize="21600,21600">
                    <v:path arrowok="t"/>
                    <v:fill on="t" color2="#FFFFFF" focussize="0,0"/>
                    <v:stroke color="#000000" endarrow="block" endarrowwidth="narrow"/>
                    <v:imagedata o:title=""/>
                    <o:lock v:ext="edit" aspectratio="f"/>
                  </v:shape>
                  <v:shape id="_x0000_s2194" o:spid="_x0000_s2194" o:spt="34" type="#_x0000_t34" style="position:absolute;left:5173;top:9407;flip:y;height:1216;width:737;rotation:-5898240f;" fillcolor="#FFFFFF" filled="t" stroked="t" coordsize="21600,21600" adj="10800">
                    <v:path arrowok="t"/>
                    <v:fill on="t" color2="#FFFFFF" focussize="0,0"/>
                    <v:stroke color="#000000" startarrowlength="short" endarrow="block" endarrowwidth="narrow"/>
                    <v:imagedata o:title=""/>
                    <o:lock v:ext="edit" aspectratio="f"/>
                  </v:shape>
                  <v:shape id="_x0000_s2195" o:spid="_x0000_s2195" o:spt="34" type="#_x0000_t34" style="position:absolute;left:7084;top:9375;height:1287;width:760;rotation:5898240f;" fillcolor="#FFFFFF" filled="t" stroked="t" coordsize="21600,21600" adj="10786">
                    <v:path arrowok="t"/>
                    <v:fill on="t" color2="#FFFFFF" focussize="0,0"/>
                    <v:stroke color="#000000" startarrowlength="short" endarrow="block" endarrowwidth="narrow"/>
                    <v:imagedata o:title=""/>
                    <o:lock v:ext="edit" aspectratio="f"/>
                  </v:shape>
                  <v:rect id="_x0000_s2196" o:spid="_x0000_s2196" o:spt="1" style="position:absolute;left:5262;top:10380;height:480;width:2500;" fillcolor="#FFFFFF" filled="t" stroked="t" coordsize="21600,21600">
                    <v:path/>
                    <v:fill on="t" color2="#FFFFFF" focussize="0,0"/>
                    <v:stroke color="#000000" joinstyle="miter"/>
                    <v:imagedata o:title=""/>
                    <o:lock v:ext="edit" aspectratio="f"/>
                    <v:textbox>
                      <w:txbxContent>
                        <w:p w14:paraId="3A342AA2">
                          <w:pPr>
                            <w:ind w:left="0" w:leftChars="0" w:right="0" w:rightChars="0" w:firstLine="0" w:firstLineChars="0"/>
                            <w:jc w:val="center"/>
                            <w:rPr>
                              <w:rFonts w:hint="default" w:ascii="黑体" w:hAnsi="黑体" w:eastAsia="黑体"/>
                              <w:sz w:val="21"/>
                              <w:szCs w:val="21"/>
                              <w:lang w:val="en-US" w:eastAsia="zh-CN"/>
                            </w:rPr>
                          </w:pPr>
                          <w:r>
                            <w:rPr>
                              <w:rFonts w:hint="eastAsia" w:ascii="黑体" w:hAnsi="黑体" w:eastAsia="黑体"/>
                              <w:sz w:val="18"/>
                              <w:szCs w:val="18"/>
                              <w:lang w:val="en-US" w:eastAsia="zh-CN"/>
                            </w:rPr>
                            <w:t>焊接</w:t>
                          </w:r>
                        </w:p>
                      </w:txbxContent>
                    </v:textbox>
                  </v:rect>
                  <v:shape id="_x0000_s2197" o:spid="_x0000_s2197" o:spt="32" type="#_x0000_t32" style="position:absolute;left:4719;top:10620;flip:y;height:9;width:543;" fillcolor="#FFFFFF" filled="t" stroked="t" coordsize="21600,21600">
                    <v:path arrowok="t"/>
                    <v:fill on="t" color2="#FFFFFF" focussize="0,0"/>
                    <v:stroke color="#000000" startarrowlength="short" endarrow="block" endarrowwidth="narrow"/>
                    <v:imagedata o:title=""/>
                    <o:lock v:ext="edit" aspectratio="f"/>
                  </v:shape>
                  <v:shape id="_x0000_s2198" o:spid="_x0000_s2198" o:spt="32" type="#_x0000_t32" style="position:absolute;left:6511;top:10860;flip:x;height:627;width:1;" fillcolor="#FFFFFF" filled="t" stroked="t" coordsize="21600,21600">
                    <v:path arrowok="t"/>
                    <v:fill on="t" color2="#FFFFFF" focussize="0,0"/>
                    <v:stroke color="#000000" startarrowlength="short" endarrow="block" endarrowwidth="narrow"/>
                    <v:imagedata o:title=""/>
                    <o:lock v:ext="edit" aspectratio="f"/>
                  </v:shape>
                  <w10:wrap type="none"/>
                  <w10:anchorlock/>
                </v:group>
              </w:pict>
            </w:r>
          </w:p>
          <w:p w14:paraId="2B994C83">
            <w:pPr>
              <w:spacing w:line="360" w:lineRule="auto"/>
              <w:jc w:val="center"/>
              <w:rPr>
                <w:rFonts w:eastAsia="黑体"/>
              </w:rPr>
            </w:pPr>
            <w:r>
              <w:rPr>
                <w:rFonts w:hAnsi="黑体" w:eastAsia="黑体"/>
              </w:rPr>
              <w:t>图</w:t>
            </w:r>
            <w:r>
              <w:rPr>
                <w:rFonts w:hint="eastAsia" w:eastAsia="黑体"/>
              </w:rPr>
              <w:t>2-3控制臂总成生产</w:t>
            </w:r>
            <w:r>
              <w:rPr>
                <w:rFonts w:hAnsi="黑体" w:eastAsia="黑体"/>
              </w:rPr>
              <w:t>工艺流程及产污节点示意图</w:t>
            </w:r>
          </w:p>
          <w:p w14:paraId="345F75B2">
            <w:pPr>
              <w:spacing w:line="360" w:lineRule="auto"/>
              <w:ind w:firstLine="482" w:firstLineChars="200"/>
              <w:rPr>
                <w:b/>
                <w:bCs/>
              </w:rPr>
            </w:pPr>
            <w:r>
              <w:rPr>
                <w:rFonts w:hint="eastAsia"/>
                <w:b/>
                <w:bCs/>
              </w:rPr>
              <w:t>控制臂总成产品1</w:t>
            </w:r>
          </w:p>
          <w:p w14:paraId="35616F19">
            <w:pPr>
              <w:spacing w:line="360" w:lineRule="auto"/>
              <w:ind w:firstLine="482" w:firstLineChars="200"/>
            </w:pPr>
            <w:r>
              <w:rPr>
                <w:rFonts w:hint="eastAsia"/>
                <w:b/>
                <w:bCs/>
              </w:rPr>
              <w:t>成型：</w:t>
            </w:r>
            <w:r>
              <w:rPr>
                <w:rFonts w:hint="eastAsia"/>
              </w:rPr>
              <w:t>将外购的无缝钢管两端通过四工位伺服换模成型机缩小至需要的尺寸。此工序不产生污染。</w:t>
            </w:r>
          </w:p>
          <w:p w14:paraId="4C0E7881">
            <w:pPr>
              <w:spacing w:line="360" w:lineRule="auto"/>
              <w:ind w:firstLine="482" w:firstLineChars="200"/>
            </w:pPr>
            <w:r>
              <w:rPr>
                <w:rFonts w:hint="eastAsia"/>
                <w:b/>
                <w:bCs/>
              </w:rPr>
              <w:t>弯管：</w:t>
            </w:r>
            <w:r>
              <w:rPr>
                <w:rFonts w:hint="eastAsia"/>
              </w:rPr>
              <w:t>将成型后的钢管通过单头液压弯管机弯曲至需要的弧度。此工序不产生污染。</w:t>
            </w:r>
          </w:p>
          <w:p w14:paraId="14E43374">
            <w:pPr>
              <w:spacing w:line="360" w:lineRule="auto"/>
              <w:ind w:firstLine="482" w:firstLineChars="200"/>
            </w:pPr>
            <w:r>
              <w:rPr>
                <w:rFonts w:hint="eastAsia"/>
                <w:b/>
                <w:bCs/>
              </w:rPr>
              <w:t>压机：</w:t>
            </w:r>
            <w:r>
              <w:rPr>
                <w:rFonts w:hint="eastAsia"/>
              </w:rPr>
              <w:t>将弯曲后的钢管管身通过单柱液压机压扁至需要的尺寸。此工序不产生污染。</w:t>
            </w:r>
          </w:p>
          <w:p w14:paraId="2E76071A">
            <w:pPr>
              <w:pStyle w:val="3"/>
              <w:spacing w:before="0" w:after="0"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切管：</w:t>
            </w:r>
            <w:r>
              <w:rPr>
                <w:rFonts w:hint="eastAsia" w:ascii="Times New Roman" w:hAnsi="Times New Roman" w:eastAsia="宋体" w:cs="Times New Roman"/>
                <w:b w:val="0"/>
                <w:bCs w:val="0"/>
                <w:sz w:val="24"/>
                <w:szCs w:val="24"/>
              </w:rPr>
              <w:t>将压扁后的钢管两端多余部分通过切管机进行切除。</w:t>
            </w:r>
          </w:p>
          <w:p w14:paraId="1938C3D3">
            <w:pPr>
              <w:spacing w:line="360" w:lineRule="auto"/>
              <w:ind w:firstLine="482" w:firstLineChars="200"/>
              <w:rPr>
                <w:b/>
                <w:bCs/>
              </w:rPr>
            </w:pPr>
            <w:r>
              <w:rPr>
                <w:rFonts w:hint="eastAsia"/>
                <w:b/>
                <w:bCs/>
              </w:rPr>
              <w:t>产排污环节分析及治理措施：</w:t>
            </w:r>
            <w:r>
              <w:rPr>
                <w:rFonts w:hint="eastAsia"/>
              </w:rPr>
              <w:t>此过程会产生切割粉尘（G</w:t>
            </w:r>
            <w:r>
              <w:rPr>
                <w:rFonts w:hint="eastAsia"/>
                <w:vertAlign w:val="subscript"/>
              </w:rPr>
              <w:t>2-1</w:t>
            </w:r>
            <w:r>
              <w:rPr>
                <w:rFonts w:hint="eastAsia"/>
              </w:rPr>
              <w:t>）和废边角料（S</w:t>
            </w:r>
            <w:r>
              <w:rPr>
                <w:rFonts w:hint="eastAsia"/>
                <w:vertAlign w:val="subscript"/>
              </w:rPr>
              <w:t>2-1</w:t>
            </w:r>
            <w:r>
              <w:rPr>
                <w:rFonts w:hint="eastAsia"/>
              </w:rPr>
              <w:t>）。切割粉尘经集气罩收集，通过袋式除尘器（TA001）处理后，最终通过15m高排气筒（DA001）排放；废边角料收集后暂存于一般固废暂存间，定期外售，综合利用。</w:t>
            </w:r>
          </w:p>
          <w:p w14:paraId="3A80FEEE">
            <w:pPr>
              <w:spacing w:line="360" w:lineRule="auto"/>
              <w:ind w:firstLine="482" w:firstLineChars="200"/>
            </w:pPr>
            <w:r>
              <w:rPr>
                <w:rFonts w:hint="eastAsia"/>
                <w:b/>
                <w:bCs/>
              </w:rPr>
              <w:t>焊接：</w:t>
            </w:r>
            <w:r>
              <w:rPr>
                <w:rFonts w:hint="eastAsia"/>
              </w:rPr>
              <w:t>将外购零部件通过点焊机焊接至钢管管身，形成控制臂总成1半成品。</w:t>
            </w:r>
          </w:p>
          <w:p w14:paraId="0BCBA56D">
            <w:pPr>
              <w:spacing w:line="360" w:lineRule="auto"/>
              <w:ind w:firstLine="482" w:firstLineChars="200"/>
            </w:pPr>
            <w:r>
              <w:rPr>
                <w:rFonts w:hint="eastAsia"/>
                <w:b/>
                <w:bCs/>
              </w:rPr>
              <w:t>产排污环节分析及治理措施：</w:t>
            </w:r>
            <w:r>
              <w:rPr>
                <w:rFonts w:hint="eastAsia"/>
              </w:rPr>
              <w:t>此过程会产生焊接粉尘（G</w:t>
            </w:r>
            <w:r>
              <w:rPr>
                <w:rFonts w:hint="eastAsia"/>
                <w:vertAlign w:val="subscript"/>
              </w:rPr>
              <w:t>2-3</w:t>
            </w:r>
            <w:r>
              <w:rPr>
                <w:rFonts w:hint="eastAsia"/>
              </w:rPr>
              <w:t>），经集气罩收集，通过袋式除尘器（TA001）处理后，最终通过15m高排气筒（DA001）排放。</w:t>
            </w:r>
          </w:p>
          <w:p w14:paraId="7D2AC377">
            <w:pPr>
              <w:spacing w:line="360" w:lineRule="auto"/>
              <w:ind w:firstLine="482" w:firstLineChars="200"/>
            </w:pPr>
            <w:r>
              <w:rPr>
                <w:rFonts w:hint="eastAsia"/>
                <w:b/>
                <w:bCs/>
              </w:rPr>
              <w:t>电泳：</w:t>
            </w:r>
            <w:r>
              <w:rPr>
                <w:rFonts w:hint="eastAsia"/>
              </w:rPr>
              <w:t>本项目该工序为外协加工，所以不产生污染。</w:t>
            </w:r>
          </w:p>
          <w:p w14:paraId="347CD619">
            <w:pPr>
              <w:spacing w:line="360" w:lineRule="auto"/>
              <w:ind w:firstLine="482" w:firstLineChars="200"/>
            </w:pPr>
            <w:r>
              <w:rPr>
                <w:rFonts w:hint="eastAsia"/>
                <w:b/>
                <w:bCs/>
              </w:rPr>
              <w:t>堆放：</w:t>
            </w:r>
            <w:r>
              <w:rPr>
                <w:rFonts w:hint="eastAsia"/>
              </w:rPr>
              <w:t>将电泳后的成品运至2楼装配区堆放。</w:t>
            </w:r>
          </w:p>
          <w:p w14:paraId="5998E793">
            <w:pPr>
              <w:spacing w:line="360" w:lineRule="auto"/>
              <w:ind w:firstLine="482" w:firstLineChars="200"/>
              <w:rPr>
                <w:b/>
                <w:bCs/>
              </w:rPr>
            </w:pPr>
            <w:r>
              <w:rPr>
                <w:b/>
                <w:bCs/>
              </w:rPr>
              <w:t>控制臂总成产品</w:t>
            </w:r>
            <w:r>
              <w:rPr>
                <w:rFonts w:hint="eastAsia"/>
                <w:b/>
                <w:bCs/>
              </w:rPr>
              <w:t>2</w:t>
            </w:r>
          </w:p>
          <w:p w14:paraId="3E2EA9E5">
            <w:pPr>
              <w:spacing w:line="360" w:lineRule="auto"/>
              <w:ind w:firstLine="482" w:firstLineChars="200"/>
            </w:pPr>
            <w:r>
              <w:rPr>
                <w:rFonts w:hint="eastAsia"/>
                <w:b/>
                <w:bCs/>
              </w:rPr>
              <w:t>下料：</w:t>
            </w:r>
            <w:r>
              <w:rPr>
                <w:rFonts w:hint="eastAsia"/>
              </w:rPr>
              <w:t>将原料钢板通过光纤激光切割机剪裁成控制臂总成2粗坯。</w:t>
            </w:r>
          </w:p>
          <w:p w14:paraId="4E9BAC62">
            <w:pPr>
              <w:spacing w:line="360" w:lineRule="auto"/>
              <w:ind w:firstLine="482" w:firstLineChars="200"/>
            </w:pPr>
            <w:r>
              <w:rPr>
                <w:b/>
                <w:bCs/>
              </w:rPr>
              <w:t>产排污环节分析及治理措施：</w:t>
            </w:r>
            <w:r>
              <w:t>此过程会产生切割粉尘（G</w:t>
            </w:r>
            <w:r>
              <w:rPr>
                <w:vertAlign w:val="subscript"/>
              </w:rPr>
              <w:t>2-</w:t>
            </w:r>
            <w:r>
              <w:rPr>
                <w:rFonts w:hint="eastAsia"/>
                <w:vertAlign w:val="subscript"/>
              </w:rPr>
              <w:t>2</w:t>
            </w:r>
            <w:r>
              <w:t>）和废边角料（S</w:t>
            </w:r>
            <w:r>
              <w:rPr>
                <w:vertAlign w:val="subscript"/>
              </w:rPr>
              <w:t>2-</w:t>
            </w:r>
            <w:r>
              <w:rPr>
                <w:rFonts w:hint="eastAsia"/>
                <w:vertAlign w:val="subscript"/>
              </w:rPr>
              <w:t>2</w:t>
            </w:r>
            <w:r>
              <w:t>）。切割粉尘经集气罩收集，通过袋式除尘器（TA001）处理后，最终通过15m高排气筒（DA001）排放；废边角料收集后暂存于一般固废暂存间，定期外售，综合利用。</w:t>
            </w:r>
          </w:p>
          <w:p w14:paraId="62304D8B">
            <w:pPr>
              <w:spacing w:line="360" w:lineRule="auto"/>
              <w:ind w:firstLine="482" w:firstLineChars="200"/>
            </w:pPr>
            <w:r>
              <w:rPr>
                <w:rFonts w:hint="eastAsia"/>
                <w:b/>
                <w:bCs/>
              </w:rPr>
              <w:t>退火：</w:t>
            </w:r>
            <w:r>
              <w:rPr>
                <w:rFonts w:hint="eastAsia"/>
              </w:rPr>
              <w:t>将控制臂总成2粗坯，通过“电加热—保温—受控冷却”的热循环，调整控制臂材料的内部组织与能量状态，从而降低硬度、提升塑性与韧性、均匀组织、消除残余应力，为后续的冲压成形奠定组织基础。此工序不产生污染。</w:t>
            </w:r>
          </w:p>
          <w:p w14:paraId="6748C06E">
            <w:pPr>
              <w:spacing w:line="360" w:lineRule="auto"/>
              <w:ind w:firstLine="482" w:firstLineChars="200"/>
            </w:pPr>
            <w:r>
              <w:rPr>
                <w:rFonts w:hint="eastAsia"/>
                <w:b/>
                <w:bCs/>
              </w:rPr>
              <w:t>冲压：</w:t>
            </w:r>
            <w:r>
              <w:rPr>
                <w:rFonts w:hint="eastAsia"/>
              </w:rPr>
              <w:t>将退火后的半成品通过单柱液压机和气动冲床冲压塑形。此工序不产生污染。</w:t>
            </w:r>
          </w:p>
          <w:p w14:paraId="38CF566C">
            <w:pPr>
              <w:spacing w:line="360" w:lineRule="auto"/>
              <w:ind w:firstLine="482" w:firstLineChars="200"/>
            </w:pPr>
            <w:r>
              <w:rPr>
                <w:b/>
                <w:bCs/>
              </w:rPr>
              <w:t>焊接：</w:t>
            </w:r>
            <w:r>
              <w:t>将外购零部件通过点焊机</w:t>
            </w:r>
            <w:r>
              <w:rPr>
                <w:rFonts w:hint="eastAsia"/>
              </w:rPr>
              <w:t>与塑形后的半成品进行</w:t>
            </w:r>
            <w:r>
              <w:t>焊接，</w:t>
            </w:r>
            <w:r>
              <w:rPr>
                <w:rFonts w:hint="eastAsia"/>
              </w:rPr>
              <w:t>最终</w:t>
            </w:r>
            <w:r>
              <w:t>形成控制臂总成</w:t>
            </w:r>
            <w:r>
              <w:rPr>
                <w:rFonts w:hint="eastAsia"/>
              </w:rPr>
              <w:t>2半成品</w:t>
            </w:r>
            <w:r>
              <w:t>。</w:t>
            </w:r>
          </w:p>
          <w:p w14:paraId="6B62AA5B">
            <w:pPr>
              <w:spacing w:line="360" w:lineRule="auto"/>
              <w:ind w:firstLine="482" w:firstLineChars="200"/>
            </w:pPr>
            <w:r>
              <w:rPr>
                <w:b/>
                <w:bCs/>
              </w:rPr>
              <w:t>产排污环节分析及治理措施：</w:t>
            </w:r>
            <w:r>
              <w:t>此过程会产生焊接粉尘（G</w:t>
            </w:r>
            <w:r>
              <w:rPr>
                <w:vertAlign w:val="subscript"/>
              </w:rPr>
              <w:t>2-</w:t>
            </w:r>
            <w:r>
              <w:rPr>
                <w:rFonts w:hint="eastAsia"/>
                <w:vertAlign w:val="subscript"/>
              </w:rPr>
              <w:t>3</w:t>
            </w:r>
            <w:r>
              <w:t>），经集气罩收集，通过袋式除尘器（TA001）处理后，最终通过15m高排气筒（DA001）排放。</w:t>
            </w:r>
          </w:p>
          <w:p w14:paraId="6063B794">
            <w:pPr>
              <w:spacing w:line="360" w:lineRule="auto"/>
              <w:ind w:firstLine="482" w:firstLineChars="200"/>
            </w:pPr>
            <w:r>
              <w:rPr>
                <w:b/>
                <w:bCs/>
              </w:rPr>
              <w:t>电泳：</w:t>
            </w:r>
            <w:r>
              <w:t>本项目该工序为外协加工，所以不产生污染。</w:t>
            </w:r>
          </w:p>
          <w:p w14:paraId="113BF1FE">
            <w:pPr>
              <w:spacing w:line="360" w:lineRule="auto"/>
              <w:ind w:firstLine="482" w:firstLineChars="200"/>
            </w:pPr>
            <w:r>
              <w:rPr>
                <w:b/>
                <w:bCs/>
              </w:rPr>
              <w:t>堆放：</w:t>
            </w:r>
            <w:r>
              <w:t>将电泳后的成品运至2楼装配区堆放。</w:t>
            </w:r>
          </w:p>
          <w:p w14:paraId="23AF3F0F">
            <w:pPr>
              <w:spacing w:line="360" w:lineRule="auto"/>
              <w:jc w:val="center"/>
            </w:pPr>
            <w:r>
              <w:rPr>
                <w:rFonts w:hint="eastAsia" w:hAnsi="黑体" w:eastAsia="黑体"/>
              </w:rPr>
              <w:t>表2-10  控制臂总成生产线生产过程产污环节统计表</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45"/>
              <w:gridCol w:w="894"/>
              <w:gridCol w:w="1710"/>
              <w:gridCol w:w="3355"/>
            </w:tblGrid>
            <w:tr w14:paraId="51EFD7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Align w:val="center"/>
                </w:tcPr>
                <w:p w14:paraId="235A4815">
                  <w:pPr>
                    <w:spacing w:line="276" w:lineRule="auto"/>
                    <w:jc w:val="center"/>
                    <w:rPr>
                      <w:b/>
                      <w:sz w:val="21"/>
                      <w:szCs w:val="21"/>
                    </w:rPr>
                  </w:pPr>
                  <w:r>
                    <w:rPr>
                      <w:rFonts w:hint="eastAsia"/>
                      <w:b/>
                      <w:sz w:val="21"/>
                      <w:szCs w:val="21"/>
                    </w:rPr>
                    <w:t>类别</w:t>
                  </w:r>
                </w:p>
              </w:tc>
              <w:tc>
                <w:tcPr>
                  <w:tcW w:w="729" w:type="pct"/>
                  <w:vAlign w:val="center"/>
                </w:tcPr>
                <w:p w14:paraId="3B014FF3">
                  <w:pPr>
                    <w:spacing w:line="276" w:lineRule="auto"/>
                    <w:jc w:val="center"/>
                    <w:rPr>
                      <w:b/>
                      <w:sz w:val="21"/>
                      <w:szCs w:val="21"/>
                    </w:rPr>
                  </w:pPr>
                  <w:r>
                    <w:rPr>
                      <w:rFonts w:hint="eastAsia"/>
                      <w:b/>
                      <w:sz w:val="21"/>
                      <w:szCs w:val="21"/>
                    </w:rPr>
                    <w:t>生产工序</w:t>
                  </w:r>
                </w:p>
              </w:tc>
              <w:tc>
                <w:tcPr>
                  <w:tcW w:w="569" w:type="pct"/>
                  <w:vAlign w:val="center"/>
                </w:tcPr>
                <w:p w14:paraId="0501B8C6">
                  <w:pPr>
                    <w:spacing w:line="276" w:lineRule="auto"/>
                    <w:jc w:val="center"/>
                    <w:rPr>
                      <w:b/>
                      <w:sz w:val="21"/>
                      <w:szCs w:val="21"/>
                    </w:rPr>
                  </w:pPr>
                  <w:r>
                    <w:rPr>
                      <w:rFonts w:hint="eastAsia"/>
                      <w:b/>
                      <w:sz w:val="21"/>
                      <w:szCs w:val="21"/>
                    </w:rPr>
                    <w:t>污染源</w:t>
                  </w:r>
                </w:p>
              </w:tc>
              <w:tc>
                <w:tcPr>
                  <w:tcW w:w="1089" w:type="pct"/>
                  <w:vAlign w:val="center"/>
                </w:tcPr>
                <w:p w14:paraId="777827CB">
                  <w:pPr>
                    <w:spacing w:line="276" w:lineRule="auto"/>
                    <w:jc w:val="center"/>
                    <w:rPr>
                      <w:b/>
                      <w:sz w:val="21"/>
                      <w:szCs w:val="21"/>
                    </w:rPr>
                  </w:pPr>
                  <w:r>
                    <w:rPr>
                      <w:rFonts w:hint="eastAsia"/>
                      <w:b/>
                      <w:sz w:val="21"/>
                      <w:szCs w:val="21"/>
                    </w:rPr>
                    <w:t>主要污染物名称</w:t>
                  </w:r>
                </w:p>
              </w:tc>
              <w:tc>
                <w:tcPr>
                  <w:tcW w:w="2136" w:type="pct"/>
                  <w:vAlign w:val="center"/>
                </w:tcPr>
                <w:p w14:paraId="2BCD9695">
                  <w:pPr>
                    <w:spacing w:line="276" w:lineRule="auto"/>
                    <w:jc w:val="center"/>
                    <w:rPr>
                      <w:b/>
                      <w:sz w:val="21"/>
                      <w:szCs w:val="21"/>
                    </w:rPr>
                  </w:pPr>
                  <w:r>
                    <w:rPr>
                      <w:rFonts w:hint="eastAsia"/>
                      <w:b/>
                      <w:sz w:val="21"/>
                      <w:szCs w:val="21"/>
                    </w:rPr>
                    <w:t>收集方式及治理措施</w:t>
                  </w:r>
                </w:p>
              </w:tc>
            </w:tr>
            <w:tr w14:paraId="51D80B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restart"/>
                  <w:vAlign w:val="center"/>
                </w:tcPr>
                <w:p w14:paraId="11726701">
                  <w:pPr>
                    <w:spacing w:line="276" w:lineRule="auto"/>
                    <w:jc w:val="center"/>
                    <w:rPr>
                      <w:bCs/>
                      <w:sz w:val="21"/>
                      <w:szCs w:val="21"/>
                    </w:rPr>
                  </w:pPr>
                  <w:r>
                    <w:rPr>
                      <w:rFonts w:hint="eastAsia"/>
                      <w:bCs/>
                      <w:sz w:val="21"/>
                      <w:szCs w:val="21"/>
                    </w:rPr>
                    <w:t>废气</w:t>
                  </w:r>
                </w:p>
              </w:tc>
              <w:tc>
                <w:tcPr>
                  <w:tcW w:w="729" w:type="pct"/>
                  <w:vAlign w:val="center"/>
                </w:tcPr>
                <w:p w14:paraId="460BBE5A">
                  <w:pPr>
                    <w:spacing w:line="276" w:lineRule="auto"/>
                    <w:jc w:val="center"/>
                    <w:rPr>
                      <w:bCs/>
                      <w:sz w:val="21"/>
                      <w:szCs w:val="21"/>
                    </w:rPr>
                  </w:pPr>
                  <w:r>
                    <w:rPr>
                      <w:rFonts w:hint="eastAsia"/>
                      <w:bCs/>
                      <w:sz w:val="21"/>
                      <w:szCs w:val="21"/>
                    </w:rPr>
                    <w:t>切管</w:t>
                  </w:r>
                </w:p>
              </w:tc>
              <w:tc>
                <w:tcPr>
                  <w:tcW w:w="569" w:type="pct"/>
                  <w:vAlign w:val="center"/>
                </w:tcPr>
                <w:p w14:paraId="1FEB8F77">
                  <w:pPr>
                    <w:spacing w:line="276" w:lineRule="auto"/>
                    <w:jc w:val="center"/>
                    <w:rPr>
                      <w:bCs/>
                      <w:sz w:val="21"/>
                      <w:szCs w:val="21"/>
                    </w:rPr>
                  </w:pPr>
                  <w:r>
                    <w:rPr>
                      <w:rFonts w:hint="eastAsia"/>
                      <w:bCs/>
                      <w:sz w:val="21"/>
                      <w:szCs w:val="21"/>
                    </w:rPr>
                    <w:t>G</w:t>
                  </w:r>
                  <w:r>
                    <w:rPr>
                      <w:rFonts w:hint="eastAsia"/>
                      <w:bCs/>
                      <w:sz w:val="21"/>
                      <w:szCs w:val="21"/>
                      <w:vertAlign w:val="subscript"/>
                    </w:rPr>
                    <w:t>2-1</w:t>
                  </w:r>
                </w:p>
              </w:tc>
              <w:tc>
                <w:tcPr>
                  <w:tcW w:w="1089" w:type="pct"/>
                  <w:vMerge w:val="restart"/>
                  <w:vAlign w:val="center"/>
                </w:tcPr>
                <w:p w14:paraId="29FB029B">
                  <w:pPr>
                    <w:spacing w:line="276" w:lineRule="auto"/>
                    <w:jc w:val="center"/>
                    <w:rPr>
                      <w:bCs/>
                      <w:sz w:val="21"/>
                      <w:szCs w:val="21"/>
                    </w:rPr>
                  </w:pPr>
                  <w:r>
                    <w:rPr>
                      <w:rFonts w:hint="eastAsia"/>
                      <w:bCs/>
                      <w:sz w:val="21"/>
                      <w:szCs w:val="21"/>
                    </w:rPr>
                    <w:t>颗粒物</w:t>
                  </w:r>
                </w:p>
              </w:tc>
              <w:tc>
                <w:tcPr>
                  <w:tcW w:w="2136" w:type="pct"/>
                  <w:vMerge w:val="restart"/>
                  <w:vAlign w:val="center"/>
                </w:tcPr>
                <w:p w14:paraId="6AF40E1E">
                  <w:pPr>
                    <w:spacing w:line="276" w:lineRule="auto"/>
                    <w:jc w:val="center"/>
                    <w:rPr>
                      <w:bCs/>
                      <w:sz w:val="21"/>
                      <w:szCs w:val="21"/>
                    </w:rPr>
                  </w:pPr>
                  <w:r>
                    <w:rPr>
                      <w:rFonts w:hint="eastAsia"/>
                      <w:bCs/>
                      <w:sz w:val="21"/>
                      <w:szCs w:val="21"/>
                    </w:rPr>
                    <w:t>经集气罩收集，通过袋式除尘器处理后，最终通过15m高排气筒（DA001）排放</w:t>
                  </w:r>
                </w:p>
              </w:tc>
            </w:tr>
            <w:tr w14:paraId="42A0BA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53C3DD1F">
                  <w:pPr>
                    <w:spacing w:line="276" w:lineRule="auto"/>
                    <w:jc w:val="center"/>
                    <w:rPr>
                      <w:bCs/>
                      <w:sz w:val="21"/>
                      <w:szCs w:val="21"/>
                    </w:rPr>
                  </w:pPr>
                </w:p>
              </w:tc>
              <w:tc>
                <w:tcPr>
                  <w:tcW w:w="729" w:type="pct"/>
                  <w:vAlign w:val="center"/>
                </w:tcPr>
                <w:p w14:paraId="048CA708">
                  <w:pPr>
                    <w:spacing w:line="276" w:lineRule="auto"/>
                    <w:jc w:val="center"/>
                    <w:rPr>
                      <w:bCs/>
                      <w:sz w:val="21"/>
                      <w:szCs w:val="21"/>
                    </w:rPr>
                  </w:pPr>
                  <w:r>
                    <w:rPr>
                      <w:rFonts w:hint="eastAsia"/>
                      <w:bCs/>
                      <w:sz w:val="21"/>
                      <w:szCs w:val="21"/>
                    </w:rPr>
                    <w:t>下料</w:t>
                  </w:r>
                </w:p>
              </w:tc>
              <w:tc>
                <w:tcPr>
                  <w:tcW w:w="569" w:type="pct"/>
                  <w:vAlign w:val="center"/>
                </w:tcPr>
                <w:p w14:paraId="5799B3CA">
                  <w:pPr>
                    <w:spacing w:line="276" w:lineRule="auto"/>
                    <w:jc w:val="center"/>
                    <w:rPr>
                      <w:bCs/>
                      <w:sz w:val="21"/>
                      <w:szCs w:val="21"/>
                    </w:rPr>
                  </w:pPr>
                  <w:r>
                    <w:rPr>
                      <w:rFonts w:hint="eastAsia"/>
                      <w:bCs/>
                      <w:sz w:val="21"/>
                      <w:szCs w:val="21"/>
                    </w:rPr>
                    <w:t>G</w:t>
                  </w:r>
                  <w:r>
                    <w:rPr>
                      <w:rFonts w:hint="eastAsia"/>
                      <w:bCs/>
                      <w:sz w:val="21"/>
                      <w:szCs w:val="21"/>
                      <w:vertAlign w:val="subscript"/>
                    </w:rPr>
                    <w:t>2-2</w:t>
                  </w:r>
                </w:p>
              </w:tc>
              <w:tc>
                <w:tcPr>
                  <w:tcW w:w="1089" w:type="pct"/>
                  <w:vMerge w:val="continue"/>
                  <w:vAlign w:val="center"/>
                </w:tcPr>
                <w:p w14:paraId="381A3BB7">
                  <w:pPr>
                    <w:spacing w:line="276" w:lineRule="auto"/>
                    <w:jc w:val="center"/>
                    <w:rPr>
                      <w:bCs/>
                      <w:sz w:val="21"/>
                      <w:szCs w:val="21"/>
                    </w:rPr>
                  </w:pPr>
                </w:p>
              </w:tc>
              <w:tc>
                <w:tcPr>
                  <w:tcW w:w="2136" w:type="pct"/>
                  <w:vMerge w:val="continue"/>
                  <w:vAlign w:val="center"/>
                </w:tcPr>
                <w:p w14:paraId="24B59CB0">
                  <w:pPr>
                    <w:spacing w:line="276" w:lineRule="auto"/>
                    <w:jc w:val="center"/>
                    <w:rPr>
                      <w:bCs/>
                      <w:sz w:val="21"/>
                      <w:szCs w:val="21"/>
                    </w:rPr>
                  </w:pPr>
                </w:p>
              </w:tc>
            </w:tr>
            <w:tr w14:paraId="11857D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3AC9D592">
                  <w:pPr>
                    <w:spacing w:line="276" w:lineRule="auto"/>
                    <w:jc w:val="center"/>
                    <w:rPr>
                      <w:bCs/>
                      <w:sz w:val="21"/>
                      <w:szCs w:val="21"/>
                    </w:rPr>
                  </w:pPr>
                </w:p>
              </w:tc>
              <w:tc>
                <w:tcPr>
                  <w:tcW w:w="729" w:type="pct"/>
                  <w:vAlign w:val="center"/>
                </w:tcPr>
                <w:p w14:paraId="11F85087">
                  <w:pPr>
                    <w:spacing w:line="276" w:lineRule="auto"/>
                    <w:jc w:val="center"/>
                    <w:rPr>
                      <w:bCs/>
                      <w:sz w:val="21"/>
                      <w:szCs w:val="21"/>
                    </w:rPr>
                  </w:pPr>
                  <w:r>
                    <w:rPr>
                      <w:rFonts w:hint="eastAsia"/>
                      <w:bCs/>
                      <w:sz w:val="21"/>
                      <w:szCs w:val="21"/>
                    </w:rPr>
                    <w:t>焊接</w:t>
                  </w:r>
                </w:p>
              </w:tc>
              <w:tc>
                <w:tcPr>
                  <w:tcW w:w="569" w:type="pct"/>
                  <w:vAlign w:val="center"/>
                </w:tcPr>
                <w:p w14:paraId="45BA9DB8">
                  <w:pPr>
                    <w:spacing w:line="276" w:lineRule="auto"/>
                    <w:jc w:val="center"/>
                    <w:rPr>
                      <w:bCs/>
                      <w:sz w:val="21"/>
                      <w:szCs w:val="21"/>
                    </w:rPr>
                  </w:pPr>
                  <w:r>
                    <w:rPr>
                      <w:rFonts w:hint="eastAsia"/>
                      <w:bCs/>
                      <w:sz w:val="21"/>
                      <w:szCs w:val="21"/>
                    </w:rPr>
                    <w:t>G</w:t>
                  </w:r>
                  <w:r>
                    <w:rPr>
                      <w:rFonts w:hint="eastAsia"/>
                      <w:bCs/>
                      <w:sz w:val="21"/>
                      <w:szCs w:val="21"/>
                      <w:vertAlign w:val="subscript"/>
                    </w:rPr>
                    <w:t>2-3</w:t>
                  </w:r>
                </w:p>
              </w:tc>
              <w:tc>
                <w:tcPr>
                  <w:tcW w:w="1089" w:type="pct"/>
                  <w:vMerge w:val="continue"/>
                  <w:vAlign w:val="center"/>
                </w:tcPr>
                <w:p w14:paraId="09DC227E">
                  <w:pPr>
                    <w:spacing w:line="276" w:lineRule="auto"/>
                    <w:jc w:val="center"/>
                    <w:rPr>
                      <w:bCs/>
                      <w:sz w:val="21"/>
                      <w:szCs w:val="21"/>
                    </w:rPr>
                  </w:pPr>
                </w:p>
              </w:tc>
              <w:tc>
                <w:tcPr>
                  <w:tcW w:w="2136" w:type="pct"/>
                  <w:vMerge w:val="continue"/>
                  <w:vAlign w:val="center"/>
                </w:tcPr>
                <w:p w14:paraId="7376CDEA">
                  <w:pPr>
                    <w:spacing w:line="276" w:lineRule="auto"/>
                    <w:jc w:val="center"/>
                    <w:rPr>
                      <w:bCs/>
                      <w:sz w:val="21"/>
                      <w:szCs w:val="21"/>
                    </w:rPr>
                  </w:pPr>
                </w:p>
              </w:tc>
            </w:tr>
            <w:tr w14:paraId="1ECBDC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restart"/>
                  <w:vAlign w:val="center"/>
                </w:tcPr>
                <w:p w14:paraId="6A31DC3A">
                  <w:pPr>
                    <w:spacing w:line="276" w:lineRule="auto"/>
                    <w:jc w:val="center"/>
                    <w:rPr>
                      <w:bCs/>
                      <w:sz w:val="21"/>
                      <w:szCs w:val="21"/>
                    </w:rPr>
                  </w:pPr>
                  <w:r>
                    <w:rPr>
                      <w:rFonts w:hint="eastAsia"/>
                      <w:bCs/>
                      <w:sz w:val="21"/>
                      <w:szCs w:val="21"/>
                    </w:rPr>
                    <w:t>固废</w:t>
                  </w:r>
                </w:p>
              </w:tc>
              <w:tc>
                <w:tcPr>
                  <w:tcW w:w="729" w:type="pct"/>
                  <w:vAlign w:val="center"/>
                </w:tcPr>
                <w:p w14:paraId="708784C1">
                  <w:pPr>
                    <w:spacing w:line="276" w:lineRule="auto"/>
                    <w:jc w:val="center"/>
                    <w:rPr>
                      <w:bCs/>
                      <w:sz w:val="21"/>
                      <w:szCs w:val="21"/>
                    </w:rPr>
                  </w:pPr>
                  <w:r>
                    <w:rPr>
                      <w:rFonts w:hint="eastAsia"/>
                      <w:bCs/>
                      <w:sz w:val="21"/>
                      <w:szCs w:val="21"/>
                    </w:rPr>
                    <w:t>切管</w:t>
                  </w:r>
                </w:p>
              </w:tc>
              <w:tc>
                <w:tcPr>
                  <w:tcW w:w="569" w:type="pct"/>
                  <w:vAlign w:val="center"/>
                </w:tcPr>
                <w:p w14:paraId="62CD5C19">
                  <w:pPr>
                    <w:spacing w:line="276" w:lineRule="auto"/>
                    <w:jc w:val="center"/>
                    <w:rPr>
                      <w:bCs/>
                      <w:sz w:val="21"/>
                      <w:szCs w:val="21"/>
                    </w:rPr>
                  </w:pPr>
                  <w:r>
                    <w:rPr>
                      <w:rFonts w:hint="eastAsia"/>
                      <w:bCs/>
                      <w:sz w:val="21"/>
                      <w:szCs w:val="21"/>
                    </w:rPr>
                    <w:t>S</w:t>
                  </w:r>
                  <w:r>
                    <w:rPr>
                      <w:rFonts w:hint="eastAsia"/>
                      <w:bCs/>
                      <w:sz w:val="21"/>
                      <w:szCs w:val="21"/>
                      <w:vertAlign w:val="subscript"/>
                    </w:rPr>
                    <w:t>2-1</w:t>
                  </w:r>
                </w:p>
              </w:tc>
              <w:tc>
                <w:tcPr>
                  <w:tcW w:w="1089" w:type="pct"/>
                  <w:vAlign w:val="center"/>
                </w:tcPr>
                <w:p w14:paraId="102D8452">
                  <w:pPr>
                    <w:spacing w:line="276" w:lineRule="auto"/>
                    <w:jc w:val="center"/>
                    <w:rPr>
                      <w:bCs/>
                      <w:sz w:val="21"/>
                      <w:szCs w:val="21"/>
                    </w:rPr>
                  </w:pPr>
                  <w:r>
                    <w:rPr>
                      <w:rFonts w:hint="eastAsia"/>
                      <w:bCs/>
                      <w:sz w:val="21"/>
                      <w:szCs w:val="21"/>
                    </w:rPr>
                    <w:t>废边角料</w:t>
                  </w:r>
                </w:p>
              </w:tc>
              <w:tc>
                <w:tcPr>
                  <w:tcW w:w="2136" w:type="pct"/>
                  <w:vMerge w:val="restart"/>
                  <w:vAlign w:val="center"/>
                </w:tcPr>
                <w:p w14:paraId="10E7B330">
                  <w:pPr>
                    <w:spacing w:line="276" w:lineRule="auto"/>
                    <w:jc w:val="center"/>
                    <w:rPr>
                      <w:bCs/>
                      <w:sz w:val="21"/>
                      <w:szCs w:val="21"/>
                    </w:rPr>
                  </w:pPr>
                  <w:r>
                    <w:rPr>
                      <w:rFonts w:hint="eastAsia"/>
                      <w:bCs/>
                      <w:sz w:val="21"/>
                      <w:szCs w:val="21"/>
                    </w:rPr>
                    <w:t>收集后暂存于一般固废暂存间，定期外售，综合利用</w:t>
                  </w:r>
                </w:p>
              </w:tc>
            </w:tr>
            <w:tr w14:paraId="3FBDBE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vMerge w:val="continue"/>
                  <w:vAlign w:val="center"/>
                </w:tcPr>
                <w:p w14:paraId="617548E7">
                  <w:pPr>
                    <w:spacing w:line="276" w:lineRule="auto"/>
                    <w:jc w:val="center"/>
                    <w:rPr>
                      <w:bCs/>
                      <w:sz w:val="21"/>
                      <w:szCs w:val="21"/>
                    </w:rPr>
                  </w:pPr>
                </w:p>
              </w:tc>
              <w:tc>
                <w:tcPr>
                  <w:tcW w:w="729" w:type="pct"/>
                  <w:vAlign w:val="center"/>
                </w:tcPr>
                <w:p w14:paraId="6FF50616">
                  <w:pPr>
                    <w:spacing w:line="276" w:lineRule="auto"/>
                    <w:jc w:val="center"/>
                    <w:rPr>
                      <w:bCs/>
                      <w:sz w:val="21"/>
                      <w:szCs w:val="21"/>
                    </w:rPr>
                  </w:pPr>
                  <w:r>
                    <w:rPr>
                      <w:rFonts w:hint="eastAsia"/>
                      <w:bCs/>
                      <w:sz w:val="21"/>
                      <w:szCs w:val="21"/>
                    </w:rPr>
                    <w:t>下料</w:t>
                  </w:r>
                </w:p>
              </w:tc>
              <w:tc>
                <w:tcPr>
                  <w:tcW w:w="569" w:type="pct"/>
                  <w:vAlign w:val="center"/>
                </w:tcPr>
                <w:p w14:paraId="11493E6C">
                  <w:pPr>
                    <w:spacing w:line="276" w:lineRule="auto"/>
                    <w:jc w:val="center"/>
                    <w:rPr>
                      <w:bCs/>
                      <w:sz w:val="21"/>
                      <w:szCs w:val="21"/>
                    </w:rPr>
                  </w:pPr>
                  <w:r>
                    <w:rPr>
                      <w:rFonts w:hint="eastAsia"/>
                      <w:bCs/>
                      <w:sz w:val="21"/>
                      <w:szCs w:val="21"/>
                    </w:rPr>
                    <w:t>S</w:t>
                  </w:r>
                  <w:r>
                    <w:rPr>
                      <w:rFonts w:hint="eastAsia"/>
                      <w:bCs/>
                      <w:sz w:val="21"/>
                      <w:szCs w:val="21"/>
                      <w:vertAlign w:val="subscript"/>
                    </w:rPr>
                    <w:t>2-2</w:t>
                  </w:r>
                </w:p>
              </w:tc>
              <w:tc>
                <w:tcPr>
                  <w:tcW w:w="1089" w:type="pct"/>
                  <w:vAlign w:val="center"/>
                </w:tcPr>
                <w:p w14:paraId="73261CEE">
                  <w:pPr>
                    <w:spacing w:line="276" w:lineRule="auto"/>
                    <w:jc w:val="center"/>
                    <w:rPr>
                      <w:bCs/>
                      <w:sz w:val="21"/>
                      <w:szCs w:val="21"/>
                    </w:rPr>
                  </w:pPr>
                  <w:r>
                    <w:rPr>
                      <w:rFonts w:hint="eastAsia"/>
                      <w:bCs/>
                      <w:sz w:val="21"/>
                      <w:szCs w:val="21"/>
                    </w:rPr>
                    <w:t>废边角料</w:t>
                  </w:r>
                </w:p>
              </w:tc>
              <w:tc>
                <w:tcPr>
                  <w:tcW w:w="2136" w:type="pct"/>
                  <w:vMerge w:val="continue"/>
                  <w:vAlign w:val="center"/>
                </w:tcPr>
                <w:p w14:paraId="493216FD">
                  <w:pPr>
                    <w:spacing w:line="276" w:lineRule="auto"/>
                    <w:jc w:val="center"/>
                    <w:rPr>
                      <w:bCs/>
                      <w:sz w:val="21"/>
                      <w:szCs w:val="21"/>
                    </w:rPr>
                  </w:pPr>
                </w:p>
              </w:tc>
            </w:tr>
          </w:tbl>
          <w:p w14:paraId="23996731">
            <w:pPr>
              <w:spacing w:line="360" w:lineRule="auto"/>
              <w:ind w:firstLine="482" w:firstLineChars="200"/>
              <w:rPr>
                <w:b/>
                <w:bCs/>
              </w:rPr>
            </w:pPr>
            <w:r>
              <w:rPr>
                <w:rFonts w:hint="eastAsia"/>
                <w:b/>
                <w:bCs/>
              </w:rPr>
              <w:t>（3）装配工艺流程简述</w:t>
            </w:r>
          </w:p>
          <w:p w14:paraId="66D1193E">
            <w:pPr>
              <w:spacing w:line="360" w:lineRule="auto"/>
            </w:pPr>
            <w:r>
              <w:pict>
                <v:group id="_x0000_s2199" o:spid="_x0000_s2199" o:spt="203" style="height:204.6pt;width:393.15pt;" coordorigin="2834,3975" coordsize="7863,4091" editas="canvas">
                  <o:lock v:ext="edit"/>
                  <v:shape id="_x0000_s2200" o:spid="_x0000_s2200" o:spt="75" type="#_x0000_t75" style="position:absolute;left:2834;top:3975;height:4091;width:7863;" filled="f" stroked="f" coordsize="21600,21600">
                    <v:path/>
                    <v:fill on="f" focussize="0,0"/>
                    <v:stroke on="f"/>
                    <v:imagedata o:title=""/>
                    <o:lock v:ext="edit" text="t" aspectratio="t"/>
                  </v:shape>
                  <v:rect id="_x0000_s2201" o:spid="_x0000_s2201" o:spt="1" style="position:absolute;left:3523;top:4209;height:481;width:2203;" filled="f" stroked="f" coordsize="21600,21600">
                    <v:path/>
                    <v:fill on="f" focussize="0,0"/>
                    <v:stroke on="f"/>
                    <v:imagedata o:title=""/>
                    <o:lock v:ext="edit" aspectratio="f"/>
                    <v:textbox>
                      <w:txbxContent>
                        <w:p w14:paraId="015D0662">
                          <w:pPr>
                            <w:ind w:left="0" w:leftChars="0" w:right="0" w:rightChars="0" w:firstLine="0" w:firstLineChars="0"/>
                            <w:jc w:val="center"/>
                            <w:rPr>
                              <w:rFonts w:hint="default" w:eastAsia="宋体"/>
                              <w:sz w:val="18"/>
                              <w:szCs w:val="18"/>
                              <w:lang w:val="en-US" w:eastAsia="zh-CN"/>
                            </w:rPr>
                          </w:pPr>
                          <w:r>
                            <w:rPr>
                              <w:rFonts w:hint="eastAsia" w:ascii="黑体" w:hAnsi="黑体" w:eastAsia="黑体" w:cs="黑体"/>
                              <w:sz w:val="18"/>
                              <w:szCs w:val="18"/>
                              <w:lang w:val="en-US" w:eastAsia="zh-CN"/>
                            </w:rPr>
                            <w:t>衬套成品</w:t>
                          </w:r>
                        </w:p>
                      </w:txbxContent>
                    </v:textbox>
                  </v:rect>
                  <v:rect id="_x0000_s2206" o:spid="_x0000_s2206" o:spt="1" style="position:absolute;left:5745;top:5355;height:481;width:1423;" fillcolor="#FFFFFF" filled="t" stroked="t" coordsize="21600,21600">
                    <v:path/>
                    <v:fill on="t" color2="#FFFFFF" focussize="0,0"/>
                    <v:stroke color="#000000" joinstyle="miter"/>
                    <v:imagedata o:title=""/>
                    <o:lock v:ext="edit" aspectratio="f"/>
                    <v:textbox>
                      <w:txbxContent>
                        <w:p w14:paraId="7D59F64C">
                          <w:pPr>
                            <w:jc w:val="center"/>
                            <w:rPr>
                              <w:rFonts w:hint="eastAsia" w:ascii="黑体" w:hAnsi="黑体" w:eastAsia="黑体"/>
                              <w:sz w:val="21"/>
                              <w:szCs w:val="21"/>
                              <w:lang w:eastAsia="zh-CN"/>
                            </w:rPr>
                          </w:pPr>
                          <w:r>
                            <w:rPr>
                              <w:rFonts w:hint="eastAsia" w:ascii="黑体" w:hAnsi="黑体" w:eastAsia="黑体"/>
                              <w:sz w:val="18"/>
                              <w:szCs w:val="18"/>
                              <w:lang w:eastAsia="zh-CN"/>
                            </w:rPr>
                            <w:t>压装</w:t>
                          </w:r>
                        </w:p>
                      </w:txbxContent>
                    </v:textbox>
                  </v:rect>
                  <v:rect id="_x0000_s2207" o:spid="_x0000_s2207" o:spt="1" style="position:absolute;left:5745;top:7365;height:481;width:1423;" fillcolor="#FFFFFF" filled="t" stroked="f" coordsize="21600,21600">
                    <v:path/>
                    <v:fill on="t" color2="#FFFFFF" focussize="0,0"/>
                    <v:stroke on="f" joinstyle="miter"/>
                    <v:imagedata o:title=""/>
                    <o:lock v:ext="edit" aspectratio="f"/>
                    <v:textbox>
                      <w:txbxContent>
                        <w:p w14:paraId="518F9C92">
                          <w:pPr>
                            <w:ind w:left="0" w:leftChars="0" w:right="0" w:rightChars="0" w:firstLine="0" w:firstLineChars="0"/>
                            <w:jc w:val="center"/>
                            <w:rPr>
                              <w:rFonts w:hint="default" w:ascii="黑体" w:hAnsi="黑体" w:eastAsia="黑体"/>
                              <w:sz w:val="21"/>
                              <w:szCs w:val="21"/>
                              <w:lang w:val="en-US" w:eastAsia="zh-CN"/>
                            </w:rPr>
                          </w:pPr>
                          <w:r>
                            <w:rPr>
                              <w:rFonts w:hint="eastAsia" w:ascii="黑体" w:hAnsi="黑体" w:eastAsia="黑体"/>
                              <w:sz w:val="18"/>
                              <w:szCs w:val="18"/>
                              <w:lang w:val="en-US" w:eastAsia="zh-CN"/>
                            </w:rPr>
                            <w:t>包装入库</w:t>
                          </w:r>
                        </w:p>
                      </w:txbxContent>
                    </v:textbox>
                  </v:rect>
                  <v:rect id="_x0000_s2208" o:spid="_x0000_s2208" o:spt="1" style="position:absolute;left:5748;top:6334;height:480;width:1420;" fillcolor="#FFFFFF" filled="t" stroked="t" coordsize="21600,21600">
                    <v:path/>
                    <v:fill on="t" color2="#FFFFFF" focussize="0,0"/>
                    <v:stroke color="#000000" joinstyle="miter"/>
                    <v:imagedata o:title=""/>
                    <o:lock v:ext="edit" aspectratio="f"/>
                    <v:textbox>
                      <w:txbxContent>
                        <w:p w14:paraId="1475474E">
                          <w:pPr>
                            <w:jc w:val="center"/>
                            <w:rPr>
                              <w:rFonts w:hint="default" w:ascii="黑体" w:hAnsi="黑体" w:eastAsia="黑体"/>
                              <w:sz w:val="21"/>
                              <w:szCs w:val="21"/>
                              <w:lang w:val="en-US" w:eastAsia="zh-CN"/>
                            </w:rPr>
                          </w:pPr>
                          <w:r>
                            <w:rPr>
                              <w:rFonts w:hint="eastAsia" w:ascii="黑体" w:hAnsi="黑体" w:eastAsia="黑体"/>
                              <w:sz w:val="18"/>
                              <w:szCs w:val="18"/>
                              <w:lang w:val="en-US" w:eastAsia="zh-CN"/>
                            </w:rPr>
                            <w:t>装配</w:t>
                          </w:r>
                        </w:p>
                      </w:txbxContent>
                    </v:textbox>
                  </v:rect>
                  <v:shape id="_x0000_s2209" o:spid="_x0000_s2209" o:spt="32" type="#_x0000_t32" style="position:absolute;left:6457;top:5836;height:498;width:1;" filled="f" stroked="t" coordsize="21600,21600">
                    <v:path arrowok="t"/>
                    <v:fill on="f" focussize="0,0"/>
                    <v:stroke color="#000000" endarrow="open"/>
                    <v:imagedata o:title=""/>
                    <o:lock v:ext="edit" aspectratio="f"/>
                  </v:shape>
                  <v:shape id="_x0000_s2210" o:spid="_x0000_s2210" o:spt="32" type="#_x0000_t32" style="position:absolute;left:6457;top:6814;flip:x;height:551;width:1;" filled="f" stroked="t" coordsize="21600,21600">
                    <v:path arrowok="t"/>
                    <v:fill on="f" focussize="0,0"/>
                    <v:stroke color="#000000" endarrow="open"/>
                    <v:imagedata o:title=""/>
                    <o:lock v:ext="edit" aspectratio="f"/>
                  </v:shape>
                  <v:rect id="_x0000_s2213" o:spid="_x0000_s2213" o:spt="1" style="position:absolute;left:7117;top:4210;height:480;width:2200;" filled="f" stroked="f" coordsize="21600,21600">
                    <v:path/>
                    <v:fill on="f" focussize="0,0"/>
                    <v:stroke on="f"/>
                    <v:imagedata o:title=""/>
                    <o:lock v:ext="edit" aspectratio="f"/>
                    <v:textbox>
                      <w:txbxContent>
                        <w:p w14:paraId="38543C38">
                          <w:pPr>
                            <w:ind w:left="0" w:leftChars="0" w:right="0" w:rightChars="0" w:firstLine="0" w:firstLineChars="0"/>
                            <w:jc w:val="center"/>
                            <w:rPr>
                              <w:rFonts w:hint="default" w:eastAsia="宋体"/>
                              <w:sz w:val="18"/>
                              <w:szCs w:val="18"/>
                              <w:lang w:val="en-US" w:eastAsia="zh-CN"/>
                            </w:rPr>
                          </w:pPr>
                          <w:r>
                            <w:rPr>
                              <w:rFonts w:hint="eastAsia" w:ascii="黑体" w:hAnsi="黑体" w:eastAsia="黑体" w:cs="黑体"/>
                              <w:sz w:val="18"/>
                              <w:szCs w:val="18"/>
                              <w:lang w:val="en-US" w:eastAsia="zh-CN"/>
                            </w:rPr>
                            <w:t>控制臂总成成品</w:t>
                          </w:r>
                        </w:p>
                      </w:txbxContent>
                    </v:textbox>
                  </v:rect>
                  <v:shape id="_x0000_s2214" o:spid="_x0000_s2214" o:spt="34" type="#_x0000_t34" style="position:absolute;left:5209;top:4106;flip:y;height:1832;width:665;rotation:-5898240f;" filled="f" stroked="t" coordsize="21600,21600" adj="10800">
                    <v:path arrowok="t"/>
                    <v:fill on="f" focussize="0,0"/>
                    <v:stroke color="#000000" joinstyle="miter" endarrow="open"/>
                    <v:imagedata o:title=""/>
                    <o:lock v:ext="edit" aspectratio="f"/>
                  </v:shape>
                  <v:shape id="_x0000_s2216" o:spid="_x0000_s2216" o:spt="34" type="#_x0000_t34" style="position:absolute;left:7005;top:4142;height:1760;width:665;rotation:5898240f;" filled="f" stroked="t" coordsize="21600,21600" adj="10800">
                    <v:path arrowok="t"/>
                    <v:fill on="f" focussize="0,0"/>
                    <v:stroke color="#000000" joinstyle="miter" endarrow="open"/>
                    <v:imagedata o:title=""/>
                    <o:lock v:ext="edit" aspectratio="f"/>
                  </v:shape>
                  <v:rect id="_x0000_s2217" o:spid="_x0000_s2217" o:spt="1" style="position:absolute;left:3870;top:6343;height:480;width:1045;" fillcolor="#FFFFFF" filled="t" stroked="f" coordsize="21600,21600">
                    <v:path/>
                    <v:fill on="t" color2="#FFFFFF" focussize="0,0"/>
                    <v:stroke on="f" joinstyle="miter"/>
                    <v:imagedata o:title=""/>
                    <o:lock v:ext="edit" aspectratio="f"/>
                    <v:textbox>
                      <w:txbxContent>
                        <w:p w14:paraId="4C99CEF7">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外购球头</w:t>
                          </w:r>
                        </w:p>
                      </w:txbxContent>
                    </v:textbox>
                  </v:rect>
                  <v:shape id="_x0000_s2241" o:spid="_x0000_s2241" o:spt="32" type="#_x0000_t32" style="position:absolute;left:4915;top:6574;flip:y;height:9;width:833;" fillcolor="#FFFFFF" filled="t" stroked="t" coordsize="21600,21600">
                    <v:path arrowok="t"/>
                    <v:fill on="t" color2="#FFFFFF" focussize="0,0"/>
                    <v:stroke color="#000000" endarrow="open"/>
                    <v:imagedata o:title=""/>
                    <o:lock v:ext="edit" aspectratio="f"/>
                  </v:shape>
                  <w10:wrap type="none"/>
                  <w10:anchorlock/>
                </v:group>
              </w:pict>
            </w:r>
          </w:p>
          <w:p w14:paraId="5F557F35">
            <w:pPr>
              <w:spacing w:line="360" w:lineRule="auto"/>
              <w:jc w:val="center"/>
              <w:rPr>
                <w:rFonts w:hAnsi="黑体" w:eastAsia="黑体"/>
              </w:rPr>
            </w:pPr>
            <w:r>
              <w:rPr>
                <w:rFonts w:hAnsi="黑体" w:eastAsia="黑体"/>
              </w:rPr>
              <w:t>图</w:t>
            </w:r>
            <w:r>
              <w:rPr>
                <w:rFonts w:hint="eastAsia" w:hAnsi="黑体" w:eastAsia="黑体"/>
              </w:rPr>
              <w:t>2-4装配</w:t>
            </w:r>
            <w:r>
              <w:rPr>
                <w:rFonts w:hAnsi="黑体" w:eastAsia="黑体"/>
              </w:rPr>
              <w:t>工艺流程及产污节点示意图</w:t>
            </w:r>
          </w:p>
          <w:p w14:paraId="335888ED">
            <w:pPr>
              <w:spacing w:line="360" w:lineRule="auto"/>
              <w:ind w:firstLine="482" w:firstLineChars="200"/>
            </w:pPr>
            <w:r>
              <w:rPr>
                <w:rFonts w:hint="eastAsia"/>
                <w:b/>
                <w:bCs/>
              </w:rPr>
              <w:t>压装：</w:t>
            </w:r>
            <w:r>
              <w:rPr>
                <w:rFonts w:hint="eastAsia"/>
              </w:rPr>
              <w:t>将衬套成品和控制臂总成成品通过金清单柱液压机、英田单柱液压机和小兵液压机进行物理压装，一个控制臂总成压装2个衬套。此工序不产生污染。</w:t>
            </w:r>
          </w:p>
          <w:p w14:paraId="4292A31D">
            <w:pPr>
              <w:spacing w:line="360" w:lineRule="auto"/>
              <w:ind w:firstLine="482" w:firstLineChars="200"/>
            </w:pPr>
            <w:r>
              <w:rPr>
                <w:rFonts w:hint="eastAsia"/>
                <w:b/>
                <w:bCs/>
              </w:rPr>
              <w:t>球头装配：</w:t>
            </w:r>
            <w:r>
              <w:rPr>
                <w:rFonts w:hint="eastAsia"/>
              </w:rPr>
              <w:t>将外购球头通过英田液压旋铆机、英田球头装配机和英田卡簧机进行物理装配，一个控制臂总成装配一个球头。此工序不产生污染。</w:t>
            </w:r>
          </w:p>
          <w:p w14:paraId="173909B8">
            <w:pPr>
              <w:spacing w:line="360" w:lineRule="auto"/>
              <w:ind w:firstLine="482" w:firstLineChars="200"/>
            </w:pPr>
            <w:r>
              <w:rPr>
                <w:rFonts w:hint="eastAsia"/>
                <w:b/>
                <w:bCs/>
              </w:rPr>
              <w:t>包装入库：</w:t>
            </w:r>
            <w:r>
              <w:rPr>
                <w:rFonts w:hint="eastAsia"/>
              </w:rPr>
              <w:t>将装配后的成品检验包装并入库。</w:t>
            </w:r>
          </w:p>
        </w:tc>
      </w:tr>
    </w:tbl>
    <w:p w14:paraId="4ED35DA8">
      <w:pPr>
        <w:spacing w:line="360" w:lineRule="auto"/>
        <w:jc w:val="center"/>
        <w:rPr>
          <w:rFonts w:ascii="宋体" w:hAnsi="宋体"/>
        </w:rPr>
        <w:sectPr>
          <w:pgSz w:w="11906" w:h="16838"/>
          <w:pgMar w:top="1440" w:right="1800" w:bottom="1440" w:left="1800" w:header="851" w:footer="992" w:gutter="0"/>
          <w:cols w:space="425" w:num="1"/>
          <w:docGrid w:type="lines" w:linePitch="312" w:charSpace="0"/>
        </w:sect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988"/>
      </w:tblGrid>
      <w:tr w14:paraId="64A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14:paraId="300EE0BA">
            <w:pPr>
              <w:spacing w:line="360" w:lineRule="auto"/>
              <w:jc w:val="center"/>
            </w:pPr>
            <w:r>
              <w:rPr>
                <w:rFonts w:hint="eastAsia"/>
              </w:rPr>
              <w:t>与项目有关的原有环境污染问题</w:t>
            </w:r>
          </w:p>
        </w:tc>
        <w:tc>
          <w:tcPr>
            <w:tcW w:w="7988" w:type="dxa"/>
          </w:tcPr>
          <w:p w14:paraId="7495558B">
            <w:pPr>
              <w:spacing w:line="360" w:lineRule="auto"/>
              <w:ind w:firstLine="480" w:firstLineChars="200"/>
            </w:pPr>
            <w:r>
              <w:rPr>
                <w:rFonts w:hint="eastAsia"/>
              </w:rPr>
              <w:t>本项目租赁淮南经济技术开发区绿色智造产业园6#厂房建设1条衬套生产线和1条控制臂总成生产线。</w:t>
            </w:r>
          </w:p>
          <w:p w14:paraId="72944976">
            <w:pPr>
              <w:spacing w:line="360" w:lineRule="auto"/>
              <w:ind w:firstLine="480" w:firstLineChars="200"/>
              <w:rPr>
                <w:rFonts w:hAnsi="宋体"/>
              </w:rPr>
            </w:pPr>
            <w:r>
              <w:rPr>
                <w:rFonts w:hint="eastAsia"/>
              </w:rPr>
              <w:t>本项目为新建项目，根据现场调查，淮南经济技术开发区绿色智造产业园6#厂房目前处于空置状态，无原有环境污染问题。</w:t>
            </w:r>
          </w:p>
          <w:p w14:paraId="16B26858">
            <w:pPr>
              <w:spacing w:line="360" w:lineRule="auto"/>
              <w:jc w:val="center"/>
            </w:pPr>
          </w:p>
          <w:p w14:paraId="777D07AB">
            <w:pPr>
              <w:spacing w:line="360" w:lineRule="auto"/>
              <w:jc w:val="center"/>
            </w:pPr>
          </w:p>
          <w:p w14:paraId="02C6C2B2">
            <w:pPr>
              <w:spacing w:line="360" w:lineRule="auto"/>
              <w:jc w:val="center"/>
            </w:pPr>
          </w:p>
          <w:p w14:paraId="119EFEC2">
            <w:pPr>
              <w:spacing w:line="360" w:lineRule="auto"/>
              <w:jc w:val="center"/>
            </w:pPr>
          </w:p>
          <w:p w14:paraId="61F2C712">
            <w:pPr>
              <w:spacing w:line="360" w:lineRule="auto"/>
              <w:jc w:val="center"/>
            </w:pPr>
          </w:p>
          <w:p w14:paraId="3C639B07">
            <w:pPr>
              <w:spacing w:line="360" w:lineRule="auto"/>
              <w:jc w:val="center"/>
            </w:pPr>
          </w:p>
          <w:p w14:paraId="4BE40065">
            <w:pPr>
              <w:spacing w:line="360" w:lineRule="auto"/>
              <w:jc w:val="center"/>
            </w:pPr>
          </w:p>
          <w:p w14:paraId="00735CE2">
            <w:pPr>
              <w:spacing w:line="360" w:lineRule="auto"/>
              <w:jc w:val="center"/>
            </w:pPr>
          </w:p>
          <w:p w14:paraId="5F0FFBC3">
            <w:pPr>
              <w:spacing w:line="360" w:lineRule="auto"/>
              <w:jc w:val="center"/>
            </w:pPr>
          </w:p>
          <w:p w14:paraId="7E711582">
            <w:pPr>
              <w:spacing w:line="360" w:lineRule="auto"/>
              <w:jc w:val="center"/>
            </w:pPr>
          </w:p>
          <w:p w14:paraId="12717880">
            <w:pPr>
              <w:spacing w:line="360" w:lineRule="auto"/>
              <w:jc w:val="center"/>
            </w:pPr>
          </w:p>
          <w:p w14:paraId="48FA0DEE">
            <w:pPr>
              <w:spacing w:line="360" w:lineRule="auto"/>
              <w:jc w:val="center"/>
            </w:pPr>
          </w:p>
          <w:p w14:paraId="3368C594">
            <w:pPr>
              <w:spacing w:line="360" w:lineRule="auto"/>
              <w:jc w:val="center"/>
            </w:pPr>
          </w:p>
          <w:p w14:paraId="16E246AA">
            <w:pPr>
              <w:spacing w:line="360" w:lineRule="auto"/>
              <w:jc w:val="center"/>
            </w:pPr>
          </w:p>
          <w:p w14:paraId="529963B4">
            <w:pPr>
              <w:spacing w:line="360" w:lineRule="auto"/>
              <w:jc w:val="center"/>
            </w:pPr>
          </w:p>
          <w:p w14:paraId="79968573">
            <w:pPr>
              <w:spacing w:line="360" w:lineRule="auto"/>
              <w:jc w:val="center"/>
            </w:pPr>
          </w:p>
          <w:p w14:paraId="314DC4EE">
            <w:pPr>
              <w:spacing w:line="360" w:lineRule="auto"/>
              <w:jc w:val="center"/>
            </w:pPr>
          </w:p>
          <w:p w14:paraId="63A0233F">
            <w:pPr>
              <w:spacing w:line="360" w:lineRule="auto"/>
              <w:jc w:val="center"/>
            </w:pPr>
          </w:p>
          <w:p w14:paraId="5ABD19F6">
            <w:pPr>
              <w:spacing w:line="360" w:lineRule="auto"/>
              <w:jc w:val="center"/>
            </w:pPr>
          </w:p>
          <w:p w14:paraId="5B4F0EEB">
            <w:pPr>
              <w:spacing w:line="360" w:lineRule="auto"/>
              <w:jc w:val="center"/>
            </w:pPr>
          </w:p>
          <w:p w14:paraId="6ECDF5E5">
            <w:pPr>
              <w:spacing w:line="360" w:lineRule="auto"/>
              <w:jc w:val="center"/>
            </w:pPr>
          </w:p>
          <w:p w14:paraId="4C1620BE">
            <w:pPr>
              <w:spacing w:line="360" w:lineRule="auto"/>
              <w:jc w:val="center"/>
            </w:pPr>
          </w:p>
          <w:p w14:paraId="331F0EDA">
            <w:pPr>
              <w:spacing w:line="360" w:lineRule="auto"/>
              <w:jc w:val="center"/>
            </w:pPr>
          </w:p>
          <w:p w14:paraId="1935C988">
            <w:pPr>
              <w:spacing w:line="360" w:lineRule="auto"/>
              <w:jc w:val="center"/>
            </w:pPr>
          </w:p>
          <w:p w14:paraId="28CA4D42">
            <w:pPr>
              <w:spacing w:line="360" w:lineRule="auto"/>
            </w:pPr>
          </w:p>
        </w:tc>
      </w:tr>
    </w:tbl>
    <w:p w14:paraId="61DB7C86">
      <w:pPr>
        <w:spacing w:line="360" w:lineRule="auto"/>
        <w:jc w:val="center"/>
        <w:rPr>
          <w:rFonts w:eastAsia="黑体"/>
          <w:sz w:val="30"/>
          <w:szCs w:val="30"/>
        </w:rPr>
      </w:pPr>
      <w:r>
        <w:rPr>
          <w:rFonts w:eastAsia="黑体"/>
          <w:sz w:val="30"/>
          <w:szCs w:val="30"/>
        </w:rPr>
        <w:t>三、区域环境质量现状、环境保护目标及评价标准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045"/>
      </w:tblGrid>
      <w:tr w14:paraId="3BA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77" w:type="dxa"/>
            <w:vAlign w:val="center"/>
          </w:tcPr>
          <w:p w14:paraId="58D74E2B">
            <w:pPr>
              <w:spacing w:line="360" w:lineRule="auto"/>
              <w:jc w:val="center"/>
            </w:pPr>
            <w:r>
              <w:t>区域环境质量现状</w:t>
            </w:r>
          </w:p>
        </w:tc>
        <w:tc>
          <w:tcPr>
            <w:tcW w:w="8045" w:type="dxa"/>
          </w:tcPr>
          <w:p w14:paraId="6F16F116">
            <w:pPr>
              <w:spacing w:line="360" w:lineRule="auto"/>
              <w:ind w:firstLine="482" w:firstLineChars="200"/>
              <w:jc w:val="left"/>
              <w:rPr>
                <w:b/>
              </w:rPr>
            </w:pPr>
            <w:r>
              <w:rPr>
                <w:b/>
              </w:rPr>
              <w:t>1、</w:t>
            </w:r>
            <w:r>
              <w:rPr>
                <w:b/>
                <w:szCs w:val="28"/>
              </w:rPr>
              <w:t>环境空气质量现状</w:t>
            </w:r>
          </w:p>
          <w:p w14:paraId="42807817">
            <w:pPr>
              <w:spacing w:line="336" w:lineRule="auto"/>
              <w:ind w:firstLine="482" w:firstLineChars="200"/>
              <w:jc w:val="left"/>
              <w:rPr>
                <w:b/>
              </w:rPr>
            </w:pPr>
            <w:r>
              <w:rPr>
                <w:b/>
              </w:rPr>
              <w:t>（1）</w:t>
            </w:r>
            <w:r>
              <w:rPr>
                <w:b/>
                <w:bCs/>
                <w:szCs w:val="28"/>
              </w:rPr>
              <w:t>基本污染物空气质量现状</w:t>
            </w:r>
          </w:p>
          <w:p w14:paraId="7F3688C2">
            <w:pPr>
              <w:widowControl/>
              <w:spacing w:line="360" w:lineRule="auto"/>
              <w:ind w:firstLine="480" w:firstLineChars="200"/>
            </w:pPr>
            <w:r>
              <w:rPr>
                <w:rFonts w:ascii="宋体" w:hAnsi="宋体"/>
              </w:rPr>
              <w:t>根据《环境影响评价技术导则大气环境》（</w:t>
            </w:r>
            <w:r>
              <w:t>HJ2.2-2018</w:t>
            </w:r>
            <w:r>
              <w:rPr>
                <w:rFonts w:ascii="宋体" w:hAnsi="宋体"/>
              </w:rPr>
              <w:t>），项目所在区域达标情况判定</w:t>
            </w:r>
            <w:r>
              <w:rPr>
                <w:rFonts w:hint="eastAsia" w:ascii="宋体" w:hAnsi="宋体"/>
              </w:rPr>
              <w:t>优先</w:t>
            </w:r>
            <w:r>
              <w:rPr>
                <w:rFonts w:ascii="宋体" w:hAnsi="宋体"/>
              </w:rPr>
              <w:t>采用国家或地方生态环境主管部门公开发布的环境质量公告或环境质量报告中的数据或结论。</w:t>
            </w:r>
          </w:p>
          <w:p w14:paraId="437FD68A">
            <w:pPr>
              <w:widowControl/>
              <w:spacing w:line="360" w:lineRule="auto"/>
              <w:ind w:firstLine="480" w:firstLineChars="200"/>
            </w:pPr>
            <w:r>
              <w:rPr>
                <w:rFonts w:ascii="宋体" w:hAnsi="宋体"/>
              </w:rPr>
              <w:t>本项目位于</w:t>
            </w:r>
            <w:r>
              <w:rPr>
                <w:rFonts w:hint="eastAsia" w:ascii="宋体" w:hAnsi="宋体"/>
              </w:rPr>
              <w:t>安微省淮南市淮南经济技术开发区东部工业区绿色智造产业园</w:t>
            </w:r>
            <w:r>
              <w:rPr>
                <w:rFonts w:ascii="宋体" w:hAnsi="宋体"/>
              </w:rPr>
              <w:t>，项目所在区域属于环境空气质量二类功能区，空气质量标准执行《环境空气质量标准》（</w:t>
            </w:r>
            <w:r>
              <w:t>GB3095-2012</w:t>
            </w:r>
            <w:r>
              <w:rPr>
                <w:rFonts w:ascii="宋体" w:hAnsi="宋体"/>
              </w:rPr>
              <w:t>）及其修改清单中的二级标准。</w:t>
            </w:r>
          </w:p>
          <w:p w14:paraId="0930189B">
            <w:pPr>
              <w:widowControl/>
              <w:spacing w:line="360" w:lineRule="auto"/>
              <w:ind w:firstLine="480" w:firstLineChars="200"/>
            </w:pPr>
            <w:r>
              <w:rPr>
                <w:rFonts w:ascii="宋体" w:hAnsi="宋体"/>
              </w:rPr>
              <w:t>根据《</w:t>
            </w:r>
            <w:r>
              <w:t>202</w:t>
            </w:r>
            <w:r>
              <w:rPr>
                <w:rFonts w:hint="eastAsia"/>
              </w:rPr>
              <w:t>4</w:t>
            </w:r>
            <w:r>
              <w:rPr>
                <w:rFonts w:ascii="宋体" w:hAnsi="宋体"/>
              </w:rPr>
              <w:t>年淮南市生态环境质量状况公报》，</w:t>
            </w:r>
            <w:r>
              <w:t>202</w:t>
            </w:r>
            <w:r>
              <w:rPr>
                <w:rFonts w:hint="eastAsia"/>
              </w:rPr>
              <w:t>4</w:t>
            </w:r>
            <w:r>
              <w:rPr>
                <w:rFonts w:ascii="宋体" w:hAnsi="宋体"/>
              </w:rPr>
              <w:t>年全市环境空气质量一级</w:t>
            </w:r>
            <w:r>
              <w:rPr>
                <w:rFonts w:hint="eastAsia" w:ascii="宋体" w:hAnsi="宋体"/>
              </w:rPr>
              <w:t>（</w:t>
            </w:r>
            <w:r>
              <w:rPr>
                <w:rFonts w:ascii="宋体" w:hAnsi="宋体"/>
              </w:rPr>
              <w:t>优</w:t>
            </w:r>
            <w:r>
              <w:rPr>
                <w:rFonts w:hint="eastAsia" w:ascii="宋体" w:hAnsi="宋体"/>
              </w:rPr>
              <w:t>）</w:t>
            </w:r>
            <w:r>
              <w:t>65</w:t>
            </w:r>
            <w:r>
              <w:rPr>
                <w:rFonts w:ascii="宋体" w:hAnsi="宋体"/>
              </w:rPr>
              <w:t>天，二级</w:t>
            </w:r>
            <w:r>
              <w:rPr>
                <w:rFonts w:hint="eastAsia" w:ascii="宋体" w:hAnsi="宋体"/>
              </w:rPr>
              <w:t>（</w:t>
            </w:r>
            <w:r>
              <w:rPr>
                <w:rFonts w:ascii="宋体" w:hAnsi="宋体"/>
              </w:rPr>
              <w:t>良</w:t>
            </w:r>
            <w:r>
              <w:rPr>
                <w:rFonts w:hint="eastAsia" w:ascii="宋体" w:hAnsi="宋体"/>
              </w:rPr>
              <w:t>）</w:t>
            </w:r>
            <w:r>
              <w:t>218</w:t>
            </w:r>
            <w:r>
              <w:rPr>
                <w:rFonts w:ascii="宋体" w:hAnsi="宋体"/>
              </w:rPr>
              <w:t>天，三级</w:t>
            </w:r>
            <w:r>
              <w:rPr>
                <w:rFonts w:hint="eastAsia" w:ascii="宋体" w:hAnsi="宋体"/>
              </w:rPr>
              <w:t>（</w:t>
            </w:r>
            <w:r>
              <w:rPr>
                <w:rFonts w:ascii="宋体" w:hAnsi="宋体"/>
              </w:rPr>
              <w:t>轻度污染</w:t>
            </w:r>
            <w:r>
              <w:rPr>
                <w:rFonts w:hint="eastAsia" w:ascii="宋体" w:hAnsi="宋体"/>
              </w:rPr>
              <w:t>）</w:t>
            </w:r>
            <w:r>
              <w:t>69</w:t>
            </w:r>
            <w:r>
              <w:rPr>
                <w:rFonts w:ascii="宋体" w:hAnsi="宋体"/>
              </w:rPr>
              <w:t>天，四级</w:t>
            </w:r>
            <w:r>
              <w:rPr>
                <w:rFonts w:hint="eastAsia" w:ascii="宋体" w:hAnsi="宋体"/>
              </w:rPr>
              <w:t>（</w:t>
            </w:r>
            <w:r>
              <w:rPr>
                <w:rFonts w:ascii="宋体" w:hAnsi="宋体"/>
              </w:rPr>
              <w:t>中度污染</w:t>
            </w:r>
            <w:r>
              <w:rPr>
                <w:rFonts w:hint="eastAsia" w:ascii="宋体" w:hAnsi="宋体"/>
              </w:rPr>
              <w:t>）</w:t>
            </w:r>
            <w:r>
              <w:t>13</w:t>
            </w:r>
            <w:r>
              <w:rPr>
                <w:rFonts w:ascii="宋体" w:hAnsi="宋体"/>
              </w:rPr>
              <w:t>天，五级</w:t>
            </w:r>
            <w:r>
              <w:rPr>
                <w:rFonts w:hint="eastAsia" w:ascii="宋体" w:hAnsi="宋体"/>
              </w:rPr>
              <w:t>（</w:t>
            </w:r>
            <w:r>
              <w:rPr>
                <w:rFonts w:ascii="宋体" w:hAnsi="宋体"/>
              </w:rPr>
              <w:t>重度污染</w:t>
            </w:r>
            <w:r>
              <w:rPr>
                <w:rFonts w:hint="eastAsia" w:ascii="宋体" w:hAnsi="宋体"/>
              </w:rPr>
              <w:t>）</w:t>
            </w:r>
            <w:r>
              <w:t>1</w:t>
            </w:r>
            <w:r>
              <w:rPr>
                <w:rFonts w:ascii="宋体" w:hAnsi="宋体"/>
              </w:rPr>
              <w:t>天；全市年度环境空气达标天数比例为</w:t>
            </w:r>
            <w:r>
              <w:t>77.3%</w:t>
            </w:r>
            <w:r>
              <w:rPr>
                <w:rFonts w:ascii="宋体" w:hAnsi="宋体"/>
              </w:rPr>
              <w:t>，与上年相比下降了</w:t>
            </w:r>
            <w:r>
              <w:t>3.2</w:t>
            </w:r>
            <w:r>
              <w:rPr>
                <w:rFonts w:ascii="宋体" w:hAnsi="宋体"/>
              </w:rPr>
              <w:t>个百分点；全市环境空气综合指数为</w:t>
            </w:r>
            <w:r>
              <w:t>3.87</w:t>
            </w:r>
            <w:r>
              <w:rPr>
                <w:rFonts w:ascii="宋体" w:hAnsi="宋体"/>
              </w:rPr>
              <w:t>，首要污染物为细颗粒物。区域空气质量现状如下表所示。</w:t>
            </w:r>
          </w:p>
          <w:p w14:paraId="2EC84F0B">
            <w:pPr>
              <w:spacing w:line="360" w:lineRule="auto"/>
              <w:jc w:val="center"/>
              <w:rPr>
                <w:rFonts w:eastAsia="黑体"/>
                <w:kern w:val="2"/>
              </w:rPr>
            </w:pPr>
            <w:r>
              <w:rPr>
                <w:rFonts w:ascii="黑体" w:hAnsi="黑体" w:eastAsia="黑体"/>
              </w:rPr>
              <w:t>表</w:t>
            </w:r>
            <w:r>
              <w:rPr>
                <w:rFonts w:eastAsia="黑体"/>
              </w:rPr>
              <w:t xml:space="preserve">3-1  </w:t>
            </w:r>
            <w:r>
              <w:rPr>
                <w:rFonts w:ascii="黑体" w:hAnsi="黑体" w:eastAsia="黑体"/>
              </w:rPr>
              <w:t>区域空气质量现状评价表</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50"/>
              <w:gridCol w:w="1148"/>
              <w:gridCol w:w="1148"/>
              <w:gridCol w:w="937"/>
              <w:gridCol w:w="747"/>
            </w:tblGrid>
            <w:tr w14:paraId="4CEBC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12" w:space="0"/>
                    <w:left w:val="nil"/>
                    <w:bottom w:val="single" w:color="auto" w:sz="4" w:space="0"/>
                    <w:right w:val="single" w:color="auto" w:sz="4" w:space="0"/>
                  </w:tcBorders>
                  <w:noWrap/>
                  <w:vAlign w:val="center"/>
                </w:tcPr>
                <w:p w14:paraId="2FB776B0">
                  <w:pPr>
                    <w:spacing w:line="273" w:lineRule="auto"/>
                    <w:jc w:val="center"/>
                    <w:rPr>
                      <w:b/>
                      <w:kern w:val="2"/>
                      <w:sz w:val="21"/>
                      <w:szCs w:val="21"/>
                    </w:rPr>
                  </w:pPr>
                  <w:r>
                    <w:rPr>
                      <w:rFonts w:ascii="宋体" w:hAnsi="宋体"/>
                      <w:b/>
                      <w:sz w:val="21"/>
                      <w:szCs w:val="21"/>
                    </w:rPr>
                    <w:t>污染物</w:t>
                  </w:r>
                </w:p>
              </w:tc>
              <w:tc>
                <w:tcPr>
                  <w:tcW w:w="3050" w:type="dxa"/>
                  <w:tcBorders>
                    <w:top w:val="single" w:color="auto" w:sz="12" w:space="0"/>
                    <w:left w:val="single" w:color="auto" w:sz="4" w:space="0"/>
                    <w:bottom w:val="single" w:color="auto" w:sz="4" w:space="0"/>
                    <w:right w:val="single" w:color="auto" w:sz="4" w:space="0"/>
                  </w:tcBorders>
                  <w:noWrap/>
                  <w:vAlign w:val="center"/>
                </w:tcPr>
                <w:p w14:paraId="105142C6">
                  <w:pPr>
                    <w:spacing w:line="273" w:lineRule="auto"/>
                    <w:jc w:val="center"/>
                    <w:rPr>
                      <w:b/>
                      <w:kern w:val="2"/>
                      <w:sz w:val="21"/>
                      <w:szCs w:val="21"/>
                    </w:rPr>
                  </w:pPr>
                  <w:r>
                    <w:rPr>
                      <w:rFonts w:ascii="宋体" w:hAnsi="宋体"/>
                      <w:b/>
                      <w:sz w:val="21"/>
                      <w:szCs w:val="21"/>
                    </w:rPr>
                    <w:t>年评价指标</w:t>
                  </w:r>
                </w:p>
              </w:tc>
              <w:tc>
                <w:tcPr>
                  <w:tcW w:w="1148" w:type="dxa"/>
                  <w:tcBorders>
                    <w:top w:val="single" w:color="auto" w:sz="12" w:space="0"/>
                    <w:left w:val="single" w:color="auto" w:sz="4" w:space="0"/>
                    <w:bottom w:val="single" w:color="auto" w:sz="4" w:space="0"/>
                    <w:right w:val="single" w:color="auto" w:sz="4" w:space="0"/>
                  </w:tcBorders>
                  <w:noWrap/>
                  <w:vAlign w:val="center"/>
                </w:tcPr>
                <w:p w14:paraId="1C2E8A29">
                  <w:pPr>
                    <w:widowControl/>
                    <w:adjustRightInd w:val="0"/>
                    <w:spacing w:line="273" w:lineRule="auto"/>
                    <w:jc w:val="center"/>
                    <w:rPr>
                      <w:b/>
                      <w:bCs/>
                      <w:kern w:val="2"/>
                      <w:sz w:val="21"/>
                      <w:szCs w:val="21"/>
                    </w:rPr>
                  </w:pPr>
                  <w:r>
                    <w:rPr>
                      <w:rFonts w:ascii="宋体" w:hAnsi="宋体"/>
                      <w:b/>
                      <w:bCs/>
                      <w:sz w:val="21"/>
                      <w:szCs w:val="21"/>
                    </w:rPr>
                    <w:t>现状浓度（</w:t>
                  </w:r>
                  <w:r>
                    <w:rPr>
                      <w:b/>
                      <w:bCs/>
                      <w:sz w:val="21"/>
                      <w:szCs w:val="21"/>
                    </w:rPr>
                    <w:t>μg/m</w:t>
                  </w:r>
                  <w:r>
                    <w:rPr>
                      <w:b/>
                      <w:bCs/>
                      <w:sz w:val="21"/>
                      <w:szCs w:val="21"/>
                      <w:vertAlign w:val="superscript"/>
                    </w:rPr>
                    <w:t>3</w:t>
                  </w:r>
                  <w:r>
                    <w:rPr>
                      <w:rFonts w:ascii="宋体" w:hAnsi="宋体"/>
                      <w:b/>
                      <w:bCs/>
                      <w:sz w:val="21"/>
                      <w:szCs w:val="21"/>
                    </w:rPr>
                    <w:t>）</w:t>
                  </w:r>
                </w:p>
              </w:tc>
              <w:tc>
                <w:tcPr>
                  <w:tcW w:w="1148" w:type="dxa"/>
                  <w:tcBorders>
                    <w:top w:val="single" w:color="auto" w:sz="12" w:space="0"/>
                    <w:left w:val="single" w:color="auto" w:sz="4" w:space="0"/>
                    <w:bottom w:val="single" w:color="auto" w:sz="4" w:space="0"/>
                    <w:right w:val="single" w:color="auto" w:sz="4" w:space="0"/>
                  </w:tcBorders>
                  <w:noWrap/>
                  <w:vAlign w:val="center"/>
                </w:tcPr>
                <w:p w14:paraId="0B84EAC4">
                  <w:pPr>
                    <w:widowControl/>
                    <w:adjustRightInd w:val="0"/>
                    <w:spacing w:line="273" w:lineRule="auto"/>
                    <w:jc w:val="center"/>
                    <w:rPr>
                      <w:b/>
                      <w:bCs/>
                      <w:kern w:val="2"/>
                      <w:sz w:val="21"/>
                      <w:szCs w:val="21"/>
                    </w:rPr>
                  </w:pPr>
                  <w:r>
                    <w:rPr>
                      <w:rFonts w:ascii="宋体" w:hAnsi="宋体"/>
                      <w:b/>
                      <w:bCs/>
                      <w:sz w:val="21"/>
                      <w:szCs w:val="21"/>
                    </w:rPr>
                    <w:t>标准值（</w:t>
                  </w:r>
                  <w:r>
                    <w:rPr>
                      <w:b/>
                      <w:bCs/>
                      <w:sz w:val="21"/>
                      <w:szCs w:val="21"/>
                    </w:rPr>
                    <w:t>μg/m</w:t>
                  </w:r>
                  <w:r>
                    <w:rPr>
                      <w:b/>
                      <w:bCs/>
                      <w:sz w:val="21"/>
                      <w:szCs w:val="21"/>
                      <w:vertAlign w:val="superscript"/>
                    </w:rPr>
                    <w:t>3</w:t>
                  </w:r>
                  <w:r>
                    <w:rPr>
                      <w:rFonts w:ascii="宋体" w:hAnsi="宋体"/>
                      <w:b/>
                      <w:bCs/>
                      <w:sz w:val="21"/>
                      <w:szCs w:val="21"/>
                    </w:rPr>
                    <w:t>）</w:t>
                  </w:r>
                </w:p>
              </w:tc>
              <w:tc>
                <w:tcPr>
                  <w:tcW w:w="937" w:type="dxa"/>
                  <w:tcBorders>
                    <w:top w:val="single" w:color="auto" w:sz="12" w:space="0"/>
                    <w:left w:val="single" w:color="auto" w:sz="4" w:space="0"/>
                    <w:bottom w:val="single" w:color="auto" w:sz="4" w:space="0"/>
                    <w:right w:val="single" w:color="auto" w:sz="4" w:space="0"/>
                  </w:tcBorders>
                  <w:noWrap/>
                  <w:vAlign w:val="center"/>
                </w:tcPr>
                <w:p w14:paraId="31291E72">
                  <w:pPr>
                    <w:widowControl/>
                    <w:adjustRightInd w:val="0"/>
                    <w:spacing w:line="273" w:lineRule="auto"/>
                    <w:jc w:val="center"/>
                    <w:rPr>
                      <w:b/>
                      <w:bCs/>
                      <w:kern w:val="2"/>
                      <w:sz w:val="21"/>
                      <w:szCs w:val="21"/>
                    </w:rPr>
                  </w:pPr>
                  <w:r>
                    <w:rPr>
                      <w:rFonts w:ascii="宋体" w:hAnsi="宋体"/>
                      <w:b/>
                      <w:bCs/>
                      <w:sz w:val="21"/>
                      <w:szCs w:val="21"/>
                    </w:rPr>
                    <w:t>占标率</w:t>
                  </w:r>
                </w:p>
              </w:tc>
              <w:tc>
                <w:tcPr>
                  <w:tcW w:w="747" w:type="dxa"/>
                  <w:tcBorders>
                    <w:top w:val="single" w:color="auto" w:sz="12" w:space="0"/>
                    <w:left w:val="single" w:color="auto" w:sz="4" w:space="0"/>
                    <w:bottom w:val="single" w:color="auto" w:sz="4" w:space="0"/>
                    <w:right w:val="nil"/>
                  </w:tcBorders>
                  <w:noWrap/>
                  <w:vAlign w:val="center"/>
                </w:tcPr>
                <w:p w14:paraId="32C23568">
                  <w:pPr>
                    <w:widowControl/>
                    <w:adjustRightInd w:val="0"/>
                    <w:spacing w:line="273" w:lineRule="auto"/>
                    <w:jc w:val="center"/>
                    <w:rPr>
                      <w:b/>
                      <w:bCs/>
                      <w:kern w:val="2"/>
                      <w:sz w:val="21"/>
                      <w:szCs w:val="21"/>
                    </w:rPr>
                  </w:pPr>
                  <w:r>
                    <w:rPr>
                      <w:rFonts w:ascii="宋体" w:hAnsi="宋体"/>
                      <w:b/>
                      <w:bCs/>
                      <w:sz w:val="21"/>
                      <w:szCs w:val="21"/>
                    </w:rPr>
                    <w:t>达标情况</w:t>
                  </w:r>
                </w:p>
              </w:tc>
            </w:tr>
            <w:tr w14:paraId="7D916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nil"/>
                    <w:bottom w:val="single" w:color="auto" w:sz="4" w:space="0"/>
                    <w:right w:val="single" w:color="auto" w:sz="4" w:space="0"/>
                  </w:tcBorders>
                  <w:noWrap/>
                  <w:vAlign w:val="center"/>
                </w:tcPr>
                <w:p w14:paraId="36E5F5E6">
                  <w:pPr>
                    <w:widowControl/>
                    <w:adjustRightInd w:val="0"/>
                    <w:spacing w:line="273" w:lineRule="auto"/>
                    <w:jc w:val="center"/>
                    <w:rPr>
                      <w:bCs/>
                      <w:kern w:val="2"/>
                      <w:sz w:val="21"/>
                      <w:szCs w:val="21"/>
                    </w:rPr>
                  </w:pPr>
                  <w:r>
                    <w:rPr>
                      <w:bCs/>
                      <w:sz w:val="21"/>
                      <w:szCs w:val="21"/>
                    </w:rPr>
                    <w:t>SO</w:t>
                  </w:r>
                  <w:r>
                    <w:rPr>
                      <w:bCs/>
                      <w:sz w:val="21"/>
                      <w:szCs w:val="21"/>
                      <w:vertAlign w:val="subscript"/>
                    </w:rPr>
                    <w:t>2</w:t>
                  </w:r>
                </w:p>
              </w:tc>
              <w:tc>
                <w:tcPr>
                  <w:tcW w:w="3050" w:type="dxa"/>
                  <w:tcBorders>
                    <w:top w:val="single" w:color="auto" w:sz="4" w:space="0"/>
                    <w:left w:val="single" w:color="auto" w:sz="4" w:space="0"/>
                    <w:bottom w:val="single" w:color="auto" w:sz="4" w:space="0"/>
                    <w:right w:val="single" w:color="auto" w:sz="4" w:space="0"/>
                  </w:tcBorders>
                  <w:noWrap/>
                  <w:vAlign w:val="center"/>
                </w:tcPr>
                <w:p w14:paraId="6D06E8F2">
                  <w:pPr>
                    <w:widowControl/>
                    <w:adjustRightInd w:val="0"/>
                    <w:spacing w:line="273" w:lineRule="auto"/>
                    <w:jc w:val="center"/>
                    <w:rPr>
                      <w:bCs/>
                      <w:kern w:val="2"/>
                      <w:sz w:val="21"/>
                      <w:szCs w:val="21"/>
                    </w:rPr>
                  </w:pPr>
                  <w:r>
                    <w:rPr>
                      <w:rFonts w:ascii="宋体" w:hAnsi="宋体"/>
                      <w:bCs/>
                      <w:sz w:val="21"/>
                      <w:szCs w:val="21"/>
                    </w:rPr>
                    <w:t>年平均质量浓度</w:t>
                  </w:r>
                </w:p>
              </w:tc>
              <w:tc>
                <w:tcPr>
                  <w:tcW w:w="1148" w:type="dxa"/>
                  <w:tcBorders>
                    <w:top w:val="single" w:color="auto" w:sz="4" w:space="0"/>
                    <w:left w:val="single" w:color="auto" w:sz="4" w:space="0"/>
                    <w:bottom w:val="single" w:color="auto" w:sz="4" w:space="0"/>
                    <w:right w:val="single" w:color="auto" w:sz="4" w:space="0"/>
                  </w:tcBorders>
                  <w:noWrap/>
                  <w:vAlign w:val="center"/>
                </w:tcPr>
                <w:p w14:paraId="5095BA56">
                  <w:pPr>
                    <w:spacing w:line="273" w:lineRule="auto"/>
                    <w:jc w:val="center"/>
                    <w:rPr>
                      <w:bCs/>
                      <w:kern w:val="2"/>
                      <w:sz w:val="21"/>
                      <w:szCs w:val="21"/>
                    </w:rPr>
                  </w:pPr>
                  <w:r>
                    <w:rPr>
                      <w:rFonts w:hint="eastAsia"/>
                      <w:bCs/>
                      <w:sz w:val="21"/>
                      <w:szCs w:val="21"/>
                    </w:rPr>
                    <w:t>7</w:t>
                  </w:r>
                </w:p>
              </w:tc>
              <w:tc>
                <w:tcPr>
                  <w:tcW w:w="1148" w:type="dxa"/>
                  <w:tcBorders>
                    <w:top w:val="single" w:color="auto" w:sz="4" w:space="0"/>
                    <w:left w:val="single" w:color="auto" w:sz="4" w:space="0"/>
                    <w:bottom w:val="single" w:color="auto" w:sz="4" w:space="0"/>
                    <w:right w:val="single" w:color="auto" w:sz="4" w:space="0"/>
                  </w:tcBorders>
                  <w:noWrap/>
                  <w:vAlign w:val="center"/>
                </w:tcPr>
                <w:p w14:paraId="39E8E3B2">
                  <w:pPr>
                    <w:spacing w:line="273" w:lineRule="auto"/>
                    <w:jc w:val="center"/>
                    <w:rPr>
                      <w:bCs/>
                      <w:kern w:val="2"/>
                      <w:sz w:val="21"/>
                      <w:szCs w:val="21"/>
                    </w:rPr>
                  </w:pPr>
                  <w:r>
                    <w:rPr>
                      <w:bCs/>
                      <w:sz w:val="21"/>
                      <w:szCs w:val="21"/>
                    </w:rPr>
                    <w:t>60</w:t>
                  </w:r>
                </w:p>
              </w:tc>
              <w:tc>
                <w:tcPr>
                  <w:tcW w:w="937" w:type="dxa"/>
                  <w:tcBorders>
                    <w:top w:val="single" w:color="auto" w:sz="4" w:space="0"/>
                    <w:left w:val="single" w:color="auto" w:sz="4" w:space="0"/>
                    <w:bottom w:val="single" w:color="auto" w:sz="4" w:space="0"/>
                    <w:right w:val="single" w:color="auto" w:sz="4" w:space="0"/>
                  </w:tcBorders>
                  <w:noWrap/>
                  <w:vAlign w:val="center"/>
                </w:tcPr>
                <w:p w14:paraId="168F3480">
                  <w:pPr>
                    <w:spacing w:line="273" w:lineRule="auto"/>
                    <w:jc w:val="center"/>
                    <w:rPr>
                      <w:bCs/>
                      <w:kern w:val="2"/>
                      <w:sz w:val="21"/>
                      <w:szCs w:val="21"/>
                    </w:rPr>
                  </w:pPr>
                  <w:r>
                    <w:rPr>
                      <w:rFonts w:hint="eastAsia"/>
                      <w:bCs/>
                      <w:sz w:val="21"/>
                      <w:szCs w:val="21"/>
                    </w:rPr>
                    <w:t>11.7</w:t>
                  </w:r>
                  <w:r>
                    <w:rPr>
                      <w:bCs/>
                      <w:sz w:val="21"/>
                      <w:szCs w:val="21"/>
                    </w:rPr>
                    <w:t>%</w:t>
                  </w:r>
                </w:p>
              </w:tc>
              <w:tc>
                <w:tcPr>
                  <w:tcW w:w="747" w:type="dxa"/>
                  <w:tcBorders>
                    <w:top w:val="single" w:color="auto" w:sz="4" w:space="0"/>
                    <w:left w:val="single" w:color="auto" w:sz="4" w:space="0"/>
                    <w:bottom w:val="single" w:color="auto" w:sz="4" w:space="0"/>
                    <w:right w:val="nil"/>
                  </w:tcBorders>
                  <w:noWrap/>
                  <w:vAlign w:val="center"/>
                </w:tcPr>
                <w:p w14:paraId="73EAC5F4">
                  <w:pPr>
                    <w:spacing w:line="273" w:lineRule="auto"/>
                    <w:jc w:val="center"/>
                    <w:rPr>
                      <w:bCs/>
                      <w:kern w:val="2"/>
                      <w:sz w:val="21"/>
                      <w:szCs w:val="21"/>
                    </w:rPr>
                  </w:pPr>
                  <w:r>
                    <w:rPr>
                      <w:rFonts w:ascii="宋体" w:hAnsi="宋体"/>
                      <w:bCs/>
                      <w:sz w:val="21"/>
                      <w:szCs w:val="21"/>
                    </w:rPr>
                    <w:t>达标</w:t>
                  </w:r>
                </w:p>
              </w:tc>
            </w:tr>
            <w:tr w14:paraId="765B2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nil"/>
                    <w:bottom w:val="single" w:color="auto" w:sz="4" w:space="0"/>
                    <w:right w:val="single" w:color="auto" w:sz="4" w:space="0"/>
                  </w:tcBorders>
                  <w:noWrap/>
                  <w:vAlign w:val="center"/>
                </w:tcPr>
                <w:p w14:paraId="3A6790F5">
                  <w:pPr>
                    <w:widowControl/>
                    <w:adjustRightInd w:val="0"/>
                    <w:spacing w:line="273" w:lineRule="auto"/>
                    <w:jc w:val="center"/>
                    <w:rPr>
                      <w:bCs/>
                      <w:kern w:val="2"/>
                      <w:sz w:val="21"/>
                      <w:szCs w:val="21"/>
                    </w:rPr>
                  </w:pPr>
                  <w:r>
                    <w:rPr>
                      <w:bCs/>
                      <w:sz w:val="21"/>
                      <w:szCs w:val="21"/>
                    </w:rPr>
                    <w:t>NO</w:t>
                  </w:r>
                  <w:r>
                    <w:rPr>
                      <w:bCs/>
                      <w:sz w:val="21"/>
                      <w:szCs w:val="21"/>
                      <w:vertAlign w:val="subscript"/>
                    </w:rPr>
                    <w:t>2</w:t>
                  </w:r>
                </w:p>
              </w:tc>
              <w:tc>
                <w:tcPr>
                  <w:tcW w:w="3050" w:type="dxa"/>
                  <w:tcBorders>
                    <w:top w:val="single" w:color="auto" w:sz="4" w:space="0"/>
                    <w:left w:val="single" w:color="auto" w:sz="4" w:space="0"/>
                    <w:bottom w:val="single" w:color="auto" w:sz="4" w:space="0"/>
                    <w:right w:val="single" w:color="auto" w:sz="4" w:space="0"/>
                  </w:tcBorders>
                  <w:noWrap/>
                  <w:vAlign w:val="center"/>
                </w:tcPr>
                <w:p w14:paraId="5FE79296">
                  <w:pPr>
                    <w:widowControl/>
                    <w:adjustRightInd w:val="0"/>
                    <w:spacing w:line="273" w:lineRule="auto"/>
                    <w:jc w:val="center"/>
                    <w:rPr>
                      <w:bCs/>
                      <w:kern w:val="2"/>
                      <w:sz w:val="21"/>
                      <w:szCs w:val="21"/>
                    </w:rPr>
                  </w:pPr>
                  <w:r>
                    <w:rPr>
                      <w:rFonts w:ascii="宋体" w:hAnsi="宋体"/>
                      <w:bCs/>
                      <w:sz w:val="21"/>
                      <w:szCs w:val="21"/>
                    </w:rPr>
                    <w:t>年平均质量浓度</w:t>
                  </w:r>
                </w:p>
              </w:tc>
              <w:tc>
                <w:tcPr>
                  <w:tcW w:w="1148" w:type="dxa"/>
                  <w:tcBorders>
                    <w:top w:val="single" w:color="auto" w:sz="4" w:space="0"/>
                    <w:left w:val="single" w:color="auto" w:sz="4" w:space="0"/>
                    <w:bottom w:val="single" w:color="auto" w:sz="4" w:space="0"/>
                    <w:right w:val="single" w:color="auto" w:sz="4" w:space="0"/>
                  </w:tcBorders>
                  <w:noWrap/>
                  <w:vAlign w:val="center"/>
                </w:tcPr>
                <w:p w14:paraId="2FD36E96">
                  <w:pPr>
                    <w:spacing w:line="273" w:lineRule="auto"/>
                    <w:jc w:val="center"/>
                    <w:rPr>
                      <w:bCs/>
                      <w:kern w:val="2"/>
                      <w:sz w:val="21"/>
                      <w:szCs w:val="21"/>
                    </w:rPr>
                  </w:pPr>
                  <w:r>
                    <w:rPr>
                      <w:rFonts w:hint="eastAsia"/>
                      <w:bCs/>
                      <w:sz w:val="21"/>
                      <w:szCs w:val="21"/>
                    </w:rPr>
                    <w:t>19</w:t>
                  </w:r>
                </w:p>
              </w:tc>
              <w:tc>
                <w:tcPr>
                  <w:tcW w:w="1148" w:type="dxa"/>
                  <w:tcBorders>
                    <w:top w:val="single" w:color="auto" w:sz="4" w:space="0"/>
                    <w:left w:val="single" w:color="auto" w:sz="4" w:space="0"/>
                    <w:bottom w:val="single" w:color="auto" w:sz="4" w:space="0"/>
                    <w:right w:val="single" w:color="auto" w:sz="4" w:space="0"/>
                  </w:tcBorders>
                  <w:noWrap/>
                  <w:vAlign w:val="center"/>
                </w:tcPr>
                <w:p w14:paraId="49BF8BD1">
                  <w:pPr>
                    <w:spacing w:line="273" w:lineRule="auto"/>
                    <w:jc w:val="center"/>
                    <w:rPr>
                      <w:bCs/>
                      <w:kern w:val="2"/>
                      <w:sz w:val="21"/>
                      <w:szCs w:val="21"/>
                    </w:rPr>
                  </w:pPr>
                  <w:r>
                    <w:rPr>
                      <w:bCs/>
                      <w:sz w:val="21"/>
                      <w:szCs w:val="21"/>
                    </w:rPr>
                    <w:t>40</w:t>
                  </w:r>
                </w:p>
              </w:tc>
              <w:tc>
                <w:tcPr>
                  <w:tcW w:w="937" w:type="dxa"/>
                  <w:tcBorders>
                    <w:top w:val="single" w:color="auto" w:sz="4" w:space="0"/>
                    <w:left w:val="single" w:color="auto" w:sz="4" w:space="0"/>
                    <w:bottom w:val="single" w:color="auto" w:sz="4" w:space="0"/>
                    <w:right w:val="single" w:color="auto" w:sz="4" w:space="0"/>
                  </w:tcBorders>
                  <w:noWrap/>
                  <w:vAlign w:val="center"/>
                </w:tcPr>
                <w:p w14:paraId="06214E9C">
                  <w:pPr>
                    <w:spacing w:line="273" w:lineRule="auto"/>
                    <w:jc w:val="center"/>
                    <w:rPr>
                      <w:bCs/>
                      <w:kern w:val="2"/>
                      <w:sz w:val="21"/>
                      <w:szCs w:val="21"/>
                    </w:rPr>
                  </w:pPr>
                  <w:r>
                    <w:rPr>
                      <w:rFonts w:hint="eastAsia"/>
                      <w:bCs/>
                      <w:sz w:val="21"/>
                      <w:szCs w:val="21"/>
                    </w:rPr>
                    <w:t>47.5</w:t>
                  </w:r>
                  <w:r>
                    <w:rPr>
                      <w:bCs/>
                      <w:sz w:val="21"/>
                      <w:szCs w:val="21"/>
                    </w:rPr>
                    <w:t>%</w:t>
                  </w:r>
                </w:p>
              </w:tc>
              <w:tc>
                <w:tcPr>
                  <w:tcW w:w="747" w:type="dxa"/>
                  <w:tcBorders>
                    <w:top w:val="single" w:color="auto" w:sz="4" w:space="0"/>
                    <w:left w:val="single" w:color="auto" w:sz="4" w:space="0"/>
                    <w:bottom w:val="single" w:color="auto" w:sz="4" w:space="0"/>
                    <w:right w:val="nil"/>
                  </w:tcBorders>
                  <w:noWrap/>
                  <w:vAlign w:val="center"/>
                </w:tcPr>
                <w:p w14:paraId="00C734AF">
                  <w:pPr>
                    <w:spacing w:line="273" w:lineRule="auto"/>
                    <w:jc w:val="center"/>
                    <w:rPr>
                      <w:bCs/>
                      <w:kern w:val="2"/>
                      <w:sz w:val="21"/>
                      <w:szCs w:val="21"/>
                    </w:rPr>
                  </w:pPr>
                  <w:r>
                    <w:rPr>
                      <w:rFonts w:ascii="宋体" w:hAnsi="宋体"/>
                      <w:bCs/>
                      <w:sz w:val="21"/>
                      <w:szCs w:val="21"/>
                    </w:rPr>
                    <w:t>达标</w:t>
                  </w:r>
                </w:p>
              </w:tc>
            </w:tr>
            <w:tr w14:paraId="3734E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nil"/>
                    <w:bottom w:val="single" w:color="auto" w:sz="4" w:space="0"/>
                    <w:right w:val="single" w:color="auto" w:sz="4" w:space="0"/>
                  </w:tcBorders>
                  <w:noWrap/>
                  <w:vAlign w:val="center"/>
                </w:tcPr>
                <w:p w14:paraId="510835AF">
                  <w:pPr>
                    <w:widowControl/>
                    <w:adjustRightInd w:val="0"/>
                    <w:spacing w:line="273" w:lineRule="auto"/>
                    <w:jc w:val="center"/>
                    <w:rPr>
                      <w:bCs/>
                      <w:kern w:val="2"/>
                      <w:sz w:val="21"/>
                      <w:szCs w:val="21"/>
                    </w:rPr>
                  </w:pPr>
                  <w:r>
                    <w:rPr>
                      <w:bCs/>
                      <w:sz w:val="21"/>
                      <w:szCs w:val="21"/>
                    </w:rPr>
                    <w:t>PM</w:t>
                  </w:r>
                  <w:r>
                    <w:rPr>
                      <w:bCs/>
                      <w:sz w:val="21"/>
                      <w:szCs w:val="21"/>
                      <w:vertAlign w:val="subscript"/>
                    </w:rPr>
                    <w:t>10</w:t>
                  </w:r>
                </w:p>
              </w:tc>
              <w:tc>
                <w:tcPr>
                  <w:tcW w:w="3050" w:type="dxa"/>
                  <w:tcBorders>
                    <w:top w:val="single" w:color="auto" w:sz="4" w:space="0"/>
                    <w:left w:val="single" w:color="auto" w:sz="4" w:space="0"/>
                    <w:bottom w:val="single" w:color="auto" w:sz="4" w:space="0"/>
                    <w:right w:val="single" w:color="auto" w:sz="4" w:space="0"/>
                  </w:tcBorders>
                  <w:noWrap/>
                  <w:vAlign w:val="center"/>
                </w:tcPr>
                <w:p w14:paraId="2AEDE0AA">
                  <w:pPr>
                    <w:widowControl/>
                    <w:adjustRightInd w:val="0"/>
                    <w:spacing w:line="273" w:lineRule="auto"/>
                    <w:jc w:val="center"/>
                    <w:rPr>
                      <w:bCs/>
                      <w:kern w:val="2"/>
                      <w:sz w:val="21"/>
                      <w:szCs w:val="21"/>
                    </w:rPr>
                  </w:pPr>
                  <w:r>
                    <w:rPr>
                      <w:rFonts w:ascii="宋体" w:hAnsi="宋体"/>
                      <w:bCs/>
                      <w:sz w:val="21"/>
                      <w:szCs w:val="21"/>
                    </w:rPr>
                    <w:t>年平均质量浓度</w:t>
                  </w:r>
                </w:p>
              </w:tc>
              <w:tc>
                <w:tcPr>
                  <w:tcW w:w="1148" w:type="dxa"/>
                  <w:tcBorders>
                    <w:top w:val="single" w:color="auto" w:sz="4" w:space="0"/>
                    <w:left w:val="single" w:color="auto" w:sz="4" w:space="0"/>
                    <w:bottom w:val="single" w:color="auto" w:sz="4" w:space="0"/>
                    <w:right w:val="single" w:color="auto" w:sz="4" w:space="0"/>
                  </w:tcBorders>
                  <w:noWrap/>
                  <w:vAlign w:val="center"/>
                </w:tcPr>
                <w:p w14:paraId="29C32FE6">
                  <w:pPr>
                    <w:spacing w:line="273" w:lineRule="auto"/>
                    <w:jc w:val="center"/>
                    <w:rPr>
                      <w:bCs/>
                      <w:kern w:val="2"/>
                      <w:sz w:val="21"/>
                      <w:szCs w:val="21"/>
                    </w:rPr>
                  </w:pPr>
                  <w:r>
                    <w:rPr>
                      <w:bCs/>
                      <w:sz w:val="21"/>
                      <w:szCs w:val="21"/>
                    </w:rPr>
                    <w:t>65.</w:t>
                  </w:r>
                  <w:r>
                    <w:rPr>
                      <w:rFonts w:hint="eastAsia"/>
                      <w:bCs/>
                      <w:sz w:val="21"/>
                      <w:szCs w:val="21"/>
                    </w:rPr>
                    <w:t>0</w:t>
                  </w:r>
                </w:p>
              </w:tc>
              <w:tc>
                <w:tcPr>
                  <w:tcW w:w="1148" w:type="dxa"/>
                  <w:tcBorders>
                    <w:top w:val="single" w:color="auto" w:sz="4" w:space="0"/>
                    <w:left w:val="single" w:color="auto" w:sz="4" w:space="0"/>
                    <w:bottom w:val="single" w:color="auto" w:sz="4" w:space="0"/>
                    <w:right w:val="single" w:color="auto" w:sz="4" w:space="0"/>
                  </w:tcBorders>
                  <w:noWrap/>
                  <w:vAlign w:val="center"/>
                </w:tcPr>
                <w:p w14:paraId="3D81F4B5">
                  <w:pPr>
                    <w:spacing w:line="273" w:lineRule="auto"/>
                    <w:jc w:val="center"/>
                    <w:rPr>
                      <w:bCs/>
                      <w:kern w:val="2"/>
                      <w:sz w:val="21"/>
                      <w:szCs w:val="21"/>
                    </w:rPr>
                  </w:pPr>
                  <w:r>
                    <w:rPr>
                      <w:bCs/>
                      <w:sz w:val="21"/>
                      <w:szCs w:val="21"/>
                    </w:rPr>
                    <w:t>70</w:t>
                  </w:r>
                </w:p>
              </w:tc>
              <w:tc>
                <w:tcPr>
                  <w:tcW w:w="937" w:type="dxa"/>
                  <w:tcBorders>
                    <w:top w:val="single" w:color="auto" w:sz="4" w:space="0"/>
                    <w:left w:val="single" w:color="auto" w:sz="4" w:space="0"/>
                    <w:bottom w:val="single" w:color="auto" w:sz="4" w:space="0"/>
                    <w:right w:val="single" w:color="auto" w:sz="4" w:space="0"/>
                  </w:tcBorders>
                  <w:noWrap/>
                  <w:vAlign w:val="center"/>
                </w:tcPr>
                <w:p w14:paraId="4877C8B2">
                  <w:pPr>
                    <w:spacing w:line="273" w:lineRule="auto"/>
                    <w:jc w:val="center"/>
                    <w:rPr>
                      <w:bCs/>
                      <w:kern w:val="2"/>
                      <w:sz w:val="21"/>
                      <w:szCs w:val="21"/>
                    </w:rPr>
                  </w:pPr>
                  <w:r>
                    <w:rPr>
                      <w:rFonts w:hint="eastAsia"/>
                      <w:bCs/>
                      <w:sz w:val="21"/>
                      <w:szCs w:val="21"/>
                    </w:rPr>
                    <w:t>92.9</w:t>
                  </w:r>
                  <w:r>
                    <w:rPr>
                      <w:bCs/>
                      <w:sz w:val="21"/>
                      <w:szCs w:val="21"/>
                    </w:rPr>
                    <w:t>%</w:t>
                  </w:r>
                </w:p>
              </w:tc>
              <w:tc>
                <w:tcPr>
                  <w:tcW w:w="747" w:type="dxa"/>
                  <w:tcBorders>
                    <w:top w:val="single" w:color="auto" w:sz="4" w:space="0"/>
                    <w:left w:val="single" w:color="auto" w:sz="4" w:space="0"/>
                    <w:bottom w:val="single" w:color="auto" w:sz="4" w:space="0"/>
                    <w:right w:val="nil"/>
                  </w:tcBorders>
                  <w:noWrap/>
                  <w:vAlign w:val="center"/>
                </w:tcPr>
                <w:p w14:paraId="7960160D">
                  <w:pPr>
                    <w:spacing w:line="273" w:lineRule="auto"/>
                    <w:jc w:val="center"/>
                    <w:rPr>
                      <w:bCs/>
                      <w:kern w:val="2"/>
                      <w:sz w:val="21"/>
                      <w:szCs w:val="21"/>
                    </w:rPr>
                  </w:pPr>
                  <w:r>
                    <w:rPr>
                      <w:rFonts w:ascii="宋体" w:hAnsi="宋体"/>
                      <w:bCs/>
                      <w:sz w:val="21"/>
                      <w:szCs w:val="21"/>
                    </w:rPr>
                    <w:t>达标</w:t>
                  </w:r>
                </w:p>
              </w:tc>
            </w:tr>
            <w:tr w14:paraId="634AB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nil"/>
                    <w:bottom w:val="single" w:color="auto" w:sz="4" w:space="0"/>
                    <w:right w:val="single" w:color="auto" w:sz="4" w:space="0"/>
                  </w:tcBorders>
                  <w:noWrap/>
                  <w:vAlign w:val="center"/>
                </w:tcPr>
                <w:p w14:paraId="01E49108">
                  <w:pPr>
                    <w:widowControl/>
                    <w:adjustRightInd w:val="0"/>
                    <w:spacing w:line="273" w:lineRule="auto"/>
                    <w:jc w:val="center"/>
                    <w:rPr>
                      <w:bCs/>
                      <w:kern w:val="2"/>
                      <w:sz w:val="21"/>
                      <w:szCs w:val="21"/>
                    </w:rPr>
                  </w:pPr>
                  <w:r>
                    <w:rPr>
                      <w:bCs/>
                      <w:sz w:val="21"/>
                      <w:szCs w:val="21"/>
                    </w:rPr>
                    <w:t>PM</w:t>
                  </w:r>
                  <w:r>
                    <w:rPr>
                      <w:bCs/>
                      <w:sz w:val="21"/>
                      <w:szCs w:val="21"/>
                      <w:vertAlign w:val="subscript"/>
                    </w:rPr>
                    <w:t>2.5</w:t>
                  </w:r>
                </w:p>
              </w:tc>
              <w:tc>
                <w:tcPr>
                  <w:tcW w:w="3050" w:type="dxa"/>
                  <w:tcBorders>
                    <w:top w:val="single" w:color="auto" w:sz="4" w:space="0"/>
                    <w:left w:val="single" w:color="auto" w:sz="4" w:space="0"/>
                    <w:bottom w:val="single" w:color="auto" w:sz="4" w:space="0"/>
                    <w:right w:val="single" w:color="auto" w:sz="4" w:space="0"/>
                  </w:tcBorders>
                  <w:noWrap/>
                  <w:vAlign w:val="center"/>
                </w:tcPr>
                <w:p w14:paraId="4B062078">
                  <w:pPr>
                    <w:widowControl/>
                    <w:adjustRightInd w:val="0"/>
                    <w:spacing w:line="273" w:lineRule="auto"/>
                    <w:jc w:val="center"/>
                    <w:rPr>
                      <w:bCs/>
                      <w:kern w:val="2"/>
                      <w:sz w:val="21"/>
                      <w:szCs w:val="21"/>
                    </w:rPr>
                  </w:pPr>
                  <w:r>
                    <w:rPr>
                      <w:rFonts w:ascii="宋体" w:hAnsi="宋体"/>
                      <w:bCs/>
                      <w:sz w:val="21"/>
                      <w:szCs w:val="21"/>
                    </w:rPr>
                    <w:t>年平均质量浓度</w:t>
                  </w:r>
                </w:p>
              </w:tc>
              <w:tc>
                <w:tcPr>
                  <w:tcW w:w="1148" w:type="dxa"/>
                  <w:tcBorders>
                    <w:top w:val="single" w:color="auto" w:sz="4" w:space="0"/>
                    <w:left w:val="single" w:color="auto" w:sz="4" w:space="0"/>
                    <w:bottom w:val="single" w:color="auto" w:sz="4" w:space="0"/>
                    <w:right w:val="single" w:color="auto" w:sz="4" w:space="0"/>
                  </w:tcBorders>
                  <w:noWrap/>
                  <w:vAlign w:val="center"/>
                </w:tcPr>
                <w:p w14:paraId="5BE4C9B4">
                  <w:pPr>
                    <w:spacing w:line="273" w:lineRule="auto"/>
                    <w:jc w:val="center"/>
                    <w:rPr>
                      <w:bCs/>
                      <w:kern w:val="2"/>
                      <w:sz w:val="21"/>
                      <w:szCs w:val="21"/>
                    </w:rPr>
                  </w:pPr>
                  <w:r>
                    <w:rPr>
                      <w:rFonts w:hint="eastAsia"/>
                      <w:bCs/>
                      <w:sz w:val="21"/>
                      <w:szCs w:val="21"/>
                    </w:rPr>
                    <w:t>40.0</w:t>
                  </w:r>
                </w:p>
              </w:tc>
              <w:tc>
                <w:tcPr>
                  <w:tcW w:w="1148" w:type="dxa"/>
                  <w:tcBorders>
                    <w:top w:val="single" w:color="auto" w:sz="4" w:space="0"/>
                    <w:left w:val="single" w:color="auto" w:sz="4" w:space="0"/>
                    <w:bottom w:val="single" w:color="auto" w:sz="4" w:space="0"/>
                    <w:right w:val="single" w:color="auto" w:sz="4" w:space="0"/>
                  </w:tcBorders>
                  <w:noWrap/>
                  <w:vAlign w:val="center"/>
                </w:tcPr>
                <w:p w14:paraId="6ED5EF3D">
                  <w:pPr>
                    <w:spacing w:line="273" w:lineRule="auto"/>
                    <w:jc w:val="center"/>
                    <w:rPr>
                      <w:bCs/>
                      <w:kern w:val="2"/>
                      <w:sz w:val="21"/>
                      <w:szCs w:val="21"/>
                    </w:rPr>
                  </w:pPr>
                  <w:r>
                    <w:rPr>
                      <w:bCs/>
                      <w:sz w:val="21"/>
                      <w:szCs w:val="21"/>
                    </w:rPr>
                    <w:t>35</w:t>
                  </w:r>
                </w:p>
              </w:tc>
              <w:tc>
                <w:tcPr>
                  <w:tcW w:w="937" w:type="dxa"/>
                  <w:tcBorders>
                    <w:top w:val="single" w:color="auto" w:sz="4" w:space="0"/>
                    <w:left w:val="single" w:color="auto" w:sz="4" w:space="0"/>
                    <w:bottom w:val="single" w:color="auto" w:sz="4" w:space="0"/>
                    <w:right w:val="single" w:color="auto" w:sz="4" w:space="0"/>
                  </w:tcBorders>
                  <w:noWrap/>
                  <w:vAlign w:val="center"/>
                </w:tcPr>
                <w:p w14:paraId="190587E2">
                  <w:pPr>
                    <w:spacing w:line="273" w:lineRule="auto"/>
                    <w:jc w:val="center"/>
                    <w:rPr>
                      <w:bCs/>
                      <w:kern w:val="2"/>
                      <w:sz w:val="21"/>
                      <w:szCs w:val="21"/>
                    </w:rPr>
                  </w:pPr>
                  <w:r>
                    <w:rPr>
                      <w:rFonts w:hint="eastAsia"/>
                      <w:bCs/>
                      <w:sz w:val="21"/>
                      <w:szCs w:val="21"/>
                    </w:rPr>
                    <w:t>114.3</w:t>
                  </w:r>
                  <w:r>
                    <w:rPr>
                      <w:bCs/>
                      <w:sz w:val="21"/>
                      <w:szCs w:val="21"/>
                    </w:rPr>
                    <w:t>%</w:t>
                  </w:r>
                </w:p>
              </w:tc>
              <w:tc>
                <w:tcPr>
                  <w:tcW w:w="747" w:type="dxa"/>
                  <w:tcBorders>
                    <w:top w:val="single" w:color="auto" w:sz="4" w:space="0"/>
                    <w:left w:val="single" w:color="auto" w:sz="4" w:space="0"/>
                    <w:bottom w:val="single" w:color="auto" w:sz="4" w:space="0"/>
                    <w:right w:val="nil"/>
                  </w:tcBorders>
                  <w:noWrap/>
                  <w:vAlign w:val="center"/>
                </w:tcPr>
                <w:p w14:paraId="52F0E40C">
                  <w:pPr>
                    <w:spacing w:line="273" w:lineRule="auto"/>
                    <w:jc w:val="center"/>
                    <w:rPr>
                      <w:bCs/>
                      <w:kern w:val="2"/>
                      <w:sz w:val="21"/>
                      <w:szCs w:val="21"/>
                    </w:rPr>
                  </w:pPr>
                  <w:r>
                    <w:rPr>
                      <w:rFonts w:ascii="宋体" w:hAnsi="宋体"/>
                      <w:bCs/>
                      <w:sz w:val="21"/>
                      <w:szCs w:val="21"/>
                    </w:rPr>
                    <w:t>超标</w:t>
                  </w:r>
                </w:p>
              </w:tc>
            </w:tr>
            <w:tr w14:paraId="60561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nil"/>
                    <w:bottom w:val="single" w:color="auto" w:sz="4" w:space="0"/>
                    <w:right w:val="single" w:color="auto" w:sz="4" w:space="0"/>
                  </w:tcBorders>
                  <w:noWrap/>
                  <w:vAlign w:val="center"/>
                </w:tcPr>
                <w:p w14:paraId="64B1AD21">
                  <w:pPr>
                    <w:widowControl/>
                    <w:adjustRightInd w:val="0"/>
                    <w:spacing w:line="273" w:lineRule="auto"/>
                    <w:jc w:val="center"/>
                    <w:rPr>
                      <w:bCs/>
                      <w:kern w:val="2"/>
                      <w:sz w:val="21"/>
                      <w:szCs w:val="21"/>
                    </w:rPr>
                  </w:pPr>
                  <w:r>
                    <w:rPr>
                      <w:bCs/>
                      <w:sz w:val="21"/>
                      <w:szCs w:val="21"/>
                    </w:rPr>
                    <w:t>CO</w:t>
                  </w:r>
                </w:p>
              </w:tc>
              <w:tc>
                <w:tcPr>
                  <w:tcW w:w="3050" w:type="dxa"/>
                  <w:tcBorders>
                    <w:top w:val="single" w:color="auto" w:sz="4" w:space="0"/>
                    <w:left w:val="single" w:color="auto" w:sz="4" w:space="0"/>
                    <w:bottom w:val="single" w:color="auto" w:sz="4" w:space="0"/>
                    <w:right w:val="single" w:color="auto" w:sz="4" w:space="0"/>
                  </w:tcBorders>
                  <w:noWrap/>
                  <w:vAlign w:val="center"/>
                </w:tcPr>
                <w:p w14:paraId="06486FEC">
                  <w:pPr>
                    <w:widowControl/>
                    <w:adjustRightInd w:val="0"/>
                    <w:spacing w:line="273" w:lineRule="auto"/>
                    <w:jc w:val="center"/>
                    <w:rPr>
                      <w:bCs/>
                      <w:kern w:val="2"/>
                      <w:sz w:val="21"/>
                      <w:szCs w:val="21"/>
                    </w:rPr>
                  </w:pPr>
                  <w:r>
                    <w:rPr>
                      <w:rFonts w:ascii="宋体" w:hAnsi="宋体"/>
                      <w:bCs/>
                      <w:sz w:val="21"/>
                      <w:szCs w:val="21"/>
                    </w:rPr>
                    <w:t>第</w:t>
                  </w:r>
                  <w:r>
                    <w:rPr>
                      <w:bCs/>
                      <w:sz w:val="21"/>
                      <w:szCs w:val="21"/>
                    </w:rPr>
                    <w:t>95</w:t>
                  </w:r>
                  <w:r>
                    <w:rPr>
                      <w:rFonts w:ascii="宋体" w:hAnsi="宋体"/>
                      <w:bCs/>
                      <w:sz w:val="21"/>
                      <w:szCs w:val="21"/>
                    </w:rPr>
                    <w:t>百分位数日平均质量浓度</w:t>
                  </w:r>
                </w:p>
              </w:tc>
              <w:tc>
                <w:tcPr>
                  <w:tcW w:w="1148" w:type="dxa"/>
                  <w:tcBorders>
                    <w:top w:val="single" w:color="auto" w:sz="4" w:space="0"/>
                    <w:left w:val="single" w:color="auto" w:sz="4" w:space="0"/>
                    <w:bottom w:val="single" w:color="auto" w:sz="4" w:space="0"/>
                    <w:right w:val="single" w:color="auto" w:sz="4" w:space="0"/>
                  </w:tcBorders>
                  <w:noWrap/>
                  <w:vAlign w:val="center"/>
                </w:tcPr>
                <w:p w14:paraId="5ECEE289">
                  <w:pPr>
                    <w:spacing w:line="273" w:lineRule="auto"/>
                    <w:jc w:val="center"/>
                    <w:rPr>
                      <w:bCs/>
                      <w:kern w:val="2"/>
                      <w:sz w:val="21"/>
                      <w:szCs w:val="21"/>
                    </w:rPr>
                  </w:pPr>
                  <w:r>
                    <w:rPr>
                      <w:rFonts w:hint="eastAsia"/>
                      <w:bCs/>
                      <w:sz w:val="21"/>
                      <w:szCs w:val="21"/>
                    </w:rPr>
                    <w:t>8</w:t>
                  </w:r>
                  <w:r>
                    <w:rPr>
                      <w:bCs/>
                      <w:sz w:val="21"/>
                      <w:szCs w:val="21"/>
                    </w:rPr>
                    <w:t>00</w:t>
                  </w:r>
                </w:p>
              </w:tc>
              <w:tc>
                <w:tcPr>
                  <w:tcW w:w="1148" w:type="dxa"/>
                  <w:tcBorders>
                    <w:top w:val="single" w:color="auto" w:sz="4" w:space="0"/>
                    <w:left w:val="single" w:color="auto" w:sz="4" w:space="0"/>
                    <w:bottom w:val="single" w:color="auto" w:sz="4" w:space="0"/>
                    <w:right w:val="single" w:color="auto" w:sz="4" w:space="0"/>
                  </w:tcBorders>
                  <w:noWrap/>
                  <w:vAlign w:val="center"/>
                </w:tcPr>
                <w:p w14:paraId="3B893D7E">
                  <w:pPr>
                    <w:spacing w:line="273" w:lineRule="auto"/>
                    <w:jc w:val="center"/>
                    <w:rPr>
                      <w:bCs/>
                      <w:kern w:val="2"/>
                      <w:sz w:val="21"/>
                      <w:szCs w:val="21"/>
                    </w:rPr>
                  </w:pPr>
                  <w:r>
                    <w:rPr>
                      <w:bCs/>
                      <w:sz w:val="21"/>
                      <w:szCs w:val="21"/>
                    </w:rPr>
                    <w:t>4000</w:t>
                  </w:r>
                </w:p>
              </w:tc>
              <w:tc>
                <w:tcPr>
                  <w:tcW w:w="937" w:type="dxa"/>
                  <w:tcBorders>
                    <w:top w:val="single" w:color="auto" w:sz="4" w:space="0"/>
                    <w:left w:val="single" w:color="auto" w:sz="4" w:space="0"/>
                    <w:bottom w:val="single" w:color="auto" w:sz="4" w:space="0"/>
                    <w:right w:val="single" w:color="auto" w:sz="4" w:space="0"/>
                  </w:tcBorders>
                  <w:noWrap/>
                  <w:vAlign w:val="center"/>
                </w:tcPr>
                <w:p w14:paraId="32AB1FE8">
                  <w:pPr>
                    <w:spacing w:line="273" w:lineRule="auto"/>
                    <w:jc w:val="center"/>
                    <w:rPr>
                      <w:bCs/>
                      <w:kern w:val="2"/>
                      <w:sz w:val="21"/>
                      <w:szCs w:val="21"/>
                    </w:rPr>
                  </w:pPr>
                  <w:r>
                    <w:rPr>
                      <w:rFonts w:hint="eastAsia"/>
                      <w:bCs/>
                      <w:sz w:val="21"/>
                      <w:szCs w:val="21"/>
                    </w:rPr>
                    <w:t>20</w:t>
                  </w:r>
                  <w:r>
                    <w:rPr>
                      <w:bCs/>
                      <w:sz w:val="21"/>
                      <w:szCs w:val="21"/>
                    </w:rPr>
                    <w:t>%</w:t>
                  </w:r>
                </w:p>
              </w:tc>
              <w:tc>
                <w:tcPr>
                  <w:tcW w:w="747" w:type="dxa"/>
                  <w:tcBorders>
                    <w:top w:val="single" w:color="auto" w:sz="4" w:space="0"/>
                    <w:left w:val="single" w:color="auto" w:sz="4" w:space="0"/>
                    <w:bottom w:val="single" w:color="auto" w:sz="4" w:space="0"/>
                    <w:right w:val="nil"/>
                  </w:tcBorders>
                  <w:noWrap/>
                  <w:vAlign w:val="center"/>
                </w:tcPr>
                <w:p w14:paraId="1367C214">
                  <w:pPr>
                    <w:spacing w:line="273" w:lineRule="auto"/>
                    <w:jc w:val="center"/>
                    <w:rPr>
                      <w:bCs/>
                      <w:kern w:val="2"/>
                      <w:sz w:val="21"/>
                      <w:szCs w:val="21"/>
                    </w:rPr>
                  </w:pPr>
                  <w:r>
                    <w:rPr>
                      <w:rFonts w:ascii="宋体" w:hAnsi="宋体"/>
                      <w:bCs/>
                      <w:sz w:val="21"/>
                      <w:szCs w:val="21"/>
                    </w:rPr>
                    <w:t>达标</w:t>
                  </w:r>
                </w:p>
              </w:tc>
            </w:tr>
            <w:tr w14:paraId="685C9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825" w:type="dxa"/>
                  <w:tcBorders>
                    <w:top w:val="single" w:color="auto" w:sz="4" w:space="0"/>
                    <w:left w:val="nil"/>
                    <w:bottom w:val="single" w:color="auto" w:sz="12" w:space="0"/>
                    <w:right w:val="single" w:color="auto" w:sz="4" w:space="0"/>
                  </w:tcBorders>
                  <w:noWrap/>
                  <w:vAlign w:val="center"/>
                </w:tcPr>
                <w:p w14:paraId="192E3AC5">
                  <w:pPr>
                    <w:widowControl/>
                    <w:adjustRightInd w:val="0"/>
                    <w:spacing w:line="273" w:lineRule="auto"/>
                    <w:jc w:val="center"/>
                    <w:rPr>
                      <w:bCs/>
                      <w:kern w:val="2"/>
                      <w:sz w:val="21"/>
                      <w:szCs w:val="21"/>
                    </w:rPr>
                  </w:pPr>
                  <w:r>
                    <w:rPr>
                      <w:bCs/>
                      <w:sz w:val="21"/>
                      <w:szCs w:val="21"/>
                    </w:rPr>
                    <w:t>O</w:t>
                  </w:r>
                  <w:r>
                    <w:rPr>
                      <w:bCs/>
                      <w:sz w:val="21"/>
                      <w:szCs w:val="21"/>
                      <w:vertAlign w:val="subscript"/>
                    </w:rPr>
                    <w:t>3</w:t>
                  </w:r>
                </w:p>
              </w:tc>
              <w:tc>
                <w:tcPr>
                  <w:tcW w:w="3050" w:type="dxa"/>
                  <w:tcBorders>
                    <w:top w:val="single" w:color="auto" w:sz="4" w:space="0"/>
                    <w:left w:val="single" w:color="auto" w:sz="4" w:space="0"/>
                    <w:bottom w:val="single" w:color="auto" w:sz="12" w:space="0"/>
                    <w:right w:val="single" w:color="auto" w:sz="4" w:space="0"/>
                  </w:tcBorders>
                  <w:noWrap/>
                  <w:vAlign w:val="center"/>
                </w:tcPr>
                <w:p w14:paraId="7CB3D56B">
                  <w:pPr>
                    <w:widowControl/>
                    <w:adjustRightInd w:val="0"/>
                    <w:spacing w:line="273" w:lineRule="auto"/>
                    <w:jc w:val="center"/>
                    <w:rPr>
                      <w:bCs/>
                      <w:kern w:val="2"/>
                      <w:sz w:val="21"/>
                      <w:szCs w:val="21"/>
                    </w:rPr>
                  </w:pPr>
                  <w:r>
                    <w:rPr>
                      <w:rFonts w:ascii="宋体" w:hAnsi="宋体"/>
                      <w:bCs/>
                      <w:sz w:val="21"/>
                      <w:szCs w:val="21"/>
                    </w:rPr>
                    <w:t>第</w:t>
                  </w:r>
                  <w:r>
                    <w:rPr>
                      <w:bCs/>
                      <w:sz w:val="21"/>
                      <w:szCs w:val="21"/>
                    </w:rPr>
                    <w:t>90</w:t>
                  </w:r>
                  <w:r>
                    <w:rPr>
                      <w:rFonts w:ascii="宋体" w:hAnsi="宋体"/>
                      <w:bCs/>
                      <w:sz w:val="21"/>
                      <w:szCs w:val="21"/>
                    </w:rPr>
                    <w:t>百分位数日最大</w:t>
                  </w:r>
                  <w:r>
                    <w:rPr>
                      <w:bCs/>
                      <w:sz w:val="21"/>
                      <w:szCs w:val="21"/>
                    </w:rPr>
                    <w:t>8</w:t>
                  </w:r>
                  <w:r>
                    <w:rPr>
                      <w:rFonts w:ascii="宋体" w:hAnsi="宋体"/>
                      <w:bCs/>
                      <w:sz w:val="21"/>
                      <w:szCs w:val="21"/>
                    </w:rPr>
                    <w:t>小时平均质量浓度</w:t>
                  </w:r>
                </w:p>
              </w:tc>
              <w:tc>
                <w:tcPr>
                  <w:tcW w:w="1148" w:type="dxa"/>
                  <w:tcBorders>
                    <w:top w:val="single" w:color="auto" w:sz="4" w:space="0"/>
                    <w:left w:val="single" w:color="auto" w:sz="4" w:space="0"/>
                    <w:bottom w:val="single" w:color="auto" w:sz="12" w:space="0"/>
                    <w:right w:val="single" w:color="auto" w:sz="4" w:space="0"/>
                  </w:tcBorders>
                  <w:noWrap/>
                  <w:vAlign w:val="center"/>
                </w:tcPr>
                <w:p w14:paraId="1A7D7E24">
                  <w:pPr>
                    <w:spacing w:line="273" w:lineRule="auto"/>
                    <w:jc w:val="center"/>
                    <w:rPr>
                      <w:bCs/>
                      <w:kern w:val="2"/>
                      <w:sz w:val="21"/>
                      <w:szCs w:val="21"/>
                    </w:rPr>
                  </w:pPr>
                  <w:r>
                    <w:rPr>
                      <w:rFonts w:hint="eastAsia"/>
                      <w:bCs/>
                      <w:sz w:val="21"/>
                      <w:szCs w:val="21"/>
                    </w:rPr>
                    <w:t>160</w:t>
                  </w:r>
                </w:p>
              </w:tc>
              <w:tc>
                <w:tcPr>
                  <w:tcW w:w="1148" w:type="dxa"/>
                  <w:tcBorders>
                    <w:top w:val="single" w:color="auto" w:sz="4" w:space="0"/>
                    <w:left w:val="single" w:color="auto" w:sz="4" w:space="0"/>
                    <w:bottom w:val="single" w:color="auto" w:sz="12" w:space="0"/>
                    <w:right w:val="single" w:color="auto" w:sz="4" w:space="0"/>
                  </w:tcBorders>
                  <w:noWrap/>
                  <w:vAlign w:val="center"/>
                </w:tcPr>
                <w:p w14:paraId="0DE75F6D">
                  <w:pPr>
                    <w:spacing w:line="273" w:lineRule="auto"/>
                    <w:jc w:val="center"/>
                    <w:rPr>
                      <w:bCs/>
                      <w:kern w:val="2"/>
                      <w:sz w:val="21"/>
                      <w:szCs w:val="21"/>
                    </w:rPr>
                  </w:pPr>
                  <w:r>
                    <w:rPr>
                      <w:bCs/>
                      <w:sz w:val="21"/>
                      <w:szCs w:val="21"/>
                    </w:rPr>
                    <w:t>160</w:t>
                  </w:r>
                </w:p>
              </w:tc>
              <w:tc>
                <w:tcPr>
                  <w:tcW w:w="937" w:type="dxa"/>
                  <w:tcBorders>
                    <w:top w:val="single" w:color="auto" w:sz="4" w:space="0"/>
                    <w:left w:val="single" w:color="auto" w:sz="4" w:space="0"/>
                    <w:bottom w:val="single" w:color="auto" w:sz="12" w:space="0"/>
                    <w:right w:val="single" w:color="auto" w:sz="4" w:space="0"/>
                  </w:tcBorders>
                  <w:noWrap/>
                  <w:vAlign w:val="center"/>
                </w:tcPr>
                <w:p w14:paraId="4852C559">
                  <w:pPr>
                    <w:spacing w:line="273" w:lineRule="auto"/>
                    <w:jc w:val="center"/>
                    <w:rPr>
                      <w:bCs/>
                      <w:kern w:val="2"/>
                      <w:sz w:val="21"/>
                      <w:szCs w:val="21"/>
                    </w:rPr>
                  </w:pPr>
                  <w:r>
                    <w:rPr>
                      <w:rFonts w:hint="eastAsia"/>
                      <w:bCs/>
                      <w:sz w:val="21"/>
                      <w:szCs w:val="21"/>
                    </w:rPr>
                    <w:t>100</w:t>
                  </w:r>
                  <w:r>
                    <w:rPr>
                      <w:bCs/>
                      <w:sz w:val="21"/>
                      <w:szCs w:val="21"/>
                    </w:rPr>
                    <w:t>%</w:t>
                  </w:r>
                </w:p>
              </w:tc>
              <w:tc>
                <w:tcPr>
                  <w:tcW w:w="747" w:type="dxa"/>
                  <w:tcBorders>
                    <w:top w:val="single" w:color="auto" w:sz="4" w:space="0"/>
                    <w:left w:val="single" w:color="auto" w:sz="4" w:space="0"/>
                    <w:bottom w:val="single" w:color="auto" w:sz="12" w:space="0"/>
                    <w:right w:val="nil"/>
                  </w:tcBorders>
                  <w:noWrap/>
                  <w:vAlign w:val="center"/>
                </w:tcPr>
                <w:p w14:paraId="5F5C43A4">
                  <w:pPr>
                    <w:spacing w:line="273" w:lineRule="auto"/>
                    <w:jc w:val="center"/>
                    <w:rPr>
                      <w:bCs/>
                      <w:kern w:val="2"/>
                      <w:sz w:val="21"/>
                      <w:szCs w:val="21"/>
                    </w:rPr>
                  </w:pPr>
                  <w:r>
                    <w:rPr>
                      <w:rFonts w:ascii="宋体" w:hAnsi="宋体"/>
                      <w:bCs/>
                      <w:sz w:val="21"/>
                      <w:szCs w:val="21"/>
                    </w:rPr>
                    <w:t>达标</w:t>
                  </w:r>
                </w:p>
              </w:tc>
            </w:tr>
          </w:tbl>
          <w:p w14:paraId="5E72E691">
            <w:pPr>
              <w:spacing w:line="360" w:lineRule="auto"/>
              <w:ind w:firstLine="480" w:firstLineChars="200"/>
              <w:rPr>
                <w:rFonts w:hAnsi="Calibri"/>
                <w:kern w:val="2"/>
              </w:rPr>
            </w:pPr>
            <w:r>
              <w:rPr>
                <w:rFonts w:ascii="宋体" w:hAnsi="宋体"/>
              </w:rPr>
              <w:t>根据《</w:t>
            </w:r>
            <w:r>
              <w:t>202</w:t>
            </w:r>
            <w:r>
              <w:rPr>
                <w:rFonts w:hint="eastAsia"/>
              </w:rPr>
              <w:t>4</w:t>
            </w:r>
            <w:r>
              <w:rPr>
                <w:rFonts w:ascii="宋体" w:hAnsi="宋体"/>
              </w:rPr>
              <w:t>年淮南市生态环境质量状况公报》并结合《环境空气质量标准》（</w:t>
            </w:r>
            <w:r>
              <w:t>GB3095-2012</w:t>
            </w:r>
            <w:r>
              <w:rPr>
                <w:rFonts w:ascii="宋体" w:hAnsi="宋体"/>
              </w:rPr>
              <w:t>）及其修改清单中的二级标准可知，</w:t>
            </w:r>
            <w:r>
              <w:t>202</w:t>
            </w:r>
            <w:r>
              <w:rPr>
                <w:rFonts w:hint="eastAsia"/>
              </w:rPr>
              <w:t>4</w:t>
            </w:r>
            <w:r>
              <w:rPr>
                <w:rFonts w:ascii="宋体" w:hAnsi="宋体"/>
              </w:rPr>
              <w:t>年淮南市环境空气中</w:t>
            </w:r>
            <w:r>
              <w:t>PM</w:t>
            </w:r>
            <w:r>
              <w:rPr>
                <w:vertAlign w:val="subscript"/>
              </w:rPr>
              <w:t>2.5</w:t>
            </w:r>
            <w:r>
              <w:rPr>
                <w:rFonts w:ascii="宋体" w:hAnsi="宋体"/>
              </w:rPr>
              <w:t>年平均浓度超过环境空气质量二级标准，经判定，项目所在区为环境空气质量不达标区域，超标因子为</w:t>
            </w:r>
            <w:r>
              <w:t>PM</w:t>
            </w:r>
            <w:r>
              <w:rPr>
                <w:vertAlign w:val="subscript"/>
              </w:rPr>
              <w:t>2.5</w:t>
            </w:r>
            <w:r>
              <w:rPr>
                <w:rFonts w:ascii="宋体" w:hAnsi="宋体"/>
              </w:rPr>
              <w:t>。</w:t>
            </w:r>
          </w:p>
          <w:p w14:paraId="41B5A4D9">
            <w:pPr>
              <w:spacing w:line="360" w:lineRule="auto"/>
              <w:ind w:firstLine="480" w:firstLineChars="200"/>
            </w:pPr>
            <w:r>
              <w:rPr>
                <w:rFonts w:hint="eastAsia" w:ascii="宋体" w:hAnsi="宋体"/>
              </w:rPr>
              <w:t>淮南市生态环境局就空气质量不达标提出一系列举措，为确保淮南市大气污染防治工作有效推进，目前，淮南市已制订《淮南市“十四五”大气污染防治规划（</w:t>
            </w:r>
            <w:r>
              <w:rPr>
                <w:rFonts w:hint="eastAsia"/>
              </w:rPr>
              <w:t>2021-2025</w:t>
            </w:r>
            <w:r>
              <w:rPr>
                <w:rFonts w:hint="eastAsia" w:ascii="宋体" w:hAnsi="宋体"/>
              </w:rPr>
              <w:t>年）》，围绕工业大气污染治理、扬（烟）尘污染防治等开展专项治理活动，进一步削减大气污染物排放。</w:t>
            </w:r>
          </w:p>
          <w:p w14:paraId="7D9F26E9">
            <w:pPr>
              <w:spacing w:line="360" w:lineRule="auto"/>
              <w:ind w:firstLine="482" w:firstLineChars="200"/>
              <w:rPr>
                <w:b/>
                <w:highlight w:val="none"/>
              </w:rPr>
            </w:pPr>
            <w:r>
              <w:rPr>
                <w:rFonts w:hAnsi="宋体"/>
                <w:b/>
                <w:highlight w:val="none"/>
              </w:rPr>
              <w:t>（</w:t>
            </w:r>
            <w:r>
              <w:rPr>
                <w:rFonts w:hint="eastAsia"/>
                <w:b/>
                <w:highlight w:val="none"/>
              </w:rPr>
              <w:t>2</w:t>
            </w:r>
            <w:r>
              <w:rPr>
                <w:rFonts w:hAnsi="宋体"/>
                <w:b/>
                <w:highlight w:val="none"/>
              </w:rPr>
              <w:t>）其他污染物监测结果</w:t>
            </w:r>
          </w:p>
          <w:p w14:paraId="787C1878">
            <w:pPr>
              <w:spacing w:line="360" w:lineRule="auto"/>
              <w:ind w:firstLine="480" w:firstLineChars="200"/>
              <w:rPr>
                <w:rFonts w:hint="eastAsia"/>
                <w:highlight w:val="none"/>
                <w:lang w:val="en-US" w:eastAsia="zh-CN"/>
              </w:rPr>
            </w:pPr>
            <w:r>
              <w:rPr>
                <w:highlight w:val="none"/>
              </w:rPr>
              <w:t>与本项目有关的其他大气污染物为非甲烷总烃</w:t>
            </w:r>
            <w:r>
              <w:rPr>
                <w:rFonts w:hint="eastAsia"/>
                <w:highlight w:val="none"/>
                <w:lang w:eastAsia="zh-CN"/>
              </w:rPr>
              <w:t>、</w:t>
            </w:r>
            <w:r>
              <w:rPr>
                <w:rFonts w:hint="eastAsia"/>
                <w:highlight w:val="none"/>
              </w:rPr>
              <w:t>TSP</w:t>
            </w:r>
            <w:r>
              <w:rPr>
                <w:rFonts w:hint="eastAsia"/>
                <w:highlight w:val="none"/>
                <w:lang w:eastAsia="zh-CN"/>
              </w:rPr>
              <w:t>、</w:t>
            </w:r>
            <w:r>
              <w:rPr>
                <w:rFonts w:hint="eastAsia"/>
                <w:highlight w:val="none"/>
                <w:lang w:val="en-US" w:eastAsia="zh-CN"/>
              </w:rPr>
              <w:t>甲苯、二甲苯和硫化氢</w:t>
            </w:r>
            <w:r>
              <w:rPr>
                <w:highlight w:val="none"/>
              </w:rPr>
              <w:t>，为了解区域环境空气质量现状，</w:t>
            </w:r>
            <w:r>
              <w:rPr>
                <w:rFonts w:hint="eastAsia"/>
                <w:highlight w:val="none"/>
                <w:lang w:eastAsia="zh-CN"/>
              </w:rPr>
              <w:t>本项目</w:t>
            </w:r>
            <w:r>
              <w:rPr>
                <w:rFonts w:hint="eastAsia"/>
                <w:highlight w:val="none"/>
              </w:rPr>
              <w:t>TSP</w:t>
            </w:r>
            <w:r>
              <w:rPr>
                <w:rFonts w:hint="eastAsia"/>
                <w:highlight w:val="none"/>
                <w:lang w:eastAsia="zh-CN"/>
              </w:rPr>
              <w:t>、非甲烷总烃、</w:t>
            </w:r>
            <w:r>
              <w:rPr>
                <w:rFonts w:hint="eastAsia"/>
                <w:highlight w:val="none"/>
                <w:lang w:val="en-US" w:eastAsia="zh-CN"/>
              </w:rPr>
              <w:t>二甲苯和硫化氢引用《淮南经济技术开发区跟踪评价大气环境质量监测项目检测报告》中位于“淮南富力城小区内G</w:t>
            </w:r>
            <w:r>
              <w:rPr>
                <w:rFonts w:hint="eastAsia"/>
                <w:highlight w:val="none"/>
                <w:vertAlign w:val="subscript"/>
                <w:lang w:val="en-US" w:eastAsia="zh-CN"/>
              </w:rPr>
              <w:t>5</w:t>
            </w:r>
            <w:r>
              <w:rPr>
                <w:rFonts w:hint="eastAsia"/>
                <w:highlight w:val="none"/>
                <w:lang w:val="en-US" w:eastAsia="zh-CN"/>
              </w:rPr>
              <w:t>”的监测数据，其中TSP监测时段为2024年10月26日至2024年11月1日；非甲烷总烃、二甲苯和硫化氢监测时段为2024年10月25日至2024年10月31日，监测点位位于本项目东北侧约3029m处，符合《建设项目环境影响报告表编制技术指南》（污染影响类）（试行）中“引用建设项目周边5km范围内近3年的现有监测数据”要求；</w:t>
            </w:r>
          </w:p>
          <w:p w14:paraId="589A40B1">
            <w:pPr>
              <w:spacing w:line="360" w:lineRule="auto"/>
              <w:rPr>
                <w:highlight w:val="none"/>
              </w:rPr>
            </w:pPr>
            <w:r>
              <w:rPr>
                <w:rFonts w:hint="eastAsia"/>
                <w:highlight w:val="none"/>
                <w:lang w:val="en-US" w:eastAsia="zh-CN"/>
              </w:rPr>
              <w:t>本项目另委托山东尚石民通环境检测有限公司于2026年2月3日-2月9日对本项目区域环境空气质量中甲苯因子进行了现状监测，监测点位为淮南富力城小区。大气监测点位示意图见</w:t>
            </w:r>
            <w:r>
              <w:rPr>
                <w:highlight w:val="none"/>
              </w:rPr>
              <w:t>附图</w:t>
            </w:r>
            <w:r>
              <w:rPr>
                <w:rFonts w:hint="eastAsia"/>
                <w:highlight w:val="none"/>
                <w:lang w:val="en-US" w:eastAsia="zh-CN"/>
              </w:rPr>
              <w:t>8</w:t>
            </w:r>
            <w:r>
              <w:rPr>
                <w:rFonts w:hint="eastAsia"/>
                <w:highlight w:val="none"/>
              </w:rPr>
              <w:t>，</w:t>
            </w:r>
            <w:r>
              <w:rPr>
                <w:highlight w:val="none"/>
              </w:rPr>
              <w:t>监测结果如下：</w:t>
            </w:r>
          </w:p>
          <w:p w14:paraId="1D21D3AA">
            <w:pPr>
              <w:wordWrap w:val="0"/>
              <w:spacing w:line="360" w:lineRule="auto"/>
              <w:jc w:val="center"/>
              <w:rPr>
                <w:rFonts w:hAnsi="黑体" w:eastAsia="黑体"/>
                <w:vertAlign w:val="superscript"/>
              </w:rPr>
            </w:pPr>
            <w:r>
              <w:rPr>
                <w:rFonts w:hAnsi="黑体" w:eastAsia="黑体"/>
              </w:rPr>
              <w:t>表</w:t>
            </w:r>
            <w:r>
              <w:rPr>
                <w:rFonts w:eastAsia="黑体"/>
              </w:rPr>
              <w:t>3-</w:t>
            </w:r>
            <w:r>
              <w:rPr>
                <w:rFonts w:hint="eastAsia" w:eastAsia="黑体"/>
              </w:rPr>
              <w:t xml:space="preserve">2  </w:t>
            </w:r>
            <w:r>
              <w:rPr>
                <w:rFonts w:eastAsia="黑体"/>
              </w:rPr>
              <w:t>其他污染物引用</w:t>
            </w:r>
            <w:r>
              <w:rPr>
                <w:rFonts w:hAnsi="黑体" w:eastAsia="黑体"/>
              </w:rPr>
              <w:t>监测</w:t>
            </w:r>
            <w:r>
              <w:rPr>
                <w:rFonts w:hint="eastAsia" w:hAnsi="黑体" w:eastAsia="黑体"/>
              </w:rPr>
              <w:t>结果一览表  单位：mg/m</w:t>
            </w:r>
            <w:r>
              <w:rPr>
                <w:rFonts w:hint="eastAsia" w:hAnsi="黑体" w:eastAsia="黑体"/>
                <w:vertAlign w:val="superscript"/>
              </w:rPr>
              <w:t>3</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16"/>
              <w:gridCol w:w="1138"/>
              <w:gridCol w:w="1087"/>
              <w:gridCol w:w="1138"/>
              <w:gridCol w:w="924"/>
              <w:gridCol w:w="793"/>
            </w:tblGrid>
            <w:tr w14:paraId="2089A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restart"/>
                  <w:noWrap w:val="0"/>
                  <w:vAlign w:val="center"/>
                </w:tcPr>
                <w:p w14:paraId="7063E8E6">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监测点</w:t>
                  </w:r>
                </w:p>
              </w:tc>
              <w:tc>
                <w:tcPr>
                  <w:tcW w:w="1716" w:type="dxa"/>
                  <w:vMerge w:val="restart"/>
                  <w:noWrap w:val="0"/>
                  <w:vAlign w:val="center"/>
                </w:tcPr>
                <w:p w14:paraId="09EA2591">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污染物</w:t>
                  </w:r>
                </w:p>
              </w:tc>
              <w:tc>
                <w:tcPr>
                  <w:tcW w:w="4287" w:type="dxa"/>
                  <w:gridSpan w:val="4"/>
                  <w:noWrap w:val="0"/>
                  <w:vAlign w:val="center"/>
                </w:tcPr>
                <w:p w14:paraId="2545673A">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浓度值</w:t>
                  </w:r>
                </w:p>
              </w:tc>
              <w:tc>
                <w:tcPr>
                  <w:tcW w:w="793" w:type="dxa"/>
                  <w:vMerge w:val="restart"/>
                  <w:noWrap w:val="0"/>
                  <w:vAlign w:val="center"/>
                </w:tcPr>
                <w:p w14:paraId="1E40AA95">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达标情况</w:t>
                  </w:r>
                </w:p>
              </w:tc>
            </w:tr>
            <w:tr w14:paraId="5A8A78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0948450E">
                  <w:pPr>
                    <w:widowControl/>
                    <w:adjustRightInd w:val="0"/>
                    <w:spacing w:line="273" w:lineRule="auto"/>
                    <w:jc w:val="center"/>
                    <w:rPr>
                      <w:rFonts w:ascii="Times New Roman" w:hAnsi="Times New Roman" w:eastAsia="宋体" w:cs="Times New Roman"/>
                      <w:bCs/>
                      <w:sz w:val="21"/>
                      <w:szCs w:val="21"/>
                    </w:rPr>
                  </w:pPr>
                </w:p>
              </w:tc>
              <w:tc>
                <w:tcPr>
                  <w:tcW w:w="1716" w:type="dxa"/>
                  <w:vMerge w:val="continue"/>
                  <w:noWrap w:val="0"/>
                  <w:vAlign w:val="center"/>
                </w:tcPr>
                <w:p w14:paraId="7CBCE858">
                  <w:pPr>
                    <w:widowControl/>
                    <w:adjustRightInd w:val="0"/>
                    <w:spacing w:line="273" w:lineRule="auto"/>
                    <w:jc w:val="center"/>
                    <w:rPr>
                      <w:rFonts w:ascii="Times New Roman" w:hAnsi="Times New Roman" w:eastAsia="宋体" w:cs="Times New Roman"/>
                      <w:bCs/>
                      <w:sz w:val="21"/>
                      <w:szCs w:val="21"/>
                    </w:rPr>
                  </w:pPr>
                </w:p>
              </w:tc>
              <w:tc>
                <w:tcPr>
                  <w:tcW w:w="2225" w:type="dxa"/>
                  <w:gridSpan w:val="2"/>
                  <w:noWrap w:val="0"/>
                  <w:vAlign w:val="center"/>
                </w:tcPr>
                <w:p w14:paraId="0791EEBB">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浓度范围（μg/m</w:t>
                  </w:r>
                  <w:r>
                    <w:rPr>
                      <w:rFonts w:ascii="Times New Roman" w:hAnsi="Times New Roman" w:eastAsia="宋体" w:cs="Times New Roman"/>
                      <w:b/>
                      <w:bCs w:val="0"/>
                      <w:sz w:val="21"/>
                      <w:szCs w:val="21"/>
                      <w:vertAlign w:val="superscript"/>
                    </w:rPr>
                    <w:t>3</w:t>
                  </w:r>
                  <w:r>
                    <w:rPr>
                      <w:rFonts w:ascii="Times New Roman" w:hAnsi="Times New Roman" w:eastAsia="宋体" w:cs="Times New Roman"/>
                      <w:b/>
                      <w:bCs w:val="0"/>
                      <w:sz w:val="21"/>
                      <w:szCs w:val="21"/>
                    </w:rPr>
                    <w:t>）</w:t>
                  </w:r>
                </w:p>
              </w:tc>
              <w:tc>
                <w:tcPr>
                  <w:tcW w:w="1138" w:type="dxa"/>
                  <w:vMerge w:val="restart"/>
                  <w:noWrap w:val="0"/>
                  <w:vAlign w:val="center"/>
                </w:tcPr>
                <w:p w14:paraId="7248BD46">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最大占标率（%）</w:t>
                  </w:r>
                </w:p>
              </w:tc>
              <w:tc>
                <w:tcPr>
                  <w:tcW w:w="924" w:type="dxa"/>
                  <w:vMerge w:val="restart"/>
                  <w:noWrap w:val="0"/>
                  <w:vAlign w:val="center"/>
                </w:tcPr>
                <w:p w14:paraId="2469E570">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超标率（%）</w:t>
                  </w:r>
                </w:p>
              </w:tc>
              <w:tc>
                <w:tcPr>
                  <w:tcW w:w="793" w:type="dxa"/>
                  <w:vMerge w:val="continue"/>
                  <w:noWrap w:val="0"/>
                  <w:vAlign w:val="center"/>
                </w:tcPr>
                <w:p w14:paraId="527EB43E">
                  <w:pPr>
                    <w:widowControl/>
                    <w:adjustRightInd w:val="0"/>
                    <w:spacing w:line="273" w:lineRule="auto"/>
                    <w:jc w:val="center"/>
                    <w:rPr>
                      <w:rFonts w:ascii="Times New Roman" w:hAnsi="Times New Roman" w:eastAsia="宋体" w:cs="Times New Roman"/>
                      <w:bCs/>
                      <w:sz w:val="21"/>
                      <w:szCs w:val="21"/>
                    </w:rPr>
                  </w:pPr>
                </w:p>
              </w:tc>
            </w:tr>
            <w:tr w14:paraId="75D46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22E5AF79">
                  <w:pPr>
                    <w:widowControl/>
                    <w:adjustRightInd w:val="0"/>
                    <w:spacing w:line="273" w:lineRule="auto"/>
                    <w:jc w:val="center"/>
                    <w:rPr>
                      <w:rFonts w:ascii="Times New Roman" w:hAnsi="Times New Roman" w:eastAsia="宋体" w:cs="Times New Roman"/>
                      <w:bCs/>
                      <w:sz w:val="21"/>
                      <w:szCs w:val="21"/>
                    </w:rPr>
                  </w:pPr>
                </w:p>
              </w:tc>
              <w:tc>
                <w:tcPr>
                  <w:tcW w:w="1716" w:type="dxa"/>
                  <w:vMerge w:val="continue"/>
                  <w:noWrap w:val="0"/>
                  <w:vAlign w:val="center"/>
                </w:tcPr>
                <w:p w14:paraId="66E95701">
                  <w:pPr>
                    <w:widowControl/>
                    <w:adjustRightInd w:val="0"/>
                    <w:spacing w:line="273" w:lineRule="auto"/>
                    <w:jc w:val="center"/>
                    <w:rPr>
                      <w:rFonts w:ascii="Times New Roman" w:hAnsi="Times New Roman" w:eastAsia="宋体" w:cs="Times New Roman"/>
                      <w:bCs/>
                      <w:sz w:val="21"/>
                      <w:szCs w:val="21"/>
                    </w:rPr>
                  </w:pPr>
                </w:p>
              </w:tc>
              <w:tc>
                <w:tcPr>
                  <w:tcW w:w="1138" w:type="dxa"/>
                  <w:noWrap w:val="0"/>
                  <w:vAlign w:val="center"/>
                </w:tcPr>
                <w:p w14:paraId="3F2BF162">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最小值</w:t>
                  </w:r>
                </w:p>
              </w:tc>
              <w:tc>
                <w:tcPr>
                  <w:tcW w:w="1087" w:type="dxa"/>
                  <w:noWrap w:val="0"/>
                  <w:vAlign w:val="center"/>
                </w:tcPr>
                <w:p w14:paraId="1064BCDF">
                  <w:pPr>
                    <w:widowControl/>
                    <w:adjustRightInd w:val="0"/>
                    <w:spacing w:line="273"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最大值</w:t>
                  </w:r>
                </w:p>
              </w:tc>
              <w:tc>
                <w:tcPr>
                  <w:tcW w:w="1138" w:type="dxa"/>
                  <w:vMerge w:val="continue"/>
                  <w:noWrap w:val="0"/>
                  <w:vAlign w:val="center"/>
                </w:tcPr>
                <w:p w14:paraId="2E27178A">
                  <w:pPr>
                    <w:widowControl/>
                    <w:adjustRightInd w:val="0"/>
                    <w:spacing w:line="273" w:lineRule="auto"/>
                    <w:jc w:val="center"/>
                    <w:rPr>
                      <w:rFonts w:ascii="Times New Roman" w:hAnsi="Times New Roman" w:eastAsia="宋体" w:cs="Times New Roman"/>
                      <w:bCs/>
                      <w:sz w:val="21"/>
                      <w:szCs w:val="21"/>
                    </w:rPr>
                  </w:pPr>
                </w:p>
              </w:tc>
              <w:tc>
                <w:tcPr>
                  <w:tcW w:w="924" w:type="dxa"/>
                  <w:vMerge w:val="continue"/>
                  <w:noWrap w:val="0"/>
                  <w:vAlign w:val="center"/>
                </w:tcPr>
                <w:p w14:paraId="2FD6B478">
                  <w:pPr>
                    <w:widowControl/>
                    <w:adjustRightInd w:val="0"/>
                    <w:spacing w:line="273" w:lineRule="auto"/>
                    <w:jc w:val="center"/>
                    <w:rPr>
                      <w:rFonts w:ascii="Times New Roman" w:hAnsi="Times New Roman" w:eastAsia="宋体" w:cs="Times New Roman"/>
                      <w:bCs/>
                      <w:sz w:val="21"/>
                      <w:szCs w:val="21"/>
                    </w:rPr>
                  </w:pPr>
                </w:p>
              </w:tc>
              <w:tc>
                <w:tcPr>
                  <w:tcW w:w="793" w:type="dxa"/>
                  <w:vMerge w:val="continue"/>
                  <w:noWrap w:val="0"/>
                  <w:vAlign w:val="center"/>
                </w:tcPr>
                <w:p w14:paraId="267C7663">
                  <w:pPr>
                    <w:widowControl/>
                    <w:adjustRightInd w:val="0"/>
                    <w:spacing w:line="273" w:lineRule="auto"/>
                    <w:jc w:val="center"/>
                    <w:rPr>
                      <w:rFonts w:ascii="Times New Roman" w:hAnsi="Times New Roman" w:eastAsia="宋体" w:cs="Times New Roman"/>
                      <w:bCs/>
                      <w:sz w:val="21"/>
                      <w:szCs w:val="21"/>
                    </w:rPr>
                  </w:pPr>
                </w:p>
              </w:tc>
            </w:tr>
            <w:tr w14:paraId="209269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restart"/>
                  <w:noWrap w:val="0"/>
                  <w:vAlign w:val="center"/>
                </w:tcPr>
                <w:p w14:paraId="47AE43C7">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淮南富力城小区内G</w:t>
                  </w:r>
                  <w:r>
                    <w:rPr>
                      <w:rFonts w:hint="eastAsia" w:ascii="Times New Roman" w:hAnsi="Times New Roman" w:eastAsia="宋体" w:cs="Times New Roman"/>
                      <w:bCs/>
                      <w:sz w:val="21"/>
                      <w:szCs w:val="21"/>
                      <w:vertAlign w:val="subscript"/>
                      <w:lang w:val="en-US" w:eastAsia="zh-CN"/>
                    </w:rPr>
                    <w:t>5</w:t>
                  </w:r>
                </w:p>
              </w:tc>
              <w:tc>
                <w:tcPr>
                  <w:tcW w:w="1716" w:type="dxa"/>
                  <w:noWrap w:val="0"/>
                  <w:vAlign w:val="center"/>
                </w:tcPr>
                <w:p w14:paraId="0A3C9C24">
                  <w:pPr>
                    <w:widowControl/>
                    <w:adjustRightInd w:val="0"/>
                    <w:spacing w:line="273"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TSP（日均值）</w:t>
                  </w:r>
                </w:p>
              </w:tc>
              <w:tc>
                <w:tcPr>
                  <w:tcW w:w="1138" w:type="dxa"/>
                  <w:noWrap w:val="0"/>
                  <w:vAlign w:val="center"/>
                </w:tcPr>
                <w:p w14:paraId="5FB488E5">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90</w:t>
                  </w:r>
                </w:p>
              </w:tc>
              <w:tc>
                <w:tcPr>
                  <w:tcW w:w="1087" w:type="dxa"/>
                  <w:noWrap w:val="0"/>
                  <w:vAlign w:val="center"/>
                </w:tcPr>
                <w:p w14:paraId="5467B183">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97</w:t>
                  </w:r>
                </w:p>
              </w:tc>
              <w:tc>
                <w:tcPr>
                  <w:tcW w:w="1138" w:type="dxa"/>
                  <w:noWrap w:val="0"/>
                  <w:vAlign w:val="center"/>
                </w:tcPr>
                <w:p w14:paraId="08E99970">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32.3</w:t>
                  </w:r>
                </w:p>
              </w:tc>
              <w:tc>
                <w:tcPr>
                  <w:tcW w:w="924" w:type="dxa"/>
                  <w:noWrap w:val="0"/>
                  <w:vAlign w:val="center"/>
                </w:tcPr>
                <w:p w14:paraId="22B079D5">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0</w:t>
                  </w:r>
                </w:p>
              </w:tc>
              <w:tc>
                <w:tcPr>
                  <w:tcW w:w="793" w:type="dxa"/>
                  <w:noWrap w:val="0"/>
                  <w:vAlign w:val="center"/>
                </w:tcPr>
                <w:p w14:paraId="75EA8960">
                  <w:pPr>
                    <w:widowControl/>
                    <w:adjustRightInd w:val="0"/>
                    <w:spacing w:line="273"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达标</w:t>
                  </w:r>
                </w:p>
              </w:tc>
            </w:tr>
            <w:tr w14:paraId="23710E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702BEB70">
                  <w:pPr>
                    <w:widowControl/>
                    <w:adjustRightInd w:val="0"/>
                    <w:spacing w:line="273" w:lineRule="auto"/>
                    <w:jc w:val="center"/>
                    <w:textAlignment w:val="auto"/>
                    <w:outlineLvl w:val="9"/>
                    <w:rPr>
                      <w:rFonts w:ascii="Times New Roman" w:hAnsi="Times New Roman" w:eastAsia="宋体" w:cs="Times New Roman"/>
                      <w:bCs/>
                      <w:sz w:val="21"/>
                      <w:szCs w:val="21"/>
                    </w:rPr>
                    <w:pPrChange w:id="0" w:author="hzhj" w:date="2025-07-31T10:04:00Z">
                      <w:pPr>
                        <w:spacing w:line="276" w:lineRule="auto"/>
                        <w:jc w:val="center"/>
                        <w:textAlignment w:val="center"/>
                        <w:outlineLvl w:val="0"/>
                      </w:pPr>
                    </w:pPrChange>
                  </w:pPr>
                </w:p>
              </w:tc>
              <w:tc>
                <w:tcPr>
                  <w:tcW w:w="1716" w:type="dxa"/>
                  <w:noWrap w:val="0"/>
                  <w:vAlign w:val="center"/>
                </w:tcPr>
                <w:p w14:paraId="08B2C37E">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非甲烷总烃（小时值）</w:t>
                  </w:r>
                </w:p>
              </w:tc>
              <w:tc>
                <w:tcPr>
                  <w:tcW w:w="1138" w:type="dxa"/>
                  <w:noWrap w:val="0"/>
                  <w:vAlign w:val="center"/>
                </w:tcPr>
                <w:p w14:paraId="03AB9E45">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390</w:t>
                  </w:r>
                </w:p>
              </w:tc>
              <w:tc>
                <w:tcPr>
                  <w:tcW w:w="1087" w:type="dxa"/>
                  <w:noWrap w:val="0"/>
                  <w:vAlign w:val="center"/>
                </w:tcPr>
                <w:p w14:paraId="783635D8">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740</w:t>
                  </w:r>
                </w:p>
              </w:tc>
              <w:tc>
                <w:tcPr>
                  <w:tcW w:w="1138" w:type="dxa"/>
                  <w:noWrap w:val="0"/>
                  <w:vAlign w:val="center"/>
                </w:tcPr>
                <w:p w14:paraId="56BDDB4C">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37.0</w:t>
                  </w:r>
                </w:p>
              </w:tc>
              <w:tc>
                <w:tcPr>
                  <w:tcW w:w="924" w:type="dxa"/>
                  <w:noWrap w:val="0"/>
                  <w:vAlign w:val="center"/>
                </w:tcPr>
                <w:p w14:paraId="1E46663B">
                  <w:pPr>
                    <w:widowControl/>
                    <w:adjustRightInd w:val="0"/>
                    <w:spacing w:line="273"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0</w:t>
                  </w:r>
                </w:p>
              </w:tc>
              <w:tc>
                <w:tcPr>
                  <w:tcW w:w="793" w:type="dxa"/>
                  <w:noWrap w:val="0"/>
                  <w:vAlign w:val="center"/>
                </w:tcPr>
                <w:p w14:paraId="207E77AB">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达标</w:t>
                  </w:r>
                </w:p>
              </w:tc>
            </w:tr>
            <w:tr w14:paraId="1A187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6F4CF9A1">
                  <w:pPr>
                    <w:widowControl/>
                    <w:adjustRightInd w:val="0"/>
                    <w:spacing w:line="273" w:lineRule="auto"/>
                    <w:jc w:val="center"/>
                    <w:textAlignment w:val="auto"/>
                    <w:outlineLvl w:val="9"/>
                    <w:rPr>
                      <w:rFonts w:ascii="Times New Roman" w:hAnsi="Times New Roman" w:eastAsia="宋体" w:cs="Times New Roman"/>
                      <w:bCs/>
                      <w:sz w:val="21"/>
                      <w:szCs w:val="21"/>
                    </w:rPr>
                    <w:pPrChange w:id="1" w:author="hzhj" w:date="2025-07-31T10:04:00Z">
                      <w:pPr>
                        <w:spacing w:line="276" w:lineRule="auto"/>
                        <w:jc w:val="center"/>
                        <w:textAlignment w:val="center"/>
                        <w:outlineLvl w:val="0"/>
                      </w:pPr>
                    </w:pPrChange>
                  </w:pPr>
                </w:p>
              </w:tc>
              <w:tc>
                <w:tcPr>
                  <w:tcW w:w="1716" w:type="dxa"/>
                  <w:noWrap w:val="0"/>
                  <w:vAlign w:val="center"/>
                </w:tcPr>
                <w:p w14:paraId="04ECF57B">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二甲苯</w:t>
                  </w:r>
                  <w:r>
                    <w:rPr>
                      <w:rFonts w:ascii="Times New Roman" w:hAnsi="Times New Roman" w:eastAsia="宋体" w:cs="Times New Roman"/>
                      <w:bCs/>
                      <w:sz w:val="21"/>
                      <w:szCs w:val="21"/>
                    </w:rPr>
                    <w:t>（</w:t>
                  </w:r>
                  <w:r>
                    <w:rPr>
                      <w:rFonts w:hint="eastAsia" w:ascii="Times New Roman" w:hAnsi="Times New Roman" w:eastAsia="宋体" w:cs="Times New Roman"/>
                      <w:bCs/>
                      <w:sz w:val="21"/>
                      <w:szCs w:val="21"/>
                      <w:lang w:val="en-US" w:eastAsia="zh-CN"/>
                    </w:rPr>
                    <w:t>小时</w:t>
                  </w:r>
                  <w:r>
                    <w:rPr>
                      <w:rFonts w:ascii="Times New Roman" w:hAnsi="Times New Roman" w:eastAsia="宋体" w:cs="Times New Roman"/>
                      <w:bCs/>
                      <w:sz w:val="21"/>
                      <w:szCs w:val="21"/>
                    </w:rPr>
                    <w:t>值）</w:t>
                  </w:r>
                </w:p>
              </w:tc>
              <w:tc>
                <w:tcPr>
                  <w:tcW w:w="1138" w:type="dxa"/>
                  <w:noWrap w:val="0"/>
                  <w:vAlign w:val="center"/>
                </w:tcPr>
                <w:p w14:paraId="4C246ED6">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ND</w:t>
                  </w:r>
                </w:p>
              </w:tc>
              <w:tc>
                <w:tcPr>
                  <w:tcW w:w="1087" w:type="dxa"/>
                  <w:noWrap w:val="0"/>
                  <w:vAlign w:val="center"/>
                </w:tcPr>
                <w:p w14:paraId="3CDA7AC4">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ND</w:t>
                  </w:r>
                </w:p>
              </w:tc>
              <w:tc>
                <w:tcPr>
                  <w:tcW w:w="1138" w:type="dxa"/>
                  <w:noWrap w:val="0"/>
                  <w:vAlign w:val="center"/>
                </w:tcPr>
                <w:p w14:paraId="7AD6DB5F">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0.125</w:t>
                  </w:r>
                </w:p>
              </w:tc>
              <w:tc>
                <w:tcPr>
                  <w:tcW w:w="924" w:type="dxa"/>
                  <w:noWrap w:val="0"/>
                  <w:vAlign w:val="center"/>
                </w:tcPr>
                <w:p w14:paraId="66D1C11E">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0</w:t>
                  </w:r>
                </w:p>
              </w:tc>
              <w:tc>
                <w:tcPr>
                  <w:tcW w:w="793" w:type="dxa"/>
                  <w:noWrap w:val="0"/>
                  <w:vAlign w:val="center"/>
                </w:tcPr>
                <w:p w14:paraId="77115476">
                  <w:pPr>
                    <w:widowControl/>
                    <w:adjustRightInd w:val="0"/>
                    <w:spacing w:line="273" w:lineRule="auto"/>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达标</w:t>
                  </w:r>
                </w:p>
              </w:tc>
            </w:tr>
            <w:tr w14:paraId="6BE2A5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0696646F">
                  <w:pPr>
                    <w:widowControl/>
                    <w:adjustRightInd w:val="0"/>
                    <w:spacing w:line="273" w:lineRule="auto"/>
                    <w:jc w:val="center"/>
                    <w:textAlignment w:val="auto"/>
                    <w:outlineLvl w:val="9"/>
                    <w:rPr>
                      <w:rFonts w:ascii="Times New Roman" w:hAnsi="Times New Roman" w:eastAsia="宋体" w:cs="Times New Roman"/>
                      <w:bCs/>
                      <w:sz w:val="21"/>
                      <w:szCs w:val="21"/>
                    </w:rPr>
                  </w:pPr>
                </w:p>
              </w:tc>
              <w:tc>
                <w:tcPr>
                  <w:tcW w:w="1716" w:type="dxa"/>
                  <w:noWrap w:val="0"/>
                  <w:vAlign w:val="center"/>
                </w:tcPr>
                <w:p w14:paraId="0C504E5E">
                  <w:pPr>
                    <w:widowControl/>
                    <w:adjustRightInd w:val="0"/>
                    <w:spacing w:line="273"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硫化氢（小时值）</w:t>
                  </w:r>
                </w:p>
              </w:tc>
              <w:tc>
                <w:tcPr>
                  <w:tcW w:w="1138" w:type="dxa"/>
                  <w:noWrap w:val="0"/>
                  <w:vAlign w:val="center"/>
                </w:tcPr>
                <w:p w14:paraId="38C8039E">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0.001</w:t>
                  </w:r>
                </w:p>
              </w:tc>
              <w:tc>
                <w:tcPr>
                  <w:tcW w:w="1087" w:type="dxa"/>
                  <w:noWrap w:val="0"/>
                  <w:vAlign w:val="center"/>
                </w:tcPr>
                <w:p w14:paraId="5932B68C">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0.003</w:t>
                  </w:r>
                </w:p>
              </w:tc>
              <w:tc>
                <w:tcPr>
                  <w:tcW w:w="1138" w:type="dxa"/>
                  <w:noWrap w:val="0"/>
                  <w:vAlign w:val="center"/>
                </w:tcPr>
                <w:p w14:paraId="04B4B611">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30.0</w:t>
                  </w:r>
                </w:p>
              </w:tc>
              <w:tc>
                <w:tcPr>
                  <w:tcW w:w="924" w:type="dxa"/>
                  <w:noWrap w:val="0"/>
                  <w:vAlign w:val="center"/>
                </w:tcPr>
                <w:p w14:paraId="5064142F">
                  <w:pPr>
                    <w:widowControl/>
                    <w:adjustRightInd w:val="0"/>
                    <w:spacing w:line="273"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w:t>
                  </w:r>
                </w:p>
              </w:tc>
              <w:tc>
                <w:tcPr>
                  <w:tcW w:w="793" w:type="dxa"/>
                  <w:noWrap w:val="0"/>
                  <w:vAlign w:val="center"/>
                </w:tcPr>
                <w:p w14:paraId="6DBDFF61">
                  <w:pPr>
                    <w:widowControl/>
                    <w:adjustRightInd w:val="0"/>
                    <w:spacing w:line="273"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达标</w:t>
                  </w:r>
                </w:p>
              </w:tc>
            </w:tr>
            <w:tr w14:paraId="6B288E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9" w:type="dxa"/>
                  <w:vMerge w:val="continue"/>
                  <w:noWrap w:val="0"/>
                  <w:vAlign w:val="center"/>
                </w:tcPr>
                <w:p w14:paraId="2AA60B68">
                  <w:pPr>
                    <w:widowControl/>
                    <w:adjustRightInd w:val="0"/>
                    <w:spacing w:line="273" w:lineRule="auto"/>
                    <w:jc w:val="center"/>
                    <w:textAlignment w:val="auto"/>
                    <w:outlineLvl w:val="9"/>
                    <w:rPr>
                      <w:rFonts w:ascii="Times New Roman" w:hAnsi="Times New Roman" w:eastAsia="宋体" w:cs="Times New Roman"/>
                      <w:bCs/>
                      <w:sz w:val="21"/>
                      <w:szCs w:val="21"/>
                    </w:rPr>
                  </w:pPr>
                </w:p>
              </w:tc>
              <w:tc>
                <w:tcPr>
                  <w:tcW w:w="1716" w:type="dxa"/>
                  <w:noWrap w:val="0"/>
                  <w:vAlign w:val="center"/>
                </w:tcPr>
                <w:p w14:paraId="7FB6209B">
                  <w:pPr>
                    <w:widowControl/>
                    <w:adjustRightInd w:val="0"/>
                    <w:spacing w:line="273"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甲苯（小时值）</w:t>
                  </w:r>
                </w:p>
              </w:tc>
              <w:tc>
                <w:tcPr>
                  <w:tcW w:w="1138" w:type="dxa"/>
                  <w:noWrap w:val="0"/>
                  <w:vAlign w:val="center"/>
                </w:tcPr>
                <w:p w14:paraId="5C4CF054">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0.91</w:t>
                  </w:r>
                </w:p>
              </w:tc>
              <w:tc>
                <w:tcPr>
                  <w:tcW w:w="1087" w:type="dxa"/>
                  <w:noWrap w:val="0"/>
                  <w:vAlign w:val="center"/>
                </w:tcPr>
                <w:p w14:paraId="03E386FA">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1.32</w:t>
                  </w:r>
                </w:p>
              </w:tc>
              <w:tc>
                <w:tcPr>
                  <w:tcW w:w="1138" w:type="dxa"/>
                  <w:noWrap w:val="0"/>
                  <w:vAlign w:val="center"/>
                </w:tcPr>
                <w:p w14:paraId="28655027">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0.66</w:t>
                  </w:r>
                </w:p>
              </w:tc>
              <w:tc>
                <w:tcPr>
                  <w:tcW w:w="924" w:type="dxa"/>
                  <w:noWrap w:val="0"/>
                  <w:vAlign w:val="center"/>
                </w:tcPr>
                <w:p w14:paraId="397A3F60">
                  <w:pPr>
                    <w:widowControl/>
                    <w:adjustRightInd w:val="0"/>
                    <w:spacing w:line="273"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0</w:t>
                  </w:r>
                </w:p>
              </w:tc>
              <w:tc>
                <w:tcPr>
                  <w:tcW w:w="793" w:type="dxa"/>
                  <w:noWrap w:val="0"/>
                  <w:vAlign w:val="center"/>
                </w:tcPr>
                <w:p w14:paraId="16176DD4">
                  <w:pPr>
                    <w:widowControl/>
                    <w:adjustRightInd w:val="0"/>
                    <w:spacing w:line="273"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达标</w:t>
                  </w:r>
                </w:p>
              </w:tc>
            </w:tr>
          </w:tbl>
          <w:p w14:paraId="36841071">
            <w:pPr>
              <w:spacing w:line="360" w:lineRule="auto"/>
              <w:ind w:firstLine="480" w:firstLineChars="200"/>
              <w:rPr>
                <w:rFonts w:hAnsi="宋体"/>
              </w:rPr>
            </w:pPr>
            <w:r>
              <w:rPr>
                <w:rFonts w:hint="eastAsia" w:ascii="宋体" w:hAnsi="宋体"/>
              </w:rPr>
              <w:t>监测结果表明，项目区</w:t>
            </w:r>
            <w:r>
              <w:rPr>
                <w:rFonts w:hint="eastAsia"/>
              </w:rPr>
              <w:t>TSP</w:t>
            </w:r>
            <w:r>
              <w:rPr>
                <w:rFonts w:hint="eastAsia"/>
                <w:lang w:eastAsia="zh-CN"/>
              </w:rPr>
              <w:t>、</w:t>
            </w:r>
            <w:r>
              <w:rPr>
                <w:rFonts w:hint="eastAsia"/>
                <w:lang w:val="en-US" w:eastAsia="zh-CN"/>
              </w:rPr>
              <w:t>非甲烷总烃、甲苯、二甲苯和硫化氢</w:t>
            </w:r>
            <w:r>
              <w:rPr>
                <w:rFonts w:hint="eastAsia" w:ascii="宋体" w:hAnsi="宋体"/>
              </w:rPr>
              <w:t>满足《环境空气质量标准》（</w:t>
            </w:r>
            <w:r>
              <w:rPr>
                <w:rFonts w:hint="eastAsia"/>
              </w:rPr>
              <w:t>GB3095-2012</w:t>
            </w:r>
            <w:r>
              <w:rPr>
                <w:rFonts w:hint="eastAsia" w:ascii="宋体" w:hAnsi="宋体"/>
              </w:rPr>
              <w:t>）中二级标准限值。</w:t>
            </w:r>
          </w:p>
          <w:p w14:paraId="75AB097D">
            <w:pPr>
              <w:spacing w:line="360" w:lineRule="auto"/>
              <w:ind w:firstLine="482" w:firstLineChars="200"/>
              <w:jc w:val="left"/>
              <w:rPr>
                <w:b/>
              </w:rPr>
            </w:pPr>
            <w:r>
              <w:rPr>
                <w:b/>
              </w:rPr>
              <w:t>2、地表水环境质量现状</w:t>
            </w:r>
          </w:p>
          <w:p w14:paraId="141AEF96">
            <w:pPr>
              <w:autoSpaceDE w:val="0"/>
              <w:autoSpaceDN w:val="0"/>
              <w:spacing w:line="360" w:lineRule="auto"/>
              <w:ind w:firstLine="480" w:firstLineChars="200"/>
            </w:pPr>
            <w:r>
              <w:rPr>
                <w:rFonts w:hAnsi="宋体"/>
              </w:rPr>
              <w:t>本项目受纳水体为淮河</w:t>
            </w:r>
            <w:r>
              <w:rPr>
                <w:rFonts w:ascii="宋体" w:hAnsi="宋体"/>
              </w:rPr>
              <w:t>(淮南段)</w:t>
            </w:r>
            <w:r>
              <w:rPr>
                <w:rFonts w:hint="eastAsia" w:ascii="宋体" w:hAnsi="宋体"/>
              </w:rPr>
              <w:t>，</w:t>
            </w:r>
            <w:r>
              <w:rPr>
                <w:rFonts w:hAnsi="宋体"/>
              </w:rPr>
              <w:t>本项目位于</w:t>
            </w:r>
            <w:r>
              <w:t>Ⅲ</w:t>
            </w:r>
            <w:r>
              <w:rPr>
                <w:rFonts w:hAnsi="宋体"/>
              </w:rPr>
              <w:t>类水环境功能区，地表水体执行《地表水环境质量标准》</w:t>
            </w:r>
            <w:r>
              <w:rPr>
                <w:rFonts w:ascii="宋体" w:hAnsi="宋体"/>
              </w:rPr>
              <w:t>(</w:t>
            </w:r>
            <w:r>
              <w:t>GB3838-2002</w:t>
            </w:r>
            <w:r>
              <w:rPr>
                <w:rFonts w:ascii="宋体" w:hAnsi="宋体"/>
              </w:rPr>
              <w:t>)</w:t>
            </w:r>
            <w:r>
              <w:t>Ⅲ</w:t>
            </w:r>
            <w:r>
              <w:rPr>
                <w:rFonts w:hAnsi="宋体"/>
              </w:rPr>
              <w:t>类标准。根据淮南市生态环境局发布的《</w:t>
            </w:r>
            <w:r>
              <w:t>2024</w:t>
            </w:r>
            <w:r>
              <w:rPr>
                <w:rFonts w:hAnsi="宋体"/>
              </w:rPr>
              <w:t>年淮南市生态环境质量状况公报》</w:t>
            </w:r>
            <w:r>
              <w:rPr>
                <w:rFonts w:hint="eastAsia" w:ascii="宋体" w:hAnsi="宋体"/>
              </w:rPr>
              <w:t>，</w:t>
            </w:r>
            <w:r>
              <w:t>2024</w:t>
            </w:r>
            <w:r>
              <w:rPr>
                <w:rFonts w:hAnsi="宋体"/>
              </w:rPr>
              <w:t>年</w:t>
            </w:r>
            <w:r>
              <w:rPr>
                <w:rFonts w:hint="eastAsia" w:ascii="宋体" w:hAnsi="宋体"/>
              </w:rPr>
              <w:t>，</w:t>
            </w:r>
            <w:r>
              <w:rPr>
                <w:rFonts w:hAnsi="宋体"/>
              </w:rPr>
              <w:t>全市地表水</w:t>
            </w:r>
            <w:r>
              <w:t>24</w:t>
            </w:r>
            <w:r>
              <w:rPr>
                <w:rFonts w:hAnsi="宋体"/>
              </w:rPr>
              <w:t>个监测断面中优良水质比例为</w:t>
            </w:r>
            <w:r>
              <w:t>91.7%</w:t>
            </w:r>
            <w:r>
              <w:rPr>
                <w:rFonts w:hint="eastAsia" w:ascii="宋体" w:hAnsi="宋体"/>
              </w:rPr>
              <w:t>，</w:t>
            </w:r>
            <w:r>
              <w:rPr>
                <w:rFonts w:hAnsi="宋体"/>
              </w:rPr>
              <w:t>比上年下降了</w:t>
            </w:r>
            <w:r>
              <w:t>4.1</w:t>
            </w:r>
            <w:r>
              <w:rPr>
                <w:rFonts w:hAnsi="宋体"/>
              </w:rPr>
              <w:t>个百分点</w:t>
            </w:r>
            <w:r>
              <w:rPr>
                <w:rFonts w:hint="eastAsia" w:hAnsi="宋体"/>
              </w:rPr>
              <w:t>，</w:t>
            </w:r>
            <w:r>
              <w:t>I</w:t>
            </w:r>
            <w:r>
              <w:rPr>
                <w:rFonts w:hAnsi="宋体"/>
              </w:rPr>
              <w:t>类水质比例</w:t>
            </w:r>
            <w:r>
              <w:t>8.3%</w:t>
            </w:r>
            <w:r>
              <w:rPr>
                <w:rFonts w:hAnsi="宋体"/>
              </w:rPr>
              <w:t>，总体水质状况优。</w:t>
            </w:r>
            <w:r>
              <w:t>8</w:t>
            </w:r>
            <w:r>
              <w:rPr>
                <w:rFonts w:hAnsi="宋体"/>
              </w:rPr>
              <w:t>个国控断面中优良水质比例为</w:t>
            </w:r>
            <w:r>
              <w:t>87.5%</w:t>
            </w:r>
            <w:r>
              <w:rPr>
                <w:rFonts w:hAnsi="宋体"/>
              </w:rPr>
              <w:t>，</w:t>
            </w:r>
            <w:r>
              <w:t>IV</w:t>
            </w:r>
            <w:r>
              <w:rPr>
                <w:rFonts w:hAnsi="宋体"/>
              </w:rPr>
              <w:t>类水质比例</w:t>
            </w:r>
            <w:r>
              <w:t>12.5%</w:t>
            </w:r>
            <w:r>
              <w:rPr>
                <w:rFonts w:hAnsi="宋体"/>
              </w:rPr>
              <w:t>，水质总体状况良好</w:t>
            </w:r>
            <w:r>
              <w:rPr>
                <w:rFonts w:hint="eastAsia" w:ascii="宋体" w:hAnsi="宋体"/>
              </w:rPr>
              <w:t>；</w:t>
            </w:r>
            <w:r>
              <w:t>11</w:t>
            </w:r>
            <w:r>
              <w:rPr>
                <w:rFonts w:hAnsi="宋体"/>
              </w:rPr>
              <w:t>个省控断面中优良水质比例为</w:t>
            </w:r>
            <w:r>
              <w:t>90.9%</w:t>
            </w:r>
            <w:r>
              <w:rPr>
                <w:rFonts w:hAnsi="宋体"/>
              </w:rPr>
              <w:t>，水质总体状况优。河</w:t>
            </w:r>
            <w:r>
              <w:rPr>
                <w:rFonts w:ascii="宋体" w:hAnsi="宋体"/>
              </w:rPr>
              <w:t>流</w:t>
            </w:r>
            <w:r>
              <w:rPr>
                <w:rFonts w:hint="eastAsia" w:ascii="宋体" w:hAnsi="宋体"/>
              </w:rPr>
              <w:t>：</w:t>
            </w:r>
            <w:r>
              <w:rPr>
                <w:rFonts w:ascii="宋体" w:hAnsi="宋体"/>
              </w:rPr>
              <w:t>全市辖区内淮河干流水质状况为优，永幸河和丁家沟水质状况为优，西淝河、东淝河、架河、泥河、万小河、瓦西干渠、陡涧河和便民沟水质状况为良好。</w:t>
            </w:r>
            <w:r>
              <w:t>20</w:t>
            </w:r>
            <w:r>
              <w:rPr>
                <w:rFonts w:ascii="宋体" w:hAnsi="宋体"/>
              </w:rPr>
              <w:t>个</w:t>
            </w:r>
            <w:r>
              <w:rPr>
                <w:rFonts w:hAnsi="宋体"/>
              </w:rPr>
              <w:t>监测断面中优良水质比例为</w:t>
            </w:r>
            <w:r>
              <w:t>100%</w:t>
            </w:r>
            <w:r>
              <w:rPr>
                <w:rFonts w:hAnsi="宋体"/>
              </w:rPr>
              <w:t>，与去年持平。其中黄圩和丁家沟河口断面水质均有所好转</w:t>
            </w:r>
            <w:r>
              <w:rPr>
                <w:rFonts w:ascii="宋体" w:hAnsi="宋体"/>
              </w:rPr>
              <w:t>(</w:t>
            </w:r>
            <w:r>
              <w:t>Ш</w:t>
            </w:r>
            <w:r>
              <w:rPr>
                <w:rFonts w:hAnsi="宋体"/>
              </w:rPr>
              <w:t>类</w:t>
            </w:r>
            <w:r>
              <w:rPr>
                <w:rFonts w:ascii="宋体" w:hAnsi="宋体"/>
              </w:rPr>
              <w:t>→</w:t>
            </w:r>
            <w:r>
              <w:t>Ⅱ</w:t>
            </w:r>
            <w:r>
              <w:rPr>
                <w:rFonts w:hAnsi="宋体"/>
              </w:rPr>
              <w:t>类</w:t>
            </w:r>
            <w:r>
              <w:rPr>
                <w:rFonts w:ascii="宋体" w:hAnsi="宋体"/>
              </w:rPr>
              <w:t>)</w:t>
            </w:r>
            <w:r>
              <w:rPr>
                <w:rFonts w:hAnsi="宋体"/>
              </w:rPr>
              <w:t>，五里闸</w:t>
            </w:r>
            <w:r>
              <w:rPr>
                <w:rFonts w:ascii="宋体" w:hAnsi="宋体"/>
              </w:rPr>
              <w:t>(</w:t>
            </w:r>
            <w:r>
              <w:t>I</w:t>
            </w:r>
            <w:r>
              <w:rPr>
                <w:rFonts w:hAnsi="宋体"/>
              </w:rPr>
              <w:t>类</w:t>
            </w:r>
            <w:r>
              <w:rPr>
                <w:rFonts w:ascii="宋体" w:hAnsi="宋体"/>
              </w:rPr>
              <w:t>→</w:t>
            </w:r>
            <w:r>
              <w:t>Ш</w:t>
            </w:r>
            <w:r>
              <w:rPr>
                <w:rFonts w:hAnsi="宋体"/>
              </w:rPr>
              <w:t>类</w:t>
            </w:r>
            <w:r>
              <w:rPr>
                <w:rFonts w:ascii="宋体" w:hAnsi="宋体"/>
              </w:rPr>
              <w:t>)</w:t>
            </w:r>
            <w:r>
              <w:rPr>
                <w:rFonts w:hAnsi="宋体"/>
              </w:rPr>
              <w:t>和西淝河闸下</w:t>
            </w:r>
            <w:r>
              <w:rPr>
                <w:rFonts w:ascii="宋体" w:hAnsi="宋体"/>
              </w:rPr>
              <w:t>(</w:t>
            </w:r>
            <w:r>
              <w:t>I</w:t>
            </w:r>
            <w:r>
              <w:rPr>
                <w:rFonts w:hAnsi="宋体"/>
              </w:rPr>
              <w:t>类</w:t>
            </w:r>
            <w:r>
              <w:rPr>
                <w:rFonts w:ascii="宋体" w:hAnsi="宋体"/>
              </w:rPr>
              <w:t>→</w:t>
            </w:r>
            <w:r>
              <w:t>Ⅲ</w:t>
            </w:r>
            <w:r>
              <w:rPr>
                <w:rFonts w:hAnsi="宋体"/>
              </w:rPr>
              <w:t>类</w:t>
            </w:r>
            <w:r>
              <w:rPr>
                <w:rFonts w:ascii="宋体" w:hAnsi="宋体"/>
              </w:rPr>
              <w:t>)</w:t>
            </w:r>
            <w:r>
              <w:rPr>
                <w:rFonts w:hAnsi="宋体"/>
              </w:rPr>
              <w:t>水质均有所下降，其他断面水质保持稳定。</w:t>
            </w:r>
          </w:p>
          <w:p w14:paraId="758231AA">
            <w:pPr>
              <w:autoSpaceDE w:val="0"/>
              <w:autoSpaceDN w:val="0"/>
              <w:spacing w:line="360" w:lineRule="auto"/>
              <w:ind w:firstLine="480" w:firstLineChars="200"/>
            </w:pPr>
            <w:r>
              <w:rPr>
                <w:rFonts w:hAnsi="宋体"/>
              </w:rPr>
              <w:t>湖库</w:t>
            </w:r>
            <w:r>
              <w:rPr>
                <w:rFonts w:hint="eastAsia" w:hAnsi="宋体"/>
              </w:rPr>
              <w:t>：</w:t>
            </w:r>
            <w:r>
              <w:rPr>
                <w:rFonts w:ascii="宋体" w:hAnsi="宋体"/>
              </w:rPr>
              <w:t>瓦埠湖</w:t>
            </w:r>
            <w:r>
              <w:rPr>
                <w:rFonts w:hAnsi="宋体"/>
              </w:rPr>
              <w:t>和焦岗湖点位水质年均值符合类标准，水质状况为良好</w:t>
            </w:r>
            <w:r>
              <w:rPr>
                <w:rFonts w:hint="eastAsia" w:ascii="宋体" w:hAnsi="宋体"/>
              </w:rPr>
              <w:t>；</w:t>
            </w:r>
            <w:r>
              <w:rPr>
                <w:rFonts w:hAnsi="宋体"/>
              </w:rPr>
              <w:t>高塘湖和安丰塘点位水质年均值符合</w:t>
            </w:r>
            <w:r>
              <w:t>IV</w:t>
            </w:r>
            <w:r>
              <w:rPr>
                <w:rFonts w:hAnsi="宋体"/>
              </w:rPr>
              <w:t>类标准，水质轻度污染，主要污染指标为总磷。安丰塘营养状态为中营养，焦岗湖、高塘湖和瓦埠湖营养状态均为轻度富营养。与上年相比，安丰塘点位水质类别由</w:t>
            </w:r>
            <w:r>
              <w:t>Ш</w:t>
            </w:r>
            <w:r>
              <w:rPr>
                <w:rFonts w:hAnsi="宋体"/>
              </w:rPr>
              <w:t>类下降为</w:t>
            </w:r>
            <w:r>
              <w:t>IV</w:t>
            </w:r>
            <w:r>
              <w:rPr>
                <w:rFonts w:hAnsi="宋体"/>
              </w:rPr>
              <w:t>类，瓦埠湖、高塘湖和焦岗湖点位水质类别保持稳定。</w:t>
            </w:r>
          </w:p>
          <w:p w14:paraId="7328A31C">
            <w:pPr>
              <w:wordWrap w:val="0"/>
              <w:autoSpaceDE w:val="0"/>
              <w:autoSpaceDN w:val="0"/>
              <w:spacing w:line="360" w:lineRule="auto"/>
              <w:ind w:firstLine="480" w:firstLineChars="200"/>
              <w:jc w:val="left"/>
            </w:pPr>
            <w:r>
              <w:rPr>
                <w:rFonts w:hAnsi="宋体"/>
              </w:rPr>
              <w:t>综上，项目所在区域地表水淮河环境质量总体满足《地表水环境质量标准》</w:t>
            </w:r>
            <w:r>
              <w:rPr>
                <w:rFonts w:ascii="宋体" w:hAnsi="宋体"/>
              </w:rPr>
              <w:t>(</w:t>
            </w:r>
            <w:r>
              <w:t>GB3838-2002</w:t>
            </w:r>
            <w:r>
              <w:rPr>
                <w:rFonts w:ascii="宋体" w:hAnsi="宋体"/>
              </w:rPr>
              <w:t>)</w:t>
            </w:r>
            <w:r>
              <w:t>Ш</w:t>
            </w:r>
            <w:r>
              <w:rPr>
                <w:rFonts w:hAnsi="宋体"/>
              </w:rPr>
              <w:t>类标准，地表水水质良好。</w:t>
            </w:r>
          </w:p>
          <w:p w14:paraId="57B9E559">
            <w:pPr>
              <w:wordWrap w:val="0"/>
              <w:autoSpaceDE w:val="0"/>
              <w:autoSpaceDN w:val="0"/>
              <w:spacing w:line="360" w:lineRule="auto"/>
              <w:ind w:firstLine="482" w:firstLineChars="200"/>
              <w:jc w:val="left"/>
              <w:rPr>
                <w:b/>
              </w:rPr>
            </w:pPr>
            <w:r>
              <w:rPr>
                <w:b/>
              </w:rPr>
              <w:t>3、声环境质量现状</w:t>
            </w:r>
          </w:p>
          <w:p w14:paraId="41A34A70">
            <w:pPr>
              <w:spacing w:line="360" w:lineRule="auto"/>
              <w:ind w:firstLine="480" w:firstLineChars="200"/>
              <w:rPr>
                <w:highlight w:val="none"/>
              </w:rPr>
            </w:pPr>
            <w:r>
              <w:rPr>
                <w:rFonts w:hint="eastAsia"/>
                <w:highlight w:val="none"/>
                <w:lang w:val="en-US" w:eastAsia="zh-CN"/>
              </w:rPr>
              <w:t>根据《建设项目环境影响报告表编制技术指南（污染影响类）（试行）》中“区域环境质量”的“3、声环境—厂界外周边50米范围内存在声环境保护目标的建设项目，应监测保护目标声环境质量现状并评价达标情况。各点位应监测昼夜间噪声，监测时间不少于1天，项目夜间不生产则仅监测昼间噪声。</w:t>
            </w:r>
          </w:p>
          <w:p w14:paraId="63F7DA23">
            <w:pPr>
              <w:spacing w:line="360" w:lineRule="auto"/>
              <w:ind w:firstLine="480" w:firstLineChars="200"/>
              <w:rPr>
                <w:rFonts w:hint="eastAsia" w:ascii="Times New Roman" w:hAnsi="Times New Roman" w:eastAsia="宋体" w:cs="Times New Roman"/>
                <w:lang w:val="en-US" w:eastAsia="zh-CN"/>
              </w:rPr>
            </w:pPr>
            <w:r>
              <w:t>本项目位于</w:t>
            </w:r>
            <w:r>
              <w:rPr>
                <w:rFonts w:hint="eastAsia"/>
              </w:rPr>
              <w:t>安微省淮南市淮南经济技术开发区东部工业区绿色智造产业园6#厂房</w:t>
            </w:r>
            <w:r>
              <w:t>，其厂界</w:t>
            </w:r>
            <w:r>
              <w:rPr>
                <w:rFonts w:hint="eastAsia"/>
                <w:lang w:val="en-US" w:eastAsia="zh-CN"/>
              </w:rPr>
              <w:t>南侧46</w:t>
            </w:r>
            <w:r>
              <w:t>米范围</w:t>
            </w:r>
            <w:r>
              <w:rPr>
                <w:rFonts w:hint="eastAsia"/>
                <w:lang w:val="en-US" w:eastAsia="zh-CN"/>
              </w:rPr>
              <w:t>存在敏感点-</w:t>
            </w:r>
            <w:r>
              <w:rPr>
                <w:rFonts w:hint="eastAsia"/>
              </w:rPr>
              <w:t>绿色智造产业园</w:t>
            </w:r>
            <w:r>
              <w:rPr>
                <w:rFonts w:hint="eastAsia"/>
                <w:lang w:val="en-US" w:eastAsia="zh-CN"/>
              </w:rPr>
              <w:t>宿舍楼</w:t>
            </w:r>
            <w:r>
              <w:t>。</w:t>
            </w:r>
            <w:r>
              <w:rPr>
                <w:rFonts w:hint="eastAsia" w:ascii="Times New Roman" w:hAnsi="Times New Roman" w:eastAsia="宋体" w:cs="Times New Roman"/>
              </w:rPr>
              <w:t>为了解区域声环境质量现状</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本项目引用《安徽易飞超合金材料有限公司年产11000吨进口替代特种合金材料生产基地项目检测报告》中敏感点“绿色智造产业园宿舍楼N</w:t>
            </w:r>
            <w:r>
              <w:rPr>
                <w:rFonts w:hint="eastAsia" w:ascii="Times New Roman" w:hAnsi="Times New Roman" w:eastAsia="宋体" w:cs="Times New Roman"/>
                <w:vertAlign w:val="subscript"/>
                <w:lang w:val="en-US" w:eastAsia="zh-CN"/>
              </w:rPr>
              <w:t>1</w:t>
            </w:r>
            <w:r>
              <w:rPr>
                <w:rFonts w:hint="eastAsia" w:ascii="Times New Roman" w:hAnsi="Times New Roman" w:eastAsia="宋体" w:cs="Times New Roman"/>
                <w:lang w:val="en-US" w:eastAsia="zh-CN"/>
              </w:rPr>
              <w:t>”的监测数据，监测时间为2025年12月12日。</w:t>
            </w:r>
            <w:r>
              <w:rPr>
                <w:rFonts w:hint="eastAsia" w:cs="Times New Roman"/>
                <w:lang w:val="en-US" w:eastAsia="zh-CN"/>
              </w:rPr>
              <w:t>噪声监测点位示</w:t>
            </w:r>
            <w:r>
              <w:rPr>
                <w:rFonts w:hint="eastAsia" w:cs="Times New Roman"/>
                <w:highlight w:val="none"/>
                <w:lang w:val="en-US" w:eastAsia="zh-CN"/>
              </w:rPr>
              <w:t>意图</w:t>
            </w:r>
            <w:r>
              <w:rPr>
                <w:rFonts w:hint="eastAsia" w:ascii="Times New Roman" w:hAnsi="Times New Roman" w:eastAsia="宋体" w:cs="Times New Roman"/>
                <w:highlight w:val="none"/>
                <w:lang w:val="en-US" w:eastAsia="zh-CN"/>
              </w:rPr>
              <w:t>附图</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，监</w:t>
            </w:r>
            <w:r>
              <w:rPr>
                <w:rFonts w:hint="eastAsia" w:ascii="Times New Roman" w:hAnsi="Times New Roman" w:eastAsia="宋体" w:cs="Times New Roman"/>
                <w:lang w:val="en-US" w:eastAsia="zh-CN"/>
              </w:rPr>
              <w:t>测结果如下：</w:t>
            </w:r>
          </w:p>
          <w:p w14:paraId="65BE81B7">
            <w:pPr>
              <w:spacing w:line="360" w:lineRule="auto"/>
              <w:ind w:left="0" w:leftChars="0" w:right="0" w:rightChars="0" w:firstLine="0" w:firstLineChars="0"/>
              <w:jc w:val="center"/>
              <w:rPr>
                <w:rFonts w:hint="default" w:eastAsia="宋体"/>
                <w:lang w:val="en-US" w:eastAsia="zh-CN"/>
              </w:rPr>
            </w:pPr>
            <w:r>
              <w:rPr>
                <w:rFonts w:hint="default" w:ascii="Times New Roman" w:hAnsi="黑体" w:eastAsia="黑体" w:cs="Times New Roman"/>
                <w:lang w:val="en-US" w:eastAsia="zh-CN"/>
              </w:rPr>
              <w:t>表3-3  噪声检测结果一览表 单位：dB（A）</w:t>
            </w:r>
          </w:p>
          <w:tbl>
            <w:tblPr>
              <w:tblStyle w:val="17"/>
              <w:tblW w:w="778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3927"/>
            </w:tblGrid>
            <w:tr w14:paraId="34A6C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3859" w:type="dxa"/>
                  <w:vMerge w:val="restart"/>
                  <w:tcBorders>
                    <w:tl2br w:val="nil"/>
                    <w:tr2bl w:val="nil"/>
                  </w:tcBorders>
                  <w:noWrap w:val="0"/>
                  <w:vAlign w:val="center"/>
                </w:tcPr>
                <w:p w14:paraId="23236ADA">
                  <w:pPr>
                    <w:widowControl/>
                    <w:adjustRightInd w:val="0"/>
                    <w:spacing w:line="273" w:lineRule="auto"/>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监测点位</w:t>
                  </w:r>
                </w:p>
              </w:tc>
              <w:tc>
                <w:tcPr>
                  <w:tcW w:w="3927" w:type="dxa"/>
                  <w:tcBorders>
                    <w:tl2br w:val="nil"/>
                    <w:tr2bl w:val="nil"/>
                  </w:tcBorders>
                  <w:noWrap w:val="0"/>
                  <w:vAlign w:val="center"/>
                </w:tcPr>
                <w:p w14:paraId="24B2C631">
                  <w:pPr>
                    <w:widowControl/>
                    <w:adjustRightInd w:val="0"/>
                    <w:spacing w:line="273" w:lineRule="auto"/>
                    <w:jc w:val="center"/>
                    <w:rPr>
                      <w:rFonts w:hint="default" w:ascii="Times New Roman" w:hAnsi="Times New Roman" w:eastAsia="宋体" w:cs="Times New Roman"/>
                      <w:b/>
                      <w:bCs w:val="0"/>
                      <w:sz w:val="21"/>
                      <w:szCs w:val="21"/>
                      <w:lang w:val="en-US" w:eastAsia="zh-CN"/>
                    </w:rPr>
                  </w:pPr>
                  <w:r>
                    <w:rPr>
                      <w:rFonts w:hint="eastAsia" w:cs="Times New Roman"/>
                      <w:b/>
                      <w:bCs w:val="0"/>
                      <w:sz w:val="21"/>
                      <w:szCs w:val="21"/>
                      <w:lang w:val="en-US" w:eastAsia="zh-CN"/>
                    </w:rPr>
                    <w:t>2025.12.12</w:t>
                  </w:r>
                </w:p>
              </w:tc>
            </w:tr>
            <w:tr w14:paraId="1CC6AF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59" w:type="dxa"/>
                  <w:vMerge w:val="continue"/>
                  <w:tcBorders>
                    <w:tl2br w:val="nil"/>
                    <w:tr2bl w:val="nil"/>
                  </w:tcBorders>
                  <w:noWrap w:val="0"/>
                  <w:vAlign w:val="center"/>
                </w:tcPr>
                <w:p w14:paraId="571B5FE4">
                  <w:pPr>
                    <w:widowControl/>
                    <w:adjustRightInd w:val="0"/>
                    <w:spacing w:line="273" w:lineRule="auto"/>
                    <w:jc w:val="center"/>
                    <w:rPr>
                      <w:rFonts w:hint="default" w:ascii="Times New Roman" w:hAnsi="Times New Roman" w:eastAsia="宋体" w:cs="Times New Roman"/>
                      <w:b/>
                      <w:bCs w:val="0"/>
                      <w:sz w:val="21"/>
                      <w:szCs w:val="21"/>
                      <w:lang w:val="en-US" w:eastAsia="zh-CN"/>
                    </w:rPr>
                  </w:pPr>
                </w:p>
              </w:tc>
              <w:tc>
                <w:tcPr>
                  <w:tcW w:w="3927" w:type="dxa"/>
                  <w:tcBorders>
                    <w:tl2br w:val="nil"/>
                    <w:tr2bl w:val="nil"/>
                  </w:tcBorders>
                  <w:noWrap w:val="0"/>
                  <w:vAlign w:val="center"/>
                </w:tcPr>
                <w:p w14:paraId="3315FEC2">
                  <w:pPr>
                    <w:widowControl/>
                    <w:adjustRightInd w:val="0"/>
                    <w:spacing w:line="273" w:lineRule="auto"/>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昼间（1</w:t>
                  </w:r>
                  <w:r>
                    <w:rPr>
                      <w:rFonts w:hint="eastAsia" w:cs="Times New Roman"/>
                      <w:b/>
                      <w:bCs w:val="0"/>
                      <w:sz w:val="21"/>
                      <w:szCs w:val="21"/>
                      <w:lang w:val="en-US" w:eastAsia="zh-CN"/>
                    </w:rPr>
                    <w:t>2</w:t>
                  </w:r>
                  <w:r>
                    <w:rPr>
                      <w:rFonts w:hint="default" w:ascii="Times New Roman" w:hAnsi="Times New Roman" w:eastAsia="宋体" w:cs="Times New Roman"/>
                      <w:b/>
                      <w:bCs w:val="0"/>
                      <w:sz w:val="21"/>
                      <w:szCs w:val="21"/>
                      <w:lang w:val="en-US" w:eastAsia="zh-CN"/>
                    </w:rPr>
                    <w:t>:</w:t>
                  </w:r>
                  <w:r>
                    <w:rPr>
                      <w:rFonts w:hint="eastAsia" w:cs="Times New Roman"/>
                      <w:b/>
                      <w:bCs w:val="0"/>
                      <w:sz w:val="21"/>
                      <w:szCs w:val="21"/>
                      <w:lang w:val="en-US" w:eastAsia="zh-CN"/>
                    </w:rPr>
                    <w:t>58</w:t>
                  </w:r>
                  <w:r>
                    <w:rPr>
                      <w:rFonts w:hint="default" w:ascii="Times New Roman" w:hAnsi="Times New Roman" w:eastAsia="宋体" w:cs="Times New Roman"/>
                      <w:b/>
                      <w:bCs w:val="0"/>
                      <w:sz w:val="21"/>
                      <w:szCs w:val="21"/>
                      <w:lang w:val="en-US" w:eastAsia="zh-CN"/>
                    </w:rPr>
                    <w:t>~1</w:t>
                  </w:r>
                  <w:r>
                    <w:rPr>
                      <w:rFonts w:hint="eastAsia" w:cs="Times New Roman"/>
                      <w:b/>
                      <w:bCs w:val="0"/>
                      <w:sz w:val="21"/>
                      <w:szCs w:val="21"/>
                      <w:lang w:val="en-US" w:eastAsia="zh-CN"/>
                    </w:rPr>
                    <w:t>3</w:t>
                  </w:r>
                  <w:r>
                    <w:rPr>
                      <w:rFonts w:hint="default" w:ascii="Times New Roman" w:hAnsi="Times New Roman" w:eastAsia="宋体" w:cs="Times New Roman"/>
                      <w:b/>
                      <w:bCs w:val="0"/>
                      <w:sz w:val="21"/>
                      <w:szCs w:val="21"/>
                      <w:lang w:val="en-US" w:eastAsia="zh-CN"/>
                    </w:rPr>
                    <w:t>:</w:t>
                  </w:r>
                  <w:r>
                    <w:rPr>
                      <w:rFonts w:hint="eastAsia" w:cs="Times New Roman"/>
                      <w:b/>
                      <w:bCs w:val="0"/>
                      <w:sz w:val="21"/>
                      <w:szCs w:val="21"/>
                      <w:lang w:val="en-US" w:eastAsia="zh-CN"/>
                    </w:rPr>
                    <w:t>03</w:t>
                  </w:r>
                  <w:r>
                    <w:rPr>
                      <w:rFonts w:hint="default" w:ascii="Times New Roman" w:hAnsi="Times New Roman" w:eastAsia="宋体" w:cs="Times New Roman"/>
                      <w:b/>
                      <w:bCs w:val="0"/>
                      <w:sz w:val="21"/>
                      <w:szCs w:val="21"/>
                      <w:lang w:val="en-US" w:eastAsia="zh-CN"/>
                    </w:rPr>
                    <w:t>）</w:t>
                  </w:r>
                </w:p>
              </w:tc>
            </w:tr>
            <w:tr w14:paraId="4AD88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59" w:type="dxa"/>
                  <w:tcBorders>
                    <w:tl2br w:val="nil"/>
                    <w:tr2bl w:val="nil"/>
                  </w:tcBorders>
                  <w:noWrap w:val="0"/>
                  <w:vAlign w:val="center"/>
                </w:tcPr>
                <w:p w14:paraId="5D26F4E0">
                  <w:pPr>
                    <w:widowControl/>
                    <w:adjustRightInd w:val="0"/>
                    <w:spacing w:line="273"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绿色智造产业园宿舍楼N</w:t>
                  </w:r>
                  <w:r>
                    <w:rPr>
                      <w:rFonts w:hint="default" w:ascii="Times New Roman" w:hAnsi="Times New Roman" w:eastAsia="宋体" w:cs="Times New Roman"/>
                      <w:b w:val="0"/>
                      <w:bCs/>
                      <w:sz w:val="21"/>
                      <w:szCs w:val="21"/>
                      <w:vertAlign w:val="subscript"/>
                      <w:lang w:val="en-US" w:eastAsia="zh-CN"/>
                    </w:rPr>
                    <w:t>1</w:t>
                  </w:r>
                </w:p>
              </w:tc>
              <w:tc>
                <w:tcPr>
                  <w:tcW w:w="3927" w:type="dxa"/>
                  <w:tcBorders>
                    <w:tl2br w:val="nil"/>
                    <w:tr2bl w:val="nil"/>
                  </w:tcBorders>
                  <w:noWrap w:val="0"/>
                  <w:vAlign w:val="center"/>
                </w:tcPr>
                <w:p w14:paraId="5275F78A">
                  <w:pPr>
                    <w:widowControl/>
                    <w:adjustRightInd w:val="0"/>
                    <w:spacing w:line="273" w:lineRule="auto"/>
                    <w:jc w:val="center"/>
                    <w:rPr>
                      <w:rFonts w:hint="default"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52</w:t>
                  </w:r>
                </w:p>
              </w:tc>
            </w:tr>
          </w:tbl>
          <w:p w14:paraId="29B4E727">
            <w:pPr>
              <w:wordWrap w:val="0"/>
              <w:autoSpaceDE w:val="0"/>
              <w:autoSpaceDN w:val="0"/>
              <w:spacing w:line="360" w:lineRule="auto"/>
              <w:ind w:firstLine="480" w:firstLineChars="200"/>
              <w:jc w:val="left"/>
              <w:rPr>
                <w:b/>
              </w:rPr>
            </w:pPr>
            <w:r>
              <w:rPr>
                <w:rFonts w:hint="eastAsia"/>
                <w:b w:val="0"/>
                <w:bCs/>
                <w:lang w:val="en-US" w:eastAsia="zh-CN"/>
              </w:rPr>
              <w:t>由上表可知，项目所在区域厂界声环境质量现状均能满足《声环境质量标准》（GB 3096-2008）中2类标准（昼间≤60dB）。</w:t>
            </w:r>
          </w:p>
          <w:p w14:paraId="40566B75">
            <w:pPr>
              <w:wordWrap w:val="0"/>
              <w:autoSpaceDE w:val="0"/>
              <w:autoSpaceDN w:val="0"/>
              <w:spacing w:line="360" w:lineRule="auto"/>
              <w:ind w:firstLine="482" w:firstLineChars="200"/>
              <w:jc w:val="left"/>
              <w:rPr>
                <w:bCs/>
              </w:rPr>
            </w:pPr>
            <w:r>
              <w:rPr>
                <w:b/>
              </w:rPr>
              <w:t>4、生态环境质量现状</w:t>
            </w:r>
          </w:p>
          <w:p w14:paraId="18FF392A">
            <w:pPr>
              <w:spacing w:line="440" w:lineRule="exact"/>
              <w:ind w:firstLine="480" w:firstLineChars="200"/>
            </w:pPr>
            <w:r>
              <w:rPr>
                <w:rFonts w:ascii="宋体" w:hAnsi="宋体"/>
              </w:rPr>
              <w:t>本项目位于</w:t>
            </w:r>
            <w:r>
              <w:rPr>
                <w:rFonts w:hint="eastAsia" w:ascii="宋体" w:hAnsi="宋体"/>
              </w:rPr>
              <w:t>安微省淮南市淮南经济技术开发区东部工业区绿色智造产业园6#厂房</w:t>
            </w:r>
            <w:r>
              <w:rPr>
                <w:rFonts w:ascii="宋体" w:hAnsi="宋体"/>
              </w:rPr>
              <w:t>，用地性质属于工业用地，用地范围内不涉及生态环境保护目标，根据《建设项目环境影响报告表编制技术指南（污染影响类）（试行）》，本项目不需要进行生态环境现状调查。</w:t>
            </w:r>
          </w:p>
          <w:p w14:paraId="4DA251F8">
            <w:pPr>
              <w:wordWrap w:val="0"/>
              <w:autoSpaceDE w:val="0"/>
              <w:autoSpaceDN w:val="0"/>
              <w:spacing w:line="360" w:lineRule="auto"/>
              <w:ind w:firstLine="482" w:firstLineChars="200"/>
              <w:jc w:val="left"/>
              <w:rPr>
                <w:b/>
                <w:bCs/>
              </w:rPr>
            </w:pPr>
            <w:r>
              <w:rPr>
                <w:b/>
                <w:bCs/>
              </w:rPr>
              <w:t>5、电磁辐射</w:t>
            </w:r>
          </w:p>
          <w:p w14:paraId="15EB0CAC">
            <w:pPr>
              <w:spacing w:line="360" w:lineRule="auto"/>
              <w:ind w:firstLine="480" w:firstLineChars="200"/>
            </w:pPr>
            <w:r>
              <w:t>本新建项目不涉及电磁辐射，无需开展现状监测。</w:t>
            </w:r>
          </w:p>
          <w:p w14:paraId="75C8AB6B">
            <w:pPr>
              <w:wordWrap w:val="0"/>
              <w:autoSpaceDE w:val="0"/>
              <w:autoSpaceDN w:val="0"/>
              <w:spacing w:line="360" w:lineRule="auto"/>
              <w:ind w:firstLine="482" w:firstLineChars="200"/>
              <w:jc w:val="left"/>
              <w:rPr>
                <w:b/>
                <w:bCs/>
              </w:rPr>
            </w:pPr>
            <w:r>
              <w:rPr>
                <w:b/>
                <w:bCs/>
              </w:rPr>
              <w:t>6、地下水、土壤环境质量现状</w:t>
            </w:r>
          </w:p>
          <w:p w14:paraId="5EFB19E2">
            <w:pPr>
              <w:autoSpaceDE w:val="0"/>
              <w:autoSpaceDN w:val="0"/>
              <w:spacing w:line="360" w:lineRule="auto"/>
              <w:ind w:firstLine="480" w:firstLineChars="200"/>
              <w:rPr>
                <w:color w:val="FF0000"/>
                <w:sz w:val="20"/>
              </w:rPr>
            </w:pPr>
            <w:r>
              <w:rPr>
                <w:rFonts w:ascii="宋体" w:hAnsi="宋体"/>
                <w:bCs/>
              </w:rPr>
              <w:t>根据《建设项目环境影响报告表编制技术指南（污染影响类）（试行）》，本项目采取有效的防渗防漏措施，基本无污染地下水、土壤环境途径，且项目采取了分区防渗措施。项目周边为工业企业，</w:t>
            </w:r>
            <w:r>
              <w:rPr>
                <w:bCs/>
              </w:rPr>
              <w:t>500m</w:t>
            </w:r>
            <w:r>
              <w:rPr>
                <w:rFonts w:ascii="宋体" w:hAnsi="宋体"/>
                <w:bCs/>
              </w:rPr>
              <w:t>范围内无地下水集中式饮用水水源和热水、矿泉水、温泉等特殊地下水资源，因此本项目周边无地下水及土壤环境污染途径，故本次不开展土壤、地下水环境质量现状调查</w:t>
            </w:r>
            <w:r>
              <w:rPr>
                <w:rFonts w:hint="eastAsia" w:ascii="宋体" w:hAnsi="宋体"/>
                <w:bCs/>
              </w:rPr>
              <w:t>。</w:t>
            </w:r>
          </w:p>
        </w:tc>
      </w:tr>
      <w:tr w14:paraId="57B1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Align w:val="center"/>
          </w:tcPr>
          <w:p w14:paraId="5DB92C41">
            <w:pPr>
              <w:spacing w:line="360" w:lineRule="auto"/>
              <w:jc w:val="center"/>
            </w:pPr>
            <w:r>
              <w:t>环境保护目标</w:t>
            </w:r>
          </w:p>
        </w:tc>
        <w:tc>
          <w:tcPr>
            <w:tcW w:w="8045" w:type="dxa"/>
          </w:tcPr>
          <w:p w14:paraId="3CEB47E0">
            <w:pPr>
              <w:spacing w:line="360" w:lineRule="auto"/>
              <w:ind w:firstLine="482" w:firstLineChars="200"/>
              <w:rPr>
                <w:rFonts w:hAnsi="宋体"/>
                <w:b/>
                <w:snapToGrid w:val="0"/>
              </w:rPr>
            </w:pPr>
            <w:r>
              <w:rPr>
                <w:b/>
                <w:snapToGrid w:val="0"/>
              </w:rPr>
              <w:t>1</w:t>
            </w:r>
            <w:r>
              <w:rPr>
                <w:rFonts w:hAnsi="宋体"/>
                <w:b/>
                <w:snapToGrid w:val="0"/>
              </w:rPr>
              <w:t>、大气环境</w:t>
            </w:r>
          </w:p>
          <w:p w14:paraId="2B9ED811">
            <w:pPr>
              <w:spacing w:line="360" w:lineRule="auto"/>
              <w:ind w:firstLine="480" w:firstLineChars="200"/>
              <w:rPr>
                <w:rFonts w:hAnsi="宋体"/>
                <w:highlight w:val="yellow"/>
              </w:rPr>
            </w:pPr>
            <w:r>
              <w:rPr>
                <w:rFonts w:hint="default" w:ascii="Times New Roman" w:hAnsi="Times New Roman" w:eastAsia="宋体" w:cs="Times New Roman"/>
                <w:bCs/>
              </w:rPr>
              <w:t>详见大气环境影响专项评价。</w:t>
            </w:r>
          </w:p>
          <w:p w14:paraId="6C51D6A1">
            <w:pPr>
              <w:spacing w:line="360" w:lineRule="auto"/>
              <w:ind w:firstLine="482" w:firstLineChars="200"/>
              <w:rPr>
                <w:b/>
                <w:snapToGrid w:val="0"/>
              </w:rPr>
            </w:pPr>
            <w:r>
              <w:rPr>
                <w:rFonts w:hint="eastAsia"/>
                <w:b/>
                <w:snapToGrid w:val="0"/>
              </w:rPr>
              <w:t>2、声环境</w:t>
            </w:r>
          </w:p>
          <w:p w14:paraId="37883F2F">
            <w:pPr>
              <w:spacing w:line="360" w:lineRule="auto"/>
              <w:ind w:firstLine="480" w:firstLineChars="200"/>
              <w:rPr>
                <w:rFonts w:hint="eastAsia"/>
                <w:snapToGrid w:val="0"/>
                <w:highlight w:val="none"/>
              </w:rPr>
            </w:pPr>
            <w:r>
              <w:rPr>
                <w:rFonts w:hint="eastAsia"/>
                <w:snapToGrid w:val="0"/>
                <w:highlight w:val="none"/>
              </w:rPr>
              <w:t>本项目厂界外周边50m范围内存在声环境保护目标，具体见表3-</w:t>
            </w:r>
            <w:r>
              <w:rPr>
                <w:rFonts w:hint="eastAsia"/>
                <w:snapToGrid w:val="0"/>
                <w:highlight w:val="none"/>
                <w:lang w:val="en-US" w:eastAsia="zh-CN"/>
              </w:rPr>
              <w:t>4</w:t>
            </w:r>
            <w:r>
              <w:rPr>
                <w:rFonts w:hint="eastAsia"/>
                <w:snapToGrid w:val="0"/>
                <w:highlight w:val="none"/>
              </w:rPr>
              <w:t>，声环境保护目标图见附图</w:t>
            </w:r>
            <w:r>
              <w:rPr>
                <w:rFonts w:hint="eastAsia"/>
                <w:snapToGrid w:val="0"/>
                <w:highlight w:val="none"/>
                <w:lang w:val="en-US" w:eastAsia="zh-CN"/>
              </w:rPr>
              <w:t>7</w:t>
            </w:r>
            <w:r>
              <w:rPr>
                <w:rFonts w:hint="eastAsia"/>
                <w:snapToGrid w:val="0"/>
                <w:highlight w:val="none"/>
              </w:rPr>
              <w:t>。</w:t>
            </w:r>
          </w:p>
          <w:p w14:paraId="388DB144">
            <w:pPr>
              <w:spacing w:line="360" w:lineRule="auto"/>
              <w:ind w:left="0" w:leftChars="0" w:right="0" w:rightChars="0" w:firstLine="0" w:firstLineChars="0"/>
              <w:jc w:val="center"/>
              <w:rPr>
                <w:rFonts w:hint="eastAsia"/>
                <w:snapToGrid w:val="0"/>
                <w:highlight w:val="yellow"/>
              </w:rPr>
            </w:pPr>
            <w:r>
              <w:rPr>
                <w:rFonts w:hint="eastAsia" w:ascii="Times New Roman" w:hAnsi="黑体" w:eastAsia="黑体" w:cs="Times New Roman"/>
                <w:lang w:val="en-US" w:eastAsia="zh-CN"/>
              </w:rPr>
              <w:t>表3-4  主要环境保护目标一览表</w:t>
            </w:r>
          </w:p>
          <w:tbl>
            <w:tblPr>
              <w:tblStyle w:val="16"/>
              <w:tblW w:w="490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43"/>
              <w:gridCol w:w="1093"/>
              <w:gridCol w:w="744"/>
              <w:gridCol w:w="745"/>
              <w:gridCol w:w="775"/>
              <w:gridCol w:w="800"/>
              <w:gridCol w:w="1194"/>
              <w:gridCol w:w="1681"/>
            </w:tblGrid>
            <w:tr w14:paraId="4F0A1F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18" w:type="pct"/>
                  <w:vAlign w:val="center"/>
                </w:tcPr>
                <w:p w14:paraId="63123A04">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环境</w:t>
                  </w:r>
                </w:p>
                <w:p w14:paraId="06FE0674">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要素</w:t>
                  </w:r>
                </w:p>
              </w:tc>
              <w:tc>
                <w:tcPr>
                  <w:tcW w:w="712" w:type="pct"/>
                  <w:vAlign w:val="center"/>
                </w:tcPr>
                <w:p w14:paraId="64B2248C">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保护目标</w:t>
                  </w:r>
                </w:p>
              </w:tc>
              <w:tc>
                <w:tcPr>
                  <w:tcW w:w="970" w:type="pct"/>
                  <w:gridSpan w:val="2"/>
                  <w:vAlign w:val="center"/>
                </w:tcPr>
                <w:p w14:paraId="11C909F0">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坐标/m</w:t>
                  </w:r>
                </w:p>
                <w:p w14:paraId="63711771">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（X，Y）</w:t>
                  </w:r>
                </w:p>
              </w:tc>
              <w:tc>
                <w:tcPr>
                  <w:tcW w:w="504" w:type="pct"/>
                  <w:vAlign w:val="center"/>
                </w:tcPr>
                <w:p w14:paraId="6853B978">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方位</w:t>
                  </w:r>
                </w:p>
              </w:tc>
              <w:tc>
                <w:tcPr>
                  <w:tcW w:w="521" w:type="pct"/>
                  <w:vAlign w:val="center"/>
                </w:tcPr>
                <w:p w14:paraId="3BC062B5">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距离m</w:t>
                  </w:r>
                </w:p>
              </w:tc>
              <w:tc>
                <w:tcPr>
                  <w:tcW w:w="777" w:type="pct"/>
                  <w:vAlign w:val="center"/>
                </w:tcPr>
                <w:p w14:paraId="209584B4">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规模/人</w:t>
                  </w:r>
                </w:p>
              </w:tc>
              <w:tc>
                <w:tcPr>
                  <w:tcW w:w="1095" w:type="pct"/>
                  <w:vAlign w:val="center"/>
                </w:tcPr>
                <w:p w14:paraId="6AAA2B59">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保护级别</w:t>
                  </w:r>
                </w:p>
              </w:tc>
            </w:tr>
            <w:tr w14:paraId="0CAA6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18" w:type="pct"/>
                  <w:vAlign w:val="center"/>
                </w:tcPr>
                <w:p w14:paraId="3E294ADE">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声环境</w:t>
                  </w:r>
                </w:p>
              </w:tc>
              <w:tc>
                <w:tcPr>
                  <w:tcW w:w="712" w:type="pct"/>
                  <w:vAlign w:val="center"/>
                </w:tcPr>
                <w:p w14:paraId="12FDCB4B">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绿色智造产业园宿舍楼</w:t>
                  </w:r>
                </w:p>
              </w:tc>
              <w:tc>
                <w:tcPr>
                  <w:tcW w:w="484" w:type="pct"/>
                  <w:vAlign w:val="center"/>
                </w:tcPr>
                <w:p w14:paraId="4D6CCB43">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0</w:t>
                  </w:r>
                </w:p>
              </w:tc>
              <w:tc>
                <w:tcPr>
                  <w:tcW w:w="485" w:type="pct"/>
                  <w:vAlign w:val="center"/>
                </w:tcPr>
                <w:p w14:paraId="56A265E0">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-46</w:t>
                  </w:r>
                </w:p>
              </w:tc>
              <w:tc>
                <w:tcPr>
                  <w:tcW w:w="504" w:type="pct"/>
                  <w:vAlign w:val="center"/>
                </w:tcPr>
                <w:p w14:paraId="62CAC291">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S</w:t>
                  </w:r>
                </w:p>
              </w:tc>
              <w:tc>
                <w:tcPr>
                  <w:tcW w:w="521" w:type="pct"/>
                  <w:vAlign w:val="center"/>
                </w:tcPr>
                <w:p w14:paraId="09DA02F2">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46</w:t>
                  </w:r>
                </w:p>
              </w:tc>
              <w:tc>
                <w:tcPr>
                  <w:tcW w:w="777" w:type="pct"/>
                  <w:vAlign w:val="center"/>
                </w:tcPr>
                <w:p w14:paraId="5FBB7E4B">
                  <w:pPr>
                    <w:widowControl/>
                    <w:adjustRightInd w:val="0"/>
                    <w:spacing w:line="273"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约160人</w:t>
                  </w:r>
                </w:p>
              </w:tc>
              <w:tc>
                <w:tcPr>
                  <w:tcW w:w="1095" w:type="pct"/>
                  <w:vAlign w:val="center"/>
                </w:tcPr>
                <w:p w14:paraId="22A8BB1E">
                  <w:pPr>
                    <w:keepNext w:val="0"/>
                    <w:keepLines w:val="0"/>
                    <w:pageBreakBefore w:val="0"/>
                    <w:widowControl/>
                    <w:kinsoku/>
                    <w:wordWrap w:val="0"/>
                    <w:overflowPunct/>
                    <w:topLinePunct w:val="0"/>
                    <w:autoSpaceDE/>
                    <w:autoSpaceDN/>
                    <w:bidi w:val="0"/>
                    <w:adjustRightInd w:val="0"/>
                    <w:snapToGrid/>
                    <w:spacing w:line="274" w:lineRule="auto"/>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《声环境质量标准》（GB3096-2008）2类标准</w:t>
                  </w:r>
                </w:p>
              </w:tc>
            </w:tr>
          </w:tbl>
          <w:p w14:paraId="387578E5">
            <w:pPr>
              <w:spacing w:line="360" w:lineRule="auto"/>
              <w:rPr>
                <w:rFonts w:hint="eastAsia"/>
                <w:snapToGrid w:val="0"/>
                <w:highlight w:val="yellow"/>
              </w:rPr>
            </w:pPr>
            <w:r>
              <w:rPr>
                <w:rFonts w:hint="eastAsia"/>
                <w:snapToGrid w:val="0"/>
                <w:highlight w:val="none"/>
              </w:rPr>
              <w:t>注：以项目中心点为坐标原点（0，0），向东为X轴，向北为Y轴。</w:t>
            </w:r>
          </w:p>
          <w:p w14:paraId="5AA86F8D">
            <w:pPr>
              <w:spacing w:line="360" w:lineRule="auto"/>
              <w:ind w:firstLine="482" w:firstLineChars="200"/>
              <w:rPr>
                <w:rFonts w:hAnsi="宋体"/>
                <w:b/>
                <w:snapToGrid w:val="0"/>
              </w:rPr>
            </w:pPr>
            <w:r>
              <w:rPr>
                <w:b/>
                <w:snapToGrid w:val="0"/>
              </w:rPr>
              <w:t>3</w:t>
            </w:r>
            <w:r>
              <w:rPr>
                <w:rFonts w:hAnsi="宋体"/>
                <w:b/>
                <w:snapToGrid w:val="0"/>
              </w:rPr>
              <w:t>、地下水环境</w:t>
            </w:r>
          </w:p>
          <w:p w14:paraId="360252B5">
            <w:pPr>
              <w:spacing w:line="360" w:lineRule="auto"/>
              <w:ind w:firstLine="480" w:firstLineChars="200"/>
              <w:rPr>
                <w:rFonts w:hAnsi="宋体"/>
                <w:snapToGrid w:val="0"/>
              </w:rPr>
            </w:pPr>
            <w:r>
              <w:rPr>
                <w:rFonts w:hint="eastAsia" w:hAnsi="宋体"/>
                <w:snapToGrid w:val="0"/>
              </w:rPr>
              <w:t>项目采用自来水作为饮用水源，</w:t>
            </w:r>
            <w:r>
              <w:rPr>
                <w:rFonts w:hAnsi="宋体"/>
                <w:snapToGrid w:val="0"/>
              </w:rPr>
              <w:t>项目厂界外</w:t>
            </w:r>
            <w:r>
              <w:rPr>
                <w:snapToGrid w:val="0"/>
              </w:rPr>
              <w:t>500m</w:t>
            </w:r>
            <w:r>
              <w:rPr>
                <w:rFonts w:hAnsi="宋体"/>
                <w:snapToGrid w:val="0"/>
              </w:rPr>
              <w:t>范围内无地下水集中式饮用水水源、矿泉水、温泉等特殊地下水资源。</w:t>
            </w:r>
          </w:p>
          <w:p w14:paraId="151D7A09">
            <w:pPr>
              <w:spacing w:line="360" w:lineRule="auto"/>
              <w:ind w:firstLine="482" w:firstLineChars="200"/>
              <w:rPr>
                <w:rFonts w:hAnsi="宋体"/>
                <w:b/>
                <w:snapToGrid w:val="0"/>
              </w:rPr>
            </w:pPr>
            <w:r>
              <w:rPr>
                <w:b/>
                <w:snapToGrid w:val="0"/>
              </w:rPr>
              <w:t>4</w:t>
            </w:r>
            <w:r>
              <w:rPr>
                <w:rFonts w:hAnsi="宋体"/>
                <w:b/>
                <w:snapToGrid w:val="0"/>
              </w:rPr>
              <w:t>、生态环境</w:t>
            </w:r>
          </w:p>
          <w:p w14:paraId="3F8077A2">
            <w:pPr>
              <w:spacing w:line="360" w:lineRule="auto"/>
              <w:ind w:firstLine="480" w:firstLineChars="200"/>
              <w:rPr>
                <w:rFonts w:eastAsia="黑体"/>
                <w:color w:val="FF0000"/>
              </w:rPr>
            </w:pPr>
            <w:r>
              <w:rPr>
                <w:rFonts w:hint="eastAsia" w:ascii="宋体" w:hAnsi="宋体"/>
              </w:rPr>
              <w:t>本项目位于安微省淮南市淮南经济技术开发区东部工业区绿色智造产业</w:t>
            </w:r>
            <w:r>
              <w:t>园6#厂</w:t>
            </w:r>
            <w:r>
              <w:rPr>
                <w:rFonts w:hint="eastAsia" w:ascii="宋体" w:hAnsi="宋体"/>
              </w:rPr>
              <w:t>房，位于淮南经济技术开发区范围内，用地范围内无生态环境保护目标，故本项目的实施不会改变区域生态环境现有功能。</w:t>
            </w:r>
          </w:p>
        </w:tc>
      </w:tr>
      <w:tr w14:paraId="64C7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Align w:val="center"/>
          </w:tcPr>
          <w:p w14:paraId="79B32254">
            <w:pPr>
              <w:spacing w:line="360" w:lineRule="auto"/>
              <w:jc w:val="center"/>
            </w:pPr>
            <w:r>
              <w:t>污染物排放控制标准</w:t>
            </w:r>
          </w:p>
        </w:tc>
        <w:tc>
          <w:tcPr>
            <w:tcW w:w="8045" w:type="dxa"/>
          </w:tcPr>
          <w:p w14:paraId="47EBEAD6">
            <w:pPr>
              <w:spacing w:line="360" w:lineRule="auto"/>
              <w:ind w:firstLine="482" w:firstLineChars="200"/>
              <w:jc w:val="left"/>
              <w:rPr>
                <w:spacing w:val="-2"/>
                <w:szCs w:val="20"/>
              </w:rPr>
            </w:pPr>
            <w:r>
              <w:rPr>
                <w:b/>
              </w:rPr>
              <w:t>1、大气污染物排放控制标准</w:t>
            </w:r>
          </w:p>
          <w:p w14:paraId="64271E1A">
            <w:pPr>
              <w:adjustRightInd w:val="0"/>
              <w:spacing w:line="360" w:lineRule="auto"/>
              <w:ind w:firstLine="480" w:firstLineChars="200"/>
            </w:pPr>
            <w:r>
              <w:rPr>
                <w:rFonts w:hint="eastAsia"/>
              </w:rPr>
              <w:t>本项目生产过程中产生的颗粒物有组织和无组织排放执行《大气污染物综合排放标准》（GB16297-1996）表2大气污染物排放限值。</w:t>
            </w:r>
          </w:p>
          <w:p w14:paraId="76AF7455">
            <w:pPr>
              <w:adjustRightInd w:val="0"/>
              <w:spacing w:line="360" w:lineRule="auto"/>
              <w:ind w:firstLine="480" w:firstLineChars="200"/>
            </w:pPr>
            <w:r>
              <w:rPr>
                <w:rFonts w:hint="eastAsia"/>
              </w:rPr>
              <w:t>清洗、涂胶工序产生的甲苯、二甲苯、乙苯、四氯乙烯和</w:t>
            </w:r>
            <w:r>
              <w:t>非甲烷总烃</w:t>
            </w:r>
            <w:r>
              <w:rPr>
                <w:rFonts w:hint="eastAsia"/>
              </w:rPr>
              <w:t>有组织</w:t>
            </w:r>
            <w:r>
              <w:t>排放执行</w:t>
            </w:r>
            <w:r>
              <w:rPr>
                <w:rFonts w:hint="eastAsia"/>
              </w:rPr>
              <w:t>《固定源挥发性有机物综合排放标准 第6部分：其他行业》（DB34/4812.6-2024）表1、表2中排放限值；无组织废气四氯乙烯执行《固定源挥发性有机物综合排放标准 第6部分：其他行业》（DB34/4812.6-2024）表5中排放限值，无组织废气甲苯、二甲苯、非甲烷总烃执行《大气污染物综合排放标准》（GB16297-1996）表2中排放限值。</w:t>
            </w:r>
          </w:p>
          <w:p w14:paraId="33D80806">
            <w:pPr>
              <w:adjustRightInd w:val="0"/>
              <w:spacing w:line="360" w:lineRule="auto"/>
              <w:ind w:firstLine="480" w:firstLineChars="200"/>
            </w:pPr>
            <w:r>
              <w:rPr>
                <w:rFonts w:hint="eastAsia"/>
              </w:rPr>
              <w:t>硫化工序产生的非甲烷总烃有组织排放执行</w:t>
            </w:r>
            <w:r>
              <w:t>《橡胶制品工业污染物排放标准》（GB27632-2011）表5</w:t>
            </w:r>
            <w:r>
              <w:rPr>
                <w:rFonts w:hint="eastAsia"/>
              </w:rPr>
              <w:t>中</w:t>
            </w:r>
            <w:r>
              <w:t>标准限值</w:t>
            </w:r>
            <w:r>
              <w:rPr>
                <w:rFonts w:hint="eastAsia"/>
              </w:rPr>
              <w:t>；硫化氢和臭气浓度</w:t>
            </w:r>
            <w:r>
              <w:t>排放执行《恶臭污染物排放标准》（GB14554-93）表1二级标准中“新扩改建”厂界标准值</w:t>
            </w:r>
            <w:r>
              <w:rPr>
                <w:rFonts w:hint="eastAsia"/>
              </w:rPr>
              <w:t>及表2排放</w:t>
            </w:r>
            <w:r>
              <w:t>标准限值要求</w:t>
            </w:r>
            <w:r>
              <w:rPr>
                <w:rFonts w:hint="eastAsia"/>
              </w:rPr>
              <w:t>。</w:t>
            </w:r>
          </w:p>
          <w:p w14:paraId="1C122688">
            <w:pPr>
              <w:adjustRightInd w:val="0"/>
              <w:spacing w:line="360" w:lineRule="auto"/>
              <w:ind w:firstLine="480" w:firstLineChars="200"/>
              <w:rPr>
                <w:rFonts w:hint="eastAsia" w:eastAsia="黑体"/>
              </w:rPr>
            </w:pPr>
            <w:r>
              <w:rPr>
                <w:rFonts w:hint="eastAsia"/>
              </w:rPr>
              <w:t>企业厂区内VOCs（以非甲烷总烃计）执行《挥发性有机物无组织排放控制标准》（GB37822-2019）管控要求。</w:t>
            </w:r>
          </w:p>
          <w:p w14:paraId="4ED536EB">
            <w:pPr>
              <w:spacing w:line="360" w:lineRule="auto"/>
              <w:jc w:val="center"/>
              <w:rPr>
                <w:rFonts w:eastAsia="黑体"/>
              </w:rPr>
            </w:pPr>
            <w:r>
              <w:rPr>
                <w:rFonts w:hint="eastAsia" w:eastAsia="黑体"/>
              </w:rPr>
              <w:t>表3-</w:t>
            </w:r>
            <w:r>
              <w:rPr>
                <w:rFonts w:hint="eastAsia" w:eastAsia="黑体"/>
                <w:lang w:val="en-US" w:eastAsia="zh-CN"/>
              </w:rPr>
              <w:t>5</w:t>
            </w:r>
            <w:r>
              <w:rPr>
                <w:rFonts w:hint="eastAsia" w:eastAsia="黑体"/>
              </w:rPr>
              <w:t xml:space="preserve">  废气污染物排放标准    单位：mg/m</w:t>
            </w:r>
            <w:r>
              <w:rPr>
                <w:rFonts w:hint="eastAsia" w:eastAsia="黑体"/>
                <w:vertAlign w:val="superscript"/>
              </w:rPr>
              <w:t>3</w:t>
            </w:r>
          </w:p>
          <w:tbl>
            <w:tblPr>
              <w:tblStyle w:val="16"/>
              <w:tblW w:w="491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178"/>
              <w:gridCol w:w="1383"/>
              <w:gridCol w:w="1454"/>
              <w:gridCol w:w="2403"/>
            </w:tblGrid>
            <w:tr w14:paraId="7C1E22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ign w:val="center"/>
                </w:tcPr>
                <w:p w14:paraId="4B8AF813">
                  <w:pPr>
                    <w:widowControl/>
                    <w:spacing w:line="276" w:lineRule="auto"/>
                    <w:jc w:val="center"/>
                    <w:rPr>
                      <w:b/>
                      <w:bCs/>
                      <w:sz w:val="21"/>
                      <w:szCs w:val="21"/>
                    </w:rPr>
                  </w:pPr>
                  <w:r>
                    <w:rPr>
                      <w:rFonts w:hint="eastAsia"/>
                      <w:b/>
                      <w:bCs/>
                      <w:sz w:val="21"/>
                      <w:szCs w:val="21"/>
                    </w:rPr>
                    <w:t>生产工序</w:t>
                  </w:r>
                </w:p>
              </w:tc>
              <w:tc>
                <w:tcPr>
                  <w:tcW w:w="765" w:type="pct"/>
                  <w:tcBorders>
                    <w:tl2br w:val="nil"/>
                    <w:tr2bl w:val="nil"/>
                  </w:tcBorders>
                  <w:noWrap/>
                  <w:vAlign w:val="center"/>
                </w:tcPr>
                <w:p w14:paraId="13513959">
                  <w:pPr>
                    <w:widowControl/>
                    <w:spacing w:line="276" w:lineRule="auto"/>
                    <w:jc w:val="center"/>
                    <w:rPr>
                      <w:b/>
                      <w:bCs/>
                      <w:sz w:val="21"/>
                      <w:szCs w:val="21"/>
                    </w:rPr>
                  </w:pPr>
                  <w:r>
                    <w:rPr>
                      <w:rFonts w:hint="eastAsia"/>
                      <w:b/>
                      <w:bCs/>
                      <w:sz w:val="21"/>
                      <w:szCs w:val="21"/>
                    </w:rPr>
                    <w:t>污染物名称</w:t>
                  </w:r>
                </w:p>
              </w:tc>
              <w:tc>
                <w:tcPr>
                  <w:tcW w:w="898" w:type="pct"/>
                  <w:tcBorders>
                    <w:tl2br w:val="nil"/>
                    <w:tr2bl w:val="nil"/>
                  </w:tcBorders>
                  <w:noWrap/>
                  <w:vAlign w:val="center"/>
                </w:tcPr>
                <w:p w14:paraId="056EFDD5">
                  <w:pPr>
                    <w:widowControl/>
                    <w:spacing w:line="276" w:lineRule="auto"/>
                    <w:jc w:val="center"/>
                    <w:rPr>
                      <w:b/>
                      <w:bCs/>
                      <w:sz w:val="21"/>
                      <w:szCs w:val="21"/>
                    </w:rPr>
                  </w:pPr>
                  <w:r>
                    <w:rPr>
                      <w:rFonts w:hint="eastAsia"/>
                      <w:b/>
                      <w:bCs/>
                      <w:sz w:val="21"/>
                      <w:szCs w:val="21"/>
                    </w:rPr>
                    <w:t>最高允许排放浓度mg/m</w:t>
                  </w:r>
                  <w:r>
                    <w:rPr>
                      <w:rFonts w:hint="eastAsia"/>
                      <w:b/>
                      <w:bCs/>
                      <w:sz w:val="21"/>
                      <w:szCs w:val="21"/>
                      <w:vertAlign w:val="superscript"/>
                    </w:rPr>
                    <w:t>3</w:t>
                  </w:r>
                </w:p>
              </w:tc>
              <w:tc>
                <w:tcPr>
                  <w:tcW w:w="944" w:type="pct"/>
                  <w:tcBorders>
                    <w:tl2br w:val="nil"/>
                    <w:tr2bl w:val="nil"/>
                  </w:tcBorders>
                  <w:noWrap/>
                  <w:vAlign w:val="center"/>
                </w:tcPr>
                <w:p w14:paraId="033C8F63">
                  <w:pPr>
                    <w:widowControl/>
                    <w:spacing w:line="276" w:lineRule="auto"/>
                    <w:jc w:val="center"/>
                    <w:rPr>
                      <w:b/>
                      <w:bCs/>
                      <w:sz w:val="21"/>
                      <w:szCs w:val="21"/>
                    </w:rPr>
                  </w:pPr>
                  <w:r>
                    <w:rPr>
                      <w:rFonts w:hint="eastAsia"/>
                      <w:b/>
                      <w:bCs/>
                      <w:sz w:val="21"/>
                      <w:szCs w:val="21"/>
                    </w:rPr>
                    <w:t>最高允许排放速率kg/h</w:t>
                  </w:r>
                </w:p>
              </w:tc>
              <w:tc>
                <w:tcPr>
                  <w:tcW w:w="1560" w:type="pct"/>
                  <w:tcBorders>
                    <w:tl2br w:val="nil"/>
                    <w:tr2bl w:val="nil"/>
                  </w:tcBorders>
                  <w:noWrap/>
                  <w:vAlign w:val="center"/>
                </w:tcPr>
                <w:p w14:paraId="6447C112">
                  <w:pPr>
                    <w:widowControl/>
                    <w:spacing w:line="276" w:lineRule="auto"/>
                    <w:jc w:val="center"/>
                    <w:rPr>
                      <w:b/>
                      <w:bCs/>
                      <w:sz w:val="21"/>
                      <w:szCs w:val="21"/>
                    </w:rPr>
                  </w:pPr>
                  <w:r>
                    <w:rPr>
                      <w:rFonts w:hint="eastAsia"/>
                      <w:b/>
                      <w:bCs/>
                      <w:sz w:val="21"/>
                      <w:szCs w:val="21"/>
                    </w:rPr>
                    <w:t>标准依据</w:t>
                  </w:r>
                </w:p>
              </w:tc>
            </w:tr>
            <w:tr w14:paraId="7DC0B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ign w:val="center"/>
                </w:tcPr>
                <w:p w14:paraId="511DE982">
                  <w:pPr>
                    <w:widowControl/>
                    <w:spacing w:line="276" w:lineRule="auto"/>
                    <w:jc w:val="center"/>
                    <w:rPr>
                      <w:sz w:val="21"/>
                      <w:szCs w:val="21"/>
                    </w:rPr>
                  </w:pPr>
                  <w:r>
                    <w:rPr>
                      <w:rFonts w:hint="eastAsia"/>
                      <w:sz w:val="21"/>
                      <w:szCs w:val="21"/>
                    </w:rPr>
                    <w:t>抛丸、切割、焊接</w:t>
                  </w:r>
                </w:p>
              </w:tc>
              <w:tc>
                <w:tcPr>
                  <w:tcW w:w="765" w:type="pct"/>
                  <w:tcBorders>
                    <w:tl2br w:val="nil"/>
                    <w:tr2bl w:val="nil"/>
                  </w:tcBorders>
                  <w:noWrap/>
                  <w:vAlign w:val="center"/>
                </w:tcPr>
                <w:p w14:paraId="09902785">
                  <w:pPr>
                    <w:widowControl/>
                    <w:spacing w:line="276" w:lineRule="auto"/>
                    <w:jc w:val="center"/>
                    <w:rPr>
                      <w:sz w:val="21"/>
                      <w:szCs w:val="21"/>
                    </w:rPr>
                  </w:pPr>
                  <w:r>
                    <w:rPr>
                      <w:rFonts w:hint="eastAsia"/>
                      <w:sz w:val="21"/>
                      <w:szCs w:val="21"/>
                    </w:rPr>
                    <w:t>颗粒物</w:t>
                  </w:r>
                </w:p>
              </w:tc>
              <w:tc>
                <w:tcPr>
                  <w:tcW w:w="898" w:type="pct"/>
                  <w:tcBorders>
                    <w:tl2br w:val="nil"/>
                    <w:tr2bl w:val="nil"/>
                  </w:tcBorders>
                  <w:noWrap/>
                  <w:vAlign w:val="center"/>
                </w:tcPr>
                <w:p w14:paraId="6CD1E09B">
                  <w:pPr>
                    <w:widowControl/>
                    <w:spacing w:line="276" w:lineRule="auto"/>
                    <w:jc w:val="center"/>
                    <w:rPr>
                      <w:sz w:val="21"/>
                      <w:szCs w:val="21"/>
                    </w:rPr>
                  </w:pPr>
                  <w:r>
                    <w:rPr>
                      <w:rFonts w:hint="eastAsia"/>
                      <w:sz w:val="21"/>
                      <w:szCs w:val="21"/>
                    </w:rPr>
                    <w:t>120</w:t>
                  </w:r>
                </w:p>
              </w:tc>
              <w:tc>
                <w:tcPr>
                  <w:tcW w:w="944" w:type="pct"/>
                  <w:tcBorders>
                    <w:tl2br w:val="nil"/>
                    <w:tr2bl w:val="nil"/>
                  </w:tcBorders>
                  <w:noWrap/>
                  <w:vAlign w:val="center"/>
                </w:tcPr>
                <w:p w14:paraId="564DD576">
                  <w:pPr>
                    <w:widowControl/>
                    <w:spacing w:line="276" w:lineRule="auto"/>
                    <w:jc w:val="center"/>
                    <w:rPr>
                      <w:sz w:val="21"/>
                      <w:szCs w:val="21"/>
                    </w:rPr>
                  </w:pPr>
                  <w:r>
                    <w:rPr>
                      <w:rFonts w:hint="eastAsia"/>
                      <w:sz w:val="21"/>
                      <w:szCs w:val="21"/>
                    </w:rPr>
                    <w:t>3.5</w:t>
                  </w:r>
                </w:p>
              </w:tc>
              <w:tc>
                <w:tcPr>
                  <w:tcW w:w="1560" w:type="pct"/>
                  <w:tcBorders>
                    <w:tl2br w:val="nil"/>
                    <w:tr2bl w:val="nil"/>
                  </w:tcBorders>
                  <w:noWrap/>
                  <w:vAlign w:val="center"/>
                </w:tcPr>
                <w:p w14:paraId="4F32757D">
                  <w:pPr>
                    <w:widowControl/>
                    <w:spacing w:line="276" w:lineRule="auto"/>
                    <w:jc w:val="center"/>
                    <w:rPr>
                      <w:sz w:val="21"/>
                      <w:szCs w:val="21"/>
                    </w:rPr>
                  </w:pPr>
                  <w:r>
                    <w:rPr>
                      <w:sz w:val="21"/>
                      <w:szCs w:val="21"/>
                    </w:rPr>
                    <w:t>《大气污染物综合排放标准》（GB16297-1996）表2标准</w:t>
                  </w:r>
                </w:p>
              </w:tc>
            </w:tr>
            <w:tr w14:paraId="5BA578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ign w:val="center"/>
                </w:tcPr>
                <w:p w14:paraId="24F26317">
                  <w:pPr>
                    <w:widowControl/>
                    <w:spacing w:line="276" w:lineRule="auto"/>
                    <w:jc w:val="center"/>
                    <w:rPr>
                      <w:sz w:val="21"/>
                      <w:szCs w:val="21"/>
                    </w:rPr>
                  </w:pPr>
                  <w:r>
                    <w:rPr>
                      <w:rFonts w:hint="eastAsia"/>
                      <w:sz w:val="21"/>
                      <w:szCs w:val="21"/>
                    </w:rPr>
                    <w:t>清洗</w:t>
                  </w:r>
                </w:p>
              </w:tc>
              <w:tc>
                <w:tcPr>
                  <w:tcW w:w="765" w:type="pct"/>
                  <w:tcBorders>
                    <w:tl2br w:val="nil"/>
                    <w:tr2bl w:val="nil"/>
                  </w:tcBorders>
                  <w:noWrap/>
                  <w:vAlign w:val="center"/>
                </w:tcPr>
                <w:p w14:paraId="7793971A">
                  <w:pPr>
                    <w:widowControl/>
                    <w:spacing w:line="276" w:lineRule="auto"/>
                    <w:jc w:val="center"/>
                    <w:rPr>
                      <w:sz w:val="21"/>
                      <w:szCs w:val="21"/>
                    </w:rPr>
                  </w:pPr>
                  <w:r>
                    <w:rPr>
                      <w:rFonts w:hint="eastAsia"/>
                      <w:sz w:val="21"/>
                      <w:szCs w:val="21"/>
                    </w:rPr>
                    <w:t>非甲烷总烃</w:t>
                  </w:r>
                </w:p>
              </w:tc>
              <w:tc>
                <w:tcPr>
                  <w:tcW w:w="898" w:type="pct"/>
                  <w:tcBorders>
                    <w:tl2br w:val="nil"/>
                    <w:tr2bl w:val="nil"/>
                  </w:tcBorders>
                  <w:noWrap/>
                  <w:vAlign w:val="center"/>
                </w:tcPr>
                <w:p w14:paraId="2E7A23DF">
                  <w:pPr>
                    <w:widowControl/>
                    <w:spacing w:line="276" w:lineRule="auto"/>
                    <w:jc w:val="center"/>
                    <w:rPr>
                      <w:sz w:val="21"/>
                      <w:szCs w:val="21"/>
                    </w:rPr>
                  </w:pPr>
                  <w:r>
                    <w:rPr>
                      <w:rFonts w:hint="eastAsia"/>
                      <w:sz w:val="21"/>
                      <w:szCs w:val="21"/>
                    </w:rPr>
                    <w:t>60</w:t>
                  </w:r>
                </w:p>
              </w:tc>
              <w:tc>
                <w:tcPr>
                  <w:tcW w:w="944" w:type="pct"/>
                  <w:tcBorders>
                    <w:tl2br w:val="nil"/>
                    <w:tr2bl w:val="nil"/>
                  </w:tcBorders>
                  <w:noWrap/>
                  <w:vAlign w:val="center"/>
                </w:tcPr>
                <w:p w14:paraId="718FE666">
                  <w:pPr>
                    <w:widowControl/>
                    <w:spacing w:line="276" w:lineRule="auto"/>
                    <w:jc w:val="center"/>
                    <w:rPr>
                      <w:sz w:val="21"/>
                      <w:szCs w:val="21"/>
                    </w:rPr>
                  </w:pPr>
                  <w:r>
                    <w:rPr>
                      <w:rFonts w:hint="eastAsia"/>
                      <w:sz w:val="21"/>
                      <w:szCs w:val="21"/>
                    </w:rPr>
                    <w:t>2.0</w:t>
                  </w:r>
                </w:p>
              </w:tc>
              <w:tc>
                <w:tcPr>
                  <w:tcW w:w="1560" w:type="pct"/>
                  <w:vMerge w:val="restart"/>
                  <w:tcBorders>
                    <w:tl2br w:val="nil"/>
                    <w:tr2bl w:val="nil"/>
                  </w:tcBorders>
                  <w:noWrap/>
                  <w:vAlign w:val="center"/>
                </w:tcPr>
                <w:p w14:paraId="6AC8689C">
                  <w:pPr>
                    <w:widowControl/>
                    <w:spacing w:line="276" w:lineRule="auto"/>
                    <w:jc w:val="center"/>
                    <w:rPr>
                      <w:sz w:val="21"/>
                      <w:szCs w:val="21"/>
                    </w:rPr>
                  </w:pPr>
                  <w:r>
                    <w:rPr>
                      <w:sz w:val="21"/>
                      <w:szCs w:val="21"/>
                    </w:rPr>
                    <w:t>《固定源挥发性有机物综合排放标准 第6部分：其他行业》（DB34/4812.6-2024）表</w:t>
                  </w:r>
                  <w:r>
                    <w:rPr>
                      <w:rFonts w:hint="eastAsia"/>
                      <w:sz w:val="21"/>
                      <w:szCs w:val="21"/>
                    </w:rPr>
                    <w:t>1</w:t>
                  </w:r>
                  <w:r>
                    <w:rPr>
                      <w:sz w:val="21"/>
                      <w:szCs w:val="21"/>
                    </w:rPr>
                    <w:t>标准</w:t>
                  </w:r>
                </w:p>
              </w:tc>
            </w:tr>
            <w:tr w14:paraId="60141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tcBorders>
                    <w:tl2br w:val="nil"/>
                    <w:tr2bl w:val="nil"/>
                  </w:tcBorders>
                  <w:noWrap/>
                  <w:vAlign w:val="center"/>
                </w:tcPr>
                <w:p w14:paraId="123EC6B5">
                  <w:pPr>
                    <w:widowControl/>
                    <w:spacing w:line="276" w:lineRule="auto"/>
                    <w:jc w:val="center"/>
                    <w:rPr>
                      <w:sz w:val="21"/>
                      <w:szCs w:val="21"/>
                    </w:rPr>
                  </w:pPr>
                  <w:r>
                    <w:rPr>
                      <w:rFonts w:hint="eastAsia"/>
                      <w:sz w:val="21"/>
                      <w:szCs w:val="21"/>
                    </w:rPr>
                    <w:t>涂胶</w:t>
                  </w:r>
                </w:p>
              </w:tc>
              <w:tc>
                <w:tcPr>
                  <w:tcW w:w="765" w:type="pct"/>
                  <w:tcBorders>
                    <w:tl2br w:val="nil"/>
                    <w:tr2bl w:val="nil"/>
                  </w:tcBorders>
                  <w:noWrap/>
                  <w:vAlign w:val="center"/>
                </w:tcPr>
                <w:p w14:paraId="64634D8B">
                  <w:pPr>
                    <w:widowControl/>
                    <w:spacing w:line="276" w:lineRule="auto"/>
                    <w:jc w:val="center"/>
                    <w:rPr>
                      <w:sz w:val="21"/>
                      <w:szCs w:val="21"/>
                    </w:rPr>
                  </w:pPr>
                  <w:r>
                    <w:rPr>
                      <w:rFonts w:hint="eastAsia"/>
                      <w:sz w:val="21"/>
                      <w:szCs w:val="21"/>
                    </w:rPr>
                    <w:t>苯系物（甲苯、二甲苯、乙苯）</w:t>
                  </w:r>
                </w:p>
              </w:tc>
              <w:tc>
                <w:tcPr>
                  <w:tcW w:w="898" w:type="pct"/>
                  <w:tcBorders>
                    <w:tl2br w:val="nil"/>
                    <w:tr2bl w:val="nil"/>
                  </w:tcBorders>
                  <w:noWrap/>
                  <w:vAlign w:val="center"/>
                </w:tcPr>
                <w:p w14:paraId="06C44601">
                  <w:pPr>
                    <w:widowControl/>
                    <w:spacing w:line="276" w:lineRule="auto"/>
                    <w:jc w:val="center"/>
                    <w:rPr>
                      <w:sz w:val="21"/>
                      <w:szCs w:val="21"/>
                    </w:rPr>
                  </w:pPr>
                  <w:r>
                    <w:rPr>
                      <w:rFonts w:hint="eastAsia"/>
                      <w:sz w:val="21"/>
                      <w:szCs w:val="21"/>
                    </w:rPr>
                    <w:t>30</w:t>
                  </w:r>
                </w:p>
              </w:tc>
              <w:tc>
                <w:tcPr>
                  <w:tcW w:w="944" w:type="pct"/>
                  <w:tcBorders>
                    <w:tl2br w:val="nil"/>
                    <w:tr2bl w:val="nil"/>
                  </w:tcBorders>
                  <w:noWrap/>
                  <w:vAlign w:val="center"/>
                </w:tcPr>
                <w:p w14:paraId="6308A284">
                  <w:pPr>
                    <w:widowControl/>
                    <w:spacing w:line="276" w:lineRule="auto"/>
                    <w:jc w:val="center"/>
                    <w:rPr>
                      <w:sz w:val="21"/>
                      <w:szCs w:val="21"/>
                    </w:rPr>
                  </w:pPr>
                  <w:r>
                    <w:rPr>
                      <w:rFonts w:hint="eastAsia"/>
                      <w:sz w:val="21"/>
                      <w:szCs w:val="21"/>
                    </w:rPr>
                    <w:t>1.6</w:t>
                  </w:r>
                </w:p>
              </w:tc>
              <w:tc>
                <w:tcPr>
                  <w:tcW w:w="1560" w:type="pct"/>
                  <w:vMerge w:val="continue"/>
                  <w:tcBorders>
                    <w:tl2br w:val="nil"/>
                    <w:tr2bl w:val="nil"/>
                  </w:tcBorders>
                  <w:noWrap/>
                  <w:vAlign w:val="center"/>
                </w:tcPr>
                <w:p w14:paraId="45845C62">
                  <w:pPr>
                    <w:widowControl/>
                    <w:spacing w:line="276" w:lineRule="auto"/>
                    <w:jc w:val="center"/>
                    <w:rPr>
                      <w:sz w:val="21"/>
                      <w:szCs w:val="21"/>
                    </w:rPr>
                  </w:pPr>
                </w:p>
              </w:tc>
            </w:tr>
            <w:tr w14:paraId="3D77C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noWrap/>
                  <w:vAlign w:val="center"/>
                </w:tcPr>
                <w:p w14:paraId="71369245">
                  <w:pPr>
                    <w:widowControl/>
                    <w:spacing w:line="276" w:lineRule="auto"/>
                    <w:jc w:val="center"/>
                    <w:rPr>
                      <w:sz w:val="21"/>
                      <w:szCs w:val="21"/>
                    </w:rPr>
                  </w:pPr>
                </w:p>
              </w:tc>
              <w:tc>
                <w:tcPr>
                  <w:tcW w:w="765" w:type="pct"/>
                  <w:tcBorders>
                    <w:tl2br w:val="nil"/>
                    <w:tr2bl w:val="nil"/>
                  </w:tcBorders>
                  <w:noWrap/>
                  <w:vAlign w:val="center"/>
                </w:tcPr>
                <w:p w14:paraId="7BCE3089">
                  <w:pPr>
                    <w:widowControl/>
                    <w:spacing w:line="276" w:lineRule="auto"/>
                    <w:jc w:val="center"/>
                    <w:rPr>
                      <w:sz w:val="21"/>
                      <w:szCs w:val="21"/>
                    </w:rPr>
                  </w:pPr>
                  <w:r>
                    <w:rPr>
                      <w:rFonts w:hint="eastAsia"/>
                      <w:sz w:val="21"/>
                      <w:szCs w:val="21"/>
                    </w:rPr>
                    <w:t>四氯乙烯</w:t>
                  </w:r>
                </w:p>
              </w:tc>
              <w:tc>
                <w:tcPr>
                  <w:tcW w:w="898" w:type="pct"/>
                  <w:tcBorders>
                    <w:tl2br w:val="nil"/>
                    <w:tr2bl w:val="nil"/>
                  </w:tcBorders>
                  <w:noWrap/>
                  <w:vAlign w:val="center"/>
                </w:tcPr>
                <w:p w14:paraId="7E9C8BAB">
                  <w:pPr>
                    <w:widowControl/>
                    <w:spacing w:line="276" w:lineRule="auto"/>
                    <w:jc w:val="center"/>
                    <w:rPr>
                      <w:sz w:val="21"/>
                      <w:szCs w:val="21"/>
                    </w:rPr>
                  </w:pPr>
                  <w:r>
                    <w:rPr>
                      <w:rFonts w:hint="eastAsia"/>
                      <w:sz w:val="21"/>
                      <w:szCs w:val="21"/>
                    </w:rPr>
                    <w:t>80</w:t>
                  </w:r>
                </w:p>
              </w:tc>
              <w:tc>
                <w:tcPr>
                  <w:tcW w:w="944" w:type="pct"/>
                  <w:tcBorders>
                    <w:tl2br w:val="nil"/>
                    <w:tr2bl w:val="nil"/>
                  </w:tcBorders>
                  <w:noWrap/>
                  <w:vAlign w:val="center"/>
                </w:tcPr>
                <w:p w14:paraId="2ABC7A7E">
                  <w:pPr>
                    <w:widowControl/>
                    <w:spacing w:line="276" w:lineRule="auto"/>
                    <w:jc w:val="center"/>
                    <w:rPr>
                      <w:sz w:val="21"/>
                      <w:szCs w:val="21"/>
                    </w:rPr>
                  </w:pPr>
                  <w:r>
                    <w:rPr>
                      <w:rFonts w:hint="eastAsia"/>
                      <w:sz w:val="21"/>
                      <w:szCs w:val="21"/>
                    </w:rPr>
                    <w:t>/</w:t>
                  </w:r>
                </w:p>
              </w:tc>
              <w:tc>
                <w:tcPr>
                  <w:tcW w:w="1560" w:type="pct"/>
                  <w:vMerge w:val="continue"/>
                  <w:tcBorders>
                    <w:tl2br w:val="nil"/>
                    <w:tr2bl w:val="nil"/>
                  </w:tcBorders>
                  <w:noWrap/>
                  <w:vAlign w:val="center"/>
                </w:tcPr>
                <w:p w14:paraId="7FE5A885">
                  <w:pPr>
                    <w:widowControl/>
                    <w:spacing w:line="276" w:lineRule="auto"/>
                    <w:jc w:val="center"/>
                    <w:rPr>
                      <w:sz w:val="21"/>
                      <w:szCs w:val="21"/>
                    </w:rPr>
                  </w:pPr>
                </w:p>
              </w:tc>
            </w:tr>
            <w:tr w14:paraId="6EDF1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832" w:type="pct"/>
                  <w:vMerge w:val="continue"/>
                  <w:tcBorders>
                    <w:tl2br w:val="nil"/>
                    <w:tr2bl w:val="nil"/>
                  </w:tcBorders>
                  <w:noWrap/>
                  <w:vAlign w:val="center"/>
                </w:tcPr>
                <w:p w14:paraId="45F19D8B">
                  <w:pPr>
                    <w:widowControl/>
                    <w:spacing w:line="276" w:lineRule="auto"/>
                    <w:jc w:val="center"/>
                    <w:rPr>
                      <w:sz w:val="21"/>
                      <w:szCs w:val="21"/>
                    </w:rPr>
                  </w:pPr>
                </w:p>
              </w:tc>
              <w:tc>
                <w:tcPr>
                  <w:tcW w:w="765" w:type="pct"/>
                  <w:tcBorders>
                    <w:tl2br w:val="nil"/>
                    <w:tr2bl w:val="nil"/>
                  </w:tcBorders>
                  <w:noWrap/>
                  <w:vAlign w:val="center"/>
                </w:tcPr>
                <w:p w14:paraId="2EB1A27F">
                  <w:pPr>
                    <w:widowControl/>
                    <w:spacing w:line="276" w:lineRule="auto"/>
                    <w:jc w:val="center"/>
                    <w:rPr>
                      <w:sz w:val="21"/>
                      <w:szCs w:val="21"/>
                    </w:rPr>
                  </w:pPr>
                  <w:r>
                    <w:rPr>
                      <w:rFonts w:hint="eastAsia"/>
                      <w:sz w:val="21"/>
                      <w:szCs w:val="21"/>
                    </w:rPr>
                    <w:t>非甲烷总烃</w:t>
                  </w:r>
                </w:p>
              </w:tc>
              <w:tc>
                <w:tcPr>
                  <w:tcW w:w="898" w:type="pct"/>
                  <w:tcBorders>
                    <w:tl2br w:val="nil"/>
                    <w:tr2bl w:val="nil"/>
                  </w:tcBorders>
                  <w:noWrap/>
                  <w:vAlign w:val="center"/>
                </w:tcPr>
                <w:p w14:paraId="48A885E0">
                  <w:pPr>
                    <w:widowControl/>
                    <w:spacing w:line="276" w:lineRule="auto"/>
                    <w:jc w:val="center"/>
                    <w:rPr>
                      <w:sz w:val="21"/>
                      <w:szCs w:val="21"/>
                    </w:rPr>
                  </w:pPr>
                  <w:r>
                    <w:rPr>
                      <w:rFonts w:hint="eastAsia"/>
                      <w:sz w:val="21"/>
                      <w:szCs w:val="21"/>
                    </w:rPr>
                    <w:t>60</w:t>
                  </w:r>
                </w:p>
              </w:tc>
              <w:tc>
                <w:tcPr>
                  <w:tcW w:w="944" w:type="pct"/>
                  <w:tcBorders>
                    <w:tl2br w:val="nil"/>
                    <w:tr2bl w:val="nil"/>
                  </w:tcBorders>
                  <w:noWrap/>
                  <w:vAlign w:val="center"/>
                </w:tcPr>
                <w:p w14:paraId="6FE1D639">
                  <w:pPr>
                    <w:widowControl/>
                    <w:spacing w:line="276" w:lineRule="auto"/>
                    <w:jc w:val="center"/>
                    <w:rPr>
                      <w:sz w:val="21"/>
                      <w:szCs w:val="21"/>
                    </w:rPr>
                  </w:pPr>
                  <w:r>
                    <w:rPr>
                      <w:rFonts w:hint="eastAsia"/>
                      <w:sz w:val="21"/>
                      <w:szCs w:val="21"/>
                    </w:rPr>
                    <w:t>2.0</w:t>
                  </w:r>
                </w:p>
              </w:tc>
              <w:tc>
                <w:tcPr>
                  <w:tcW w:w="1560" w:type="pct"/>
                  <w:vMerge w:val="continue"/>
                  <w:tcBorders>
                    <w:tl2br w:val="nil"/>
                    <w:tr2bl w:val="nil"/>
                  </w:tcBorders>
                  <w:noWrap/>
                  <w:vAlign w:val="center"/>
                </w:tcPr>
                <w:p w14:paraId="1945727A">
                  <w:pPr>
                    <w:widowControl/>
                    <w:spacing w:line="276" w:lineRule="auto"/>
                    <w:jc w:val="center"/>
                    <w:rPr>
                      <w:sz w:val="21"/>
                      <w:szCs w:val="21"/>
                    </w:rPr>
                  </w:pPr>
                </w:p>
              </w:tc>
            </w:tr>
            <w:tr w14:paraId="0F35B9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tcBorders>
                    <w:tl2br w:val="nil"/>
                    <w:tr2bl w:val="nil"/>
                  </w:tcBorders>
                  <w:noWrap/>
                  <w:vAlign w:val="center"/>
                </w:tcPr>
                <w:p w14:paraId="2B659E77">
                  <w:pPr>
                    <w:widowControl/>
                    <w:spacing w:line="276" w:lineRule="auto"/>
                    <w:jc w:val="center"/>
                    <w:rPr>
                      <w:sz w:val="21"/>
                      <w:szCs w:val="21"/>
                    </w:rPr>
                  </w:pPr>
                  <w:r>
                    <w:rPr>
                      <w:rFonts w:hint="eastAsia"/>
                      <w:sz w:val="21"/>
                      <w:szCs w:val="21"/>
                    </w:rPr>
                    <w:t>硫化</w:t>
                  </w:r>
                </w:p>
              </w:tc>
              <w:tc>
                <w:tcPr>
                  <w:tcW w:w="765" w:type="pct"/>
                  <w:tcBorders>
                    <w:tl2br w:val="nil"/>
                    <w:tr2bl w:val="nil"/>
                  </w:tcBorders>
                  <w:noWrap/>
                  <w:vAlign w:val="center"/>
                </w:tcPr>
                <w:p w14:paraId="631C9C65">
                  <w:pPr>
                    <w:widowControl/>
                    <w:spacing w:line="276" w:lineRule="auto"/>
                    <w:jc w:val="center"/>
                    <w:rPr>
                      <w:sz w:val="21"/>
                      <w:szCs w:val="21"/>
                    </w:rPr>
                  </w:pPr>
                  <w:r>
                    <w:rPr>
                      <w:rFonts w:hint="eastAsia"/>
                      <w:sz w:val="21"/>
                      <w:szCs w:val="21"/>
                    </w:rPr>
                    <w:t>非甲烷总烃</w:t>
                  </w:r>
                </w:p>
              </w:tc>
              <w:tc>
                <w:tcPr>
                  <w:tcW w:w="898" w:type="pct"/>
                  <w:tcBorders>
                    <w:tl2br w:val="nil"/>
                    <w:tr2bl w:val="nil"/>
                  </w:tcBorders>
                  <w:noWrap/>
                  <w:vAlign w:val="center"/>
                </w:tcPr>
                <w:p w14:paraId="4298E973">
                  <w:pPr>
                    <w:widowControl/>
                    <w:spacing w:line="276" w:lineRule="auto"/>
                    <w:jc w:val="center"/>
                    <w:rPr>
                      <w:sz w:val="21"/>
                      <w:szCs w:val="21"/>
                    </w:rPr>
                  </w:pPr>
                  <w:r>
                    <w:rPr>
                      <w:rFonts w:hint="eastAsia"/>
                      <w:sz w:val="21"/>
                      <w:szCs w:val="21"/>
                    </w:rPr>
                    <w:t>10</w:t>
                  </w:r>
                </w:p>
              </w:tc>
              <w:tc>
                <w:tcPr>
                  <w:tcW w:w="944" w:type="pct"/>
                  <w:tcBorders>
                    <w:tl2br w:val="nil"/>
                    <w:tr2bl w:val="nil"/>
                  </w:tcBorders>
                  <w:noWrap/>
                  <w:vAlign w:val="center"/>
                </w:tcPr>
                <w:p w14:paraId="2F97CF44">
                  <w:pPr>
                    <w:widowControl/>
                    <w:spacing w:line="276" w:lineRule="auto"/>
                    <w:jc w:val="center"/>
                    <w:rPr>
                      <w:sz w:val="21"/>
                      <w:szCs w:val="21"/>
                    </w:rPr>
                  </w:pPr>
                  <w:r>
                    <w:rPr>
                      <w:rFonts w:hint="eastAsia"/>
                      <w:sz w:val="21"/>
                      <w:szCs w:val="21"/>
                    </w:rPr>
                    <w:t>/</w:t>
                  </w:r>
                </w:p>
              </w:tc>
              <w:tc>
                <w:tcPr>
                  <w:tcW w:w="1560" w:type="pct"/>
                  <w:tcBorders>
                    <w:tl2br w:val="nil"/>
                    <w:tr2bl w:val="nil"/>
                  </w:tcBorders>
                  <w:noWrap/>
                  <w:vAlign w:val="center"/>
                </w:tcPr>
                <w:p w14:paraId="6C4A5A93">
                  <w:pPr>
                    <w:widowControl/>
                    <w:spacing w:line="276" w:lineRule="auto"/>
                    <w:jc w:val="center"/>
                    <w:rPr>
                      <w:b/>
                      <w:bCs/>
                      <w:sz w:val="21"/>
                      <w:szCs w:val="21"/>
                    </w:rPr>
                  </w:pPr>
                  <w:r>
                    <w:rPr>
                      <w:rFonts w:hint="eastAsia"/>
                      <w:sz w:val="21"/>
                      <w:szCs w:val="21"/>
                    </w:rPr>
                    <w:t>《橡胶制品工业污染物排放标准》（GB27632-2011）表5标准</w:t>
                  </w:r>
                </w:p>
              </w:tc>
            </w:tr>
            <w:tr w14:paraId="19E7D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noWrap/>
                  <w:vAlign w:val="center"/>
                </w:tcPr>
                <w:p w14:paraId="207E3539">
                  <w:pPr>
                    <w:widowControl/>
                    <w:spacing w:line="276" w:lineRule="auto"/>
                    <w:jc w:val="center"/>
                    <w:rPr>
                      <w:sz w:val="21"/>
                      <w:szCs w:val="21"/>
                    </w:rPr>
                  </w:pPr>
                </w:p>
              </w:tc>
              <w:tc>
                <w:tcPr>
                  <w:tcW w:w="765" w:type="pct"/>
                  <w:tcBorders>
                    <w:tl2br w:val="nil"/>
                    <w:tr2bl w:val="nil"/>
                  </w:tcBorders>
                  <w:noWrap/>
                  <w:vAlign w:val="center"/>
                </w:tcPr>
                <w:p w14:paraId="346BB7E6">
                  <w:pPr>
                    <w:widowControl/>
                    <w:spacing w:line="276" w:lineRule="auto"/>
                    <w:jc w:val="center"/>
                    <w:rPr>
                      <w:sz w:val="21"/>
                      <w:szCs w:val="21"/>
                    </w:rPr>
                  </w:pPr>
                  <w:r>
                    <w:rPr>
                      <w:rFonts w:hint="eastAsia"/>
                      <w:sz w:val="21"/>
                      <w:szCs w:val="21"/>
                    </w:rPr>
                    <w:t>硫化氢</w:t>
                  </w:r>
                </w:p>
              </w:tc>
              <w:tc>
                <w:tcPr>
                  <w:tcW w:w="898" w:type="pct"/>
                  <w:tcBorders>
                    <w:tl2br w:val="nil"/>
                    <w:tr2bl w:val="nil"/>
                  </w:tcBorders>
                  <w:noWrap/>
                  <w:vAlign w:val="center"/>
                </w:tcPr>
                <w:p w14:paraId="2105C6E4">
                  <w:pPr>
                    <w:widowControl/>
                    <w:spacing w:line="276" w:lineRule="auto"/>
                    <w:jc w:val="center"/>
                    <w:rPr>
                      <w:sz w:val="21"/>
                      <w:szCs w:val="21"/>
                    </w:rPr>
                  </w:pPr>
                  <w:r>
                    <w:rPr>
                      <w:rFonts w:hint="eastAsia"/>
                      <w:sz w:val="21"/>
                      <w:szCs w:val="21"/>
                    </w:rPr>
                    <w:t>/</w:t>
                  </w:r>
                </w:p>
              </w:tc>
              <w:tc>
                <w:tcPr>
                  <w:tcW w:w="944" w:type="pct"/>
                  <w:tcBorders>
                    <w:tl2br w:val="nil"/>
                    <w:tr2bl w:val="nil"/>
                  </w:tcBorders>
                  <w:noWrap/>
                  <w:vAlign w:val="center"/>
                </w:tcPr>
                <w:p w14:paraId="3CA9C97E">
                  <w:pPr>
                    <w:widowControl/>
                    <w:spacing w:line="276" w:lineRule="auto"/>
                    <w:jc w:val="center"/>
                    <w:rPr>
                      <w:sz w:val="21"/>
                      <w:szCs w:val="21"/>
                    </w:rPr>
                  </w:pPr>
                  <w:r>
                    <w:rPr>
                      <w:rFonts w:hint="eastAsia"/>
                      <w:sz w:val="21"/>
                      <w:szCs w:val="21"/>
                    </w:rPr>
                    <w:t>0.33</w:t>
                  </w:r>
                </w:p>
              </w:tc>
              <w:tc>
                <w:tcPr>
                  <w:tcW w:w="1560" w:type="pct"/>
                  <w:vMerge w:val="restart"/>
                  <w:tcBorders>
                    <w:tl2br w:val="nil"/>
                    <w:tr2bl w:val="nil"/>
                  </w:tcBorders>
                  <w:noWrap/>
                  <w:vAlign w:val="center"/>
                </w:tcPr>
                <w:p w14:paraId="169D0990">
                  <w:pPr>
                    <w:widowControl/>
                    <w:spacing w:line="276" w:lineRule="auto"/>
                    <w:jc w:val="center"/>
                    <w:rPr>
                      <w:sz w:val="21"/>
                      <w:szCs w:val="21"/>
                    </w:rPr>
                  </w:pPr>
                  <w:r>
                    <w:rPr>
                      <w:rFonts w:hint="eastAsia"/>
                      <w:sz w:val="21"/>
                      <w:szCs w:val="21"/>
                    </w:rPr>
                    <w:t>《恶臭污染物排放标准》（GB14554-93）表2标准</w:t>
                  </w:r>
                </w:p>
              </w:tc>
            </w:tr>
            <w:tr w14:paraId="75D02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noWrap/>
                  <w:vAlign w:val="center"/>
                </w:tcPr>
                <w:p w14:paraId="1FADAB41">
                  <w:pPr>
                    <w:widowControl/>
                    <w:spacing w:line="276" w:lineRule="auto"/>
                    <w:jc w:val="center"/>
                    <w:rPr>
                      <w:b/>
                      <w:bCs/>
                      <w:sz w:val="21"/>
                      <w:szCs w:val="21"/>
                    </w:rPr>
                  </w:pPr>
                </w:p>
              </w:tc>
              <w:tc>
                <w:tcPr>
                  <w:tcW w:w="765" w:type="pct"/>
                  <w:tcBorders>
                    <w:tl2br w:val="nil"/>
                    <w:tr2bl w:val="nil"/>
                  </w:tcBorders>
                  <w:noWrap/>
                  <w:vAlign w:val="center"/>
                </w:tcPr>
                <w:p w14:paraId="1B33FD12">
                  <w:pPr>
                    <w:widowControl/>
                    <w:spacing w:line="276" w:lineRule="auto"/>
                    <w:jc w:val="center"/>
                    <w:rPr>
                      <w:sz w:val="21"/>
                      <w:szCs w:val="21"/>
                    </w:rPr>
                  </w:pPr>
                  <w:r>
                    <w:rPr>
                      <w:rFonts w:hint="eastAsia"/>
                      <w:sz w:val="21"/>
                      <w:szCs w:val="21"/>
                    </w:rPr>
                    <w:t>臭气浓度</w:t>
                  </w:r>
                </w:p>
              </w:tc>
              <w:tc>
                <w:tcPr>
                  <w:tcW w:w="898" w:type="pct"/>
                  <w:tcBorders>
                    <w:tl2br w:val="nil"/>
                    <w:tr2bl w:val="nil"/>
                  </w:tcBorders>
                  <w:noWrap/>
                  <w:vAlign w:val="center"/>
                </w:tcPr>
                <w:p w14:paraId="3E521A35">
                  <w:pPr>
                    <w:widowControl/>
                    <w:spacing w:line="276" w:lineRule="auto"/>
                    <w:jc w:val="center"/>
                    <w:rPr>
                      <w:sz w:val="21"/>
                      <w:szCs w:val="21"/>
                    </w:rPr>
                  </w:pPr>
                  <w:r>
                    <w:rPr>
                      <w:rFonts w:hint="eastAsia"/>
                      <w:sz w:val="21"/>
                      <w:szCs w:val="21"/>
                    </w:rPr>
                    <w:t>/</w:t>
                  </w:r>
                </w:p>
              </w:tc>
              <w:tc>
                <w:tcPr>
                  <w:tcW w:w="944" w:type="pct"/>
                  <w:tcBorders>
                    <w:tl2br w:val="nil"/>
                    <w:tr2bl w:val="nil"/>
                  </w:tcBorders>
                  <w:noWrap/>
                  <w:vAlign w:val="center"/>
                </w:tcPr>
                <w:p w14:paraId="7380DEBD">
                  <w:pPr>
                    <w:widowControl/>
                    <w:spacing w:line="276" w:lineRule="auto"/>
                    <w:jc w:val="center"/>
                    <w:rPr>
                      <w:sz w:val="21"/>
                      <w:szCs w:val="21"/>
                    </w:rPr>
                  </w:pPr>
                  <w:r>
                    <w:rPr>
                      <w:rFonts w:hint="eastAsia"/>
                      <w:sz w:val="21"/>
                      <w:szCs w:val="21"/>
                    </w:rPr>
                    <w:t>2000</w:t>
                  </w:r>
                </w:p>
                <w:p w14:paraId="34195FB6">
                  <w:pPr>
                    <w:widowControl/>
                    <w:spacing w:line="276" w:lineRule="auto"/>
                    <w:jc w:val="center"/>
                    <w:rPr>
                      <w:sz w:val="21"/>
                      <w:szCs w:val="21"/>
                    </w:rPr>
                  </w:pPr>
                  <w:r>
                    <w:rPr>
                      <w:rFonts w:hint="eastAsia"/>
                      <w:sz w:val="21"/>
                      <w:szCs w:val="21"/>
                    </w:rPr>
                    <w:t>（无量纲）</w:t>
                  </w:r>
                </w:p>
              </w:tc>
              <w:tc>
                <w:tcPr>
                  <w:tcW w:w="1560" w:type="pct"/>
                  <w:vMerge w:val="continue"/>
                  <w:tcBorders>
                    <w:tl2br w:val="nil"/>
                    <w:tr2bl w:val="nil"/>
                  </w:tcBorders>
                  <w:noWrap/>
                  <w:vAlign w:val="center"/>
                </w:tcPr>
                <w:p w14:paraId="28E012A0">
                  <w:pPr>
                    <w:widowControl/>
                    <w:spacing w:line="276" w:lineRule="auto"/>
                    <w:jc w:val="center"/>
                    <w:rPr>
                      <w:b/>
                      <w:bCs/>
                      <w:sz w:val="21"/>
                      <w:szCs w:val="21"/>
                    </w:rPr>
                  </w:pPr>
                </w:p>
              </w:tc>
            </w:tr>
          </w:tbl>
          <w:p w14:paraId="3A4284CB">
            <w:pPr>
              <w:spacing w:line="360" w:lineRule="auto"/>
              <w:ind w:firstLine="420" w:firstLineChars="200"/>
              <w:jc w:val="left"/>
              <w:rPr>
                <w:rFonts w:eastAsia="黑体"/>
              </w:rPr>
            </w:pPr>
            <w:r>
              <w:rPr>
                <w:rFonts w:eastAsia="黑体"/>
                <w:sz w:val="21"/>
                <w:szCs w:val="21"/>
              </w:rPr>
              <w:t>注：本项目清洗、涂胶、硫化工序产生的非甲烷总烃共用一个排气筒（DA002）排放，故非甲烷总烃有组织排放浓度按从严标准，应执行最高允许排放浓度</w:t>
            </w:r>
            <w:r>
              <w:rPr>
                <w:rFonts w:hint="eastAsia" w:eastAsia="黑体"/>
                <w:sz w:val="21"/>
                <w:szCs w:val="21"/>
              </w:rPr>
              <w:t>为</w:t>
            </w:r>
            <w:r>
              <w:rPr>
                <w:rFonts w:eastAsia="黑体"/>
                <w:sz w:val="21"/>
                <w:szCs w:val="21"/>
              </w:rPr>
              <w:t>10mg/m</w:t>
            </w:r>
            <w:r>
              <w:rPr>
                <w:rFonts w:eastAsia="黑体"/>
                <w:sz w:val="21"/>
                <w:szCs w:val="21"/>
                <w:vertAlign w:val="superscript"/>
              </w:rPr>
              <w:t>3</w:t>
            </w:r>
            <w:r>
              <w:rPr>
                <w:rFonts w:eastAsia="黑体"/>
                <w:sz w:val="21"/>
                <w:szCs w:val="21"/>
              </w:rPr>
              <w:t>的限值。</w:t>
            </w:r>
          </w:p>
          <w:p w14:paraId="4C2B65C1">
            <w:pPr>
              <w:spacing w:line="360" w:lineRule="auto"/>
              <w:jc w:val="center"/>
              <w:rPr>
                <w:rFonts w:eastAsia="黑体"/>
              </w:rPr>
            </w:pPr>
            <w:r>
              <w:rPr>
                <w:rFonts w:hint="eastAsia" w:eastAsia="黑体"/>
              </w:rPr>
              <w:t>表3-</w:t>
            </w:r>
            <w:r>
              <w:rPr>
                <w:rFonts w:hint="eastAsia" w:eastAsia="黑体"/>
                <w:lang w:val="en-US" w:eastAsia="zh-CN"/>
              </w:rPr>
              <w:t xml:space="preserve">6  </w:t>
            </w:r>
            <w:r>
              <w:rPr>
                <w:rFonts w:eastAsia="黑体"/>
              </w:rPr>
              <w:t>无组织</w:t>
            </w:r>
            <w:r>
              <w:rPr>
                <w:rFonts w:hint="eastAsia" w:eastAsia="黑体"/>
              </w:rPr>
              <w:t>废气</w:t>
            </w:r>
            <w:r>
              <w:rPr>
                <w:rFonts w:eastAsia="黑体"/>
              </w:rPr>
              <w:t>污染物排放</w:t>
            </w:r>
            <w:r>
              <w:rPr>
                <w:rFonts w:hint="eastAsia" w:eastAsia="黑体"/>
              </w:rPr>
              <w:t>标准</w:t>
            </w:r>
          </w:p>
          <w:tbl>
            <w:tblPr>
              <w:tblStyle w:val="16"/>
              <w:tblW w:w="495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53"/>
              <w:gridCol w:w="1566"/>
              <w:gridCol w:w="1383"/>
              <w:gridCol w:w="2513"/>
            </w:tblGrid>
            <w:tr w14:paraId="22095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6BD2BA5B">
                  <w:pPr>
                    <w:widowControl/>
                    <w:spacing w:line="276" w:lineRule="auto"/>
                    <w:jc w:val="center"/>
                    <w:rPr>
                      <w:b/>
                      <w:bCs/>
                      <w:sz w:val="21"/>
                      <w:szCs w:val="21"/>
                    </w:rPr>
                  </w:pPr>
                  <w:r>
                    <w:rPr>
                      <w:rFonts w:hint="eastAsia"/>
                      <w:b/>
                      <w:bCs/>
                      <w:sz w:val="21"/>
                      <w:szCs w:val="21"/>
                    </w:rPr>
                    <w:t>污染物项目</w:t>
                  </w:r>
                </w:p>
              </w:tc>
              <w:tc>
                <w:tcPr>
                  <w:tcW w:w="936" w:type="pct"/>
                  <w:tcBorders>
                    <w:tl2br w:val="nil"/>
                    <w:tr2bl w:val="nil"/>
                  </w:tcBorders>
                  <w:vAlign w:val="center"/>
                </w:tcPr>
                <w:p w14:paraId="01D27474">
                  <w:pPr>
                    <w:widowControl/>
                    <w:spacing w:line="276" w:lineRule="auto"/>
                    <w:jc w:val="center"/>
                    <w:rPr>
                      <w:b/>
                      <w:bCs/>
                      <w:sz w:val="21"/>
                      <w:szCs w:val="21"/>
                    </w:rPr>
                  </w:pPr>
                  <w:r>
                    <w:rPr>
                      <w:rFonts w:hint="eastAsia"/>
                      <w:b/>
                      <w:bCs/>
                      <w:sz w:val="21"/>
                      <w:szCs w:val="21"/>
                    </w:rPr>
                    <w:t>最高允许排放浓度（mg/m</w:t>
                  </w:r>
                  <w:r>
                    <w:rPr>
                      <w:rFonts w:hint="eastAsia"/>
                      <w:b/>
                      <w:bCs/>
                      <w:sz w:val="21"/>
                      <w:szCs w:val="21"/>
                      <w:vertAlign w:val="superscript"/>
                    </w:rPr>
                    <w:t>3</w:t>
                  </w:r>
                  <w:r>
                    <w:rPr>
                      <w:rFonts w:hint="eastAsia"/>
                      <w:b/>
                      <w:bCs/>
                      <w:sz w:val="21"/>
                      <w:szCs w:val="21"/>
                    </w:rPr>
                    <w:t>）</w:t>
                  </w:r>
                </w:p>
              </w:tc>
              <w:tc>
                <w:tcPr>
                  <w:tcW w:w="1009" w:type="pct"/>
                  <w:tcBorders>
                    <w:tl2br w:val="nil"/>
                    <w:tr2bl w:val="nil"/>
                  </w:tcBorders>
                  <w:vAlign w:val="center"/>
                </w:tcPr>
                <w:p w14:paraId="0177832B">
                  <w:pPr>
                    <w:widowControl/>
                    <w:spacing w:line="276" w:lineRule="auto"/>
                    <w:jc w:val="center"/>
                    <w:rPr>
                      <w:b/>
                      <w:bCs/>
                      <w:sz w:val="21"/>
                      <w:szCs w:val="21"/>
                    </w:rPr>
                  </w:pPr>
                  <w:r>
                    <w:rPr>
                      <w:rFonts w:hint="eastAsia"/>
                      <w:b/>
                      <w:bCs/>
                      <w:sz w:val="21"/>
                      <w:szCs w:val="21"/>
                    </w:rPr>
                    <w:t>排放限值含义</w:t>
                  </w:r>
                </w:p>
              </w:tc>
              <w:tc>
                <w:tcPr>
                  <w:tcW w:w="891" w:type="pct"/>
                  <w:tcBorders>
                    <w:tl2br w:val="nil"/>
                    <w:tr2bl w:val="nil"/>
                  </w:tcBorders>
                  <w:vAlign w:val="center"/>
                </w:tcPr>
                <w:p w14:paraId="28769E31">
                  <w:pPr>
                    <w:widowControl/>
                    <w:spacing w:line="276" w:lineRule="auto"/>
                    <w:jc w:val="center"/>
                    <w:rPr>
                      <w:b/>
                      <w:bCs/>
                      <w:sz w:val="21"/>
                      <w:szCs w:val="21"/>
                    </w:rPr>
                  </w:pPr>
                  <w:r>
                    <w:rPr>
                      <w:rFonts w:hint="eastAsia"/>
                      <w:b/>
                      <w:bCs/>
                      <w:sz w:val="21"/>
                      <w:szCs w:val="21"/>
                    </w:rPr>
                    <w:t>无组织排放监控位置</w:t>
                  </w:r>
                </w:p>
              </w:tc>
              <w:tc>
                <w:tcPr>
                  <w:tcW w:w="1619" w:type="pct"/>
                  <w:tcBorders>
                    <w:tl2br w:val="nil"/>
                    <w:tr2bl w:val="nil"/>
                  </w:tcBorders>
                  <w:vAlign w:val="center"/>
                </w:tcPr>
                <w:p w14:paraId="34EA130E">
                  <w:pPr>
                    <w:widowControl/>
                    <w:spacing w:line="276" w:lineRule="auto"/>
                    <w:jc w:val="center"/>
                    <w:rPr>
                      <w:b/>
                      <w:bCs/>
                      <w:sz w:val="21"/>
                      <w:szCs w:val="21"/>
                    </w:rPr>
                  </w:pPr>
                  <w:r>
                    <w:rPr>
                      <w:rFonts w:hint="eastAsia"/>
                      <w:b/>
                      <w:bCs/>
                      <w:sz w:val="21"/>
                      <w:szCs w:val="21"/>
                    </w:rPr>
                    <w:t>执行标准</w:t>
                  </w:r>
                </w:p>
              </w:tc>
            </w:tr>
            <w:tr w14:paraId="41B4C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1EA6A69F">
                  <w:pPr>
                    <w:widowControl/>
                    <w:spacing w:line="276" w:lineRule="auto"/>
                    <w:jc w:val="center"/>
                    <w:rPr>
                      <w:sz w:val="21"/>
                      <w:szCs w:val="21"/>
                    </w:rPr>
                  </w:pPr>
                  <w:r>
                    <w:rPr>
                      <w:rFonts w:hint="eastAsia"/>
                      <w:sz w:val="21"/>
                      <w:szCs w:val="21"/>
                    </w:rPr>
                    <w:t>四氯乙烯</w:t>
                  </w:r>
                </w:p>
              </w:tc>
              <w:tc>
                <w:tcPr>
                  <w:tcW w:w="1945" w:type="pct"/>
                  <w:gridSpan w:val="2"/>
                  <w:tcBorders>
                    <w:tl2br w:val="nil"/>
                    <w:tr2bl w:val="nil"/>
                  </w:tcBorders>
                  <w:vAlign w:val="center"/>
                </w:tcPr>
                <w:p w14:paraId="19F7839A">
                  <w:pPr>
                    <w:widowControl/>
                    <w:spacing w:line="276" w:lineRule="auto"/>
                    <w:jc w:val="center"/>
                    <w:rPr>
                      <w:sz w:val="21"/>
                      <w:szCs w:val="21"/>
                    </w:rPr>
                  </w:pPr>
                  <w:r>
                    <w:rPr>
                      <w:rFonts w:hint="eastAsia"/>
                      <w:sz w:val="21"/>
                      <w:szCs w:val="21"/>
                    </w:rPr>
                    <w:t>1.0</w:t>
                  </w:r>
                </w:p>
              </w:tc>
              <w:tc>
                <w:tcPr>
                  <w:tcW w:w="891" w:type="pct"/>
                  <w:tcBorders>
                    <w:tl2br w:val="nil"/>
                    <w:tr2bl w:val="nil"/>
                  </w:tcBorders>
                  <w:vAlign w:val="center"/>
                </w:tcPr>
                <w:p w14:paraId="4D7E9AD0">
                  <w:pPr>
                    <w:widowControl/>
                    <w:spacing w:line="276" w:lineRule="auto"/>
                    <w:jc w:val="center"/>
                    <w:rPr>
                      <w:sz w:val="21"/>
                      <w:szCs w:val="21"/>
                    </w:rPr>
                  </w:pPr>
                  <w:r>
                    <w:rPr>
                      <w:rFonts w:hint="eastAsia"/>
                      <w:sz w:val="21"/>
                      <w:szCs w:val="21"/>
                    </w:rPr>
                    <w:t>企业边界</w:t>
                  </w:r>
                </w:p>
              </w:tc>
              <w:tc>
                <w:tcPr>
                  <w:tcW w:w="1619" w:type="pct"/>
                  <w:tcBorders>
                    <w:tl2br w:val="nil"/>
                    <w:tr2bl w:val="nil"/>
                  </w:tcBorders>
                  <w:vAlign w:val="center"/>
                </w:tcPr>
                <w:p w14:paraId="3D45480E">
                  <w:pPr>
                    <w:widowControl/>
                    <w:spacing w:line="276" w:lineRule="auto"/>
                    <w:jc w:val="center"/>
                    <w:rPr>
                      <w:sz w:val="21"/>
                      <w:szCs w:val="21"/>
                    </w:rPr>
                  </w:pPr>
                  <w:r>
                    <w:rPr>
                      <w:rFonts w:hint="eastAsia"/>
                      <w:sz w:val="21"/>
                      <w:szCs w:val="21"/>
                    </w:rPr>
                    <w:t>《固定源挥发性有机物综合排放标准 第6部分：其他行业》（DB34/4812.6-2024）表5标准</w:t>
                  </w:r>
                </w:p>
              </w:tc>
            </w:tr>
            <w:tr w14:paraId="19D382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2DC81076">
                  <w:pPr>
                    <w:widowControl/>
                    <w:spacing w:line="276" w:lineRule="auto"/>
                    <w:jc w:val="center"/>
                    <w:rPr>
                      <w:sz w:val="21"/>
                      <w:szCs w:val="21"/>
                    </w:rPr>
                  </w:pPr>
                  <w:r>
                    <w:rPr>
                      <w:rFonts w:hint="eastAsia"/>
                      <w:sz w:val="21"/>
                      <w:szCs w:val="21"/>
                    </w:rPr>
                    <w:t>非甲烷总烃</w:t>
                  </w:r>
                </w:p>
              </w:tc>
              <w:tc>
                <w:tcPr>
                  <w:tcW w:w="1945" w:type="pct"/>
                  <w:gridSpan w:val="2"/>
                  <w:tcBorders>
                    <w:tl2br w:val="nil"/>
                    <w:tr2bl w:val="nil"/>
                  </w:tcBorders>
                  <w:vAlign w:val="center"/>
                </w:tcPr>
                <w:p w14:paraId="27E4A222">
                  <w:pPr>
                    <w:widowControl/>
                    <w:spacing w:line="276" w:lineRule="auto"/>
                    <w:jc w:val="center"/>
                    <w:rPr>
                      <w:sz w:val="21"/>
                      <w:szCs w:val="21"/>
                    </w:rPr>
                  </w:pPr>
                  <w:r>
                    <w:rPr>
                      <w:rFonts w:hint="eastAsia"/>
                      <w:sz w:val="21"/>
                      <w:szCs w:val="21"/>
                    </w:rPr>
                    <w:t>4.0</w:t>
                  </w:r>
                </w:p>
              </w:tc>
              <w:tc>
                <w:tcPr>
                  <w:tcW w:w="891" w:type="pct"/>
                  <w:vMerge w:val="restart"/>
                  <w:tcBorders>
                    <w:tl2br w:val="nil"/>
                    <w:tr2bl w:val="nil"/>
                  </w:tcBorders>
                  <w:vAlign w:val="center"/>
                </w:tcPr>
                <w:p w14:paraId="66C34322">
                  <w:pPr>
                    <w:widowControl/>
                    <w:spacing w:line="276" w:lineRule="auto"/>
                    <w:jc w:val="center"/>
                    <w:rPr>
                      <w:sz w:val="21"/>
                      <w:szCs w:val="21"/>
                    </w:rPr>
                  </w:pPr>
                  <w:r>
                    <w:rPr>
                      <w:rFonts w:hint="eastAsia"/>
                      <w:sz w:val="21"/>
                      <w:szCs w:val="21"/>
                    </w:rPr>
                    <w:t>企业边界</w:t>
                  </w:r>
                </w:p>
              </w:tc>
              <w:tc>
                <w:tcPr>
                  <w:tcW w:w="1619" w:type="pct"/>
                  <w:vMerge w:val="restart"/>
                  <w:tcBorders>
                    <w:tl2br w:val="nil"/>
                    <w:tr2bl w:val="nil"/>
                  </w:tcBorders>
                  <w:vAlign w:val="center"/>
                </w:tcPr>
                <w:p w14:paraId="7FCF65E6">
                  <w:pPr>
                    <w:widowControl/>
                    <w:spacing w:line="276" w:lineRule="auto"/>
                    <w:jc w:val="center"/>
                    <w:rPr>
                      <w:sz w:val="21"/>
                      <w:szCs w:val="21"/>
                    </w:rPr>
                  </w:pPr>
                  <w:r>
                    <w:rPr>
                      <w:rFonts w:hint="eastAsia"/>
                      <w:sz w:val="21"/>
                      <w:szCs w:val="21"/>
                    </w:rPr>
                    <w:t>《大气污染物综合排放标准》（GB16297-1996）表2标准</w:t>
                  </w:r>
                </w:p>
              </w:tc>
            </w:tr>
            <w:tr w14:paraId="398CFD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4A4F02D3">
                  <w:pPr>
                    <w:widowControl/>
                    <w:spacing w:line="276" w:lineRule="auto"/>
                    <w:jc w:val="center"/>
                    <w:rPr>
                      <w:sz w:val="21"/>
                      <w:szCs w:val="21"/>
                    </w:rPr>
                  </w:pPr>
                  <w:r>
                    <w:rPr>
                      <w:rFonts w:hint="eastAsia"/>
                      <w:sz w:val="21"/>
                      <w:szCs w:val="21"/>
                    </w:rPr>
                    <w:t>甲苯</w:t>
                  </w:r>
                </w:p>
              </w:tc>
              <w:tc>
                <w:tcPr>
                  <w:tcW w:w="1945" w:type="pct"/>
                  <w:gridSpan w:val="2"/>
                  <w:tcBorders>
                    <w:tl2br w:val="nil"/>
                    <w:tr2bl w:val="nil"/>
                  </w:tcBorders>
                  <w:vAlign w:val="center"/>
                </w:tcPr>
                <w:p w14:paraId="005EDE02">
                  <w:pPr>
                    <w:widowControl/>
                    <w:spacing w:line="276" w:lineRule="auto"/>
                    <w:jc w:val="center"/>
                    <w:rPr>
                      <w:sz w:val="21"/>
                      <w:szCs w:val="21"/>
                    </w:rPr>
                  </w:pPr>
                  <w:r>
                    <w:rPr>
                      <w:rFonts w:hint="eastAsia"/>
                      <w:sz w:val="21"/>
                      <w:szCs w:val="21"/>
                    </w:rPr>
                    <w:t>2.4</w:t>
                  </w:r>
                </w:p>
              </w:tc>
              <w:tc>
                <w:tcPr>
                  <w:tcW w:w="891" w:type="pct"/>
                  <w:vMerge w:val="continue"/>
                  <w:tcBorders>
                    <w:tl2br w:val="nil"/>
                    <w:tr2bl w:val="nil"/>
                  </w:tcBorders>
                  <w:vAlign w:val="center"/>
                </w:tcPr>
                <w:p w14:paraId="206E1571">
                  <w:pPr>
                    <w:widowControl/>
                    <w:spacing w:line="276" w:lineRule="auto"/>
                    <w:jc w:val="center"/>
                    <w:rPr>
                      <w:sz w:val="21"/>
                      <w:szCs w:val="21"/>
                    </w:rPr>
                  </w:pPr>
                </w:p>
              </w:tc>
              <w:tc>
                <w:tcPr>
                  <w:tcW w:w="1619" w:type="pct"/>
                  <w:vMerge w:val="continue"/>
                  <w:tcBorders>
                    <w:tl2br w:val="nil"/>
                    <w:tr2bl w:val="nil"/>
                  </w:tcBorders>
                  <w:vAlign w:val="center"/>
                </w:tcPr>
                <w:p w14:paraId="2A488AB9">
                  <w:pPr>
                    <w:widowControl/>
                    <w:spacing w:line="276" w:lineRule="auto"/>
                    <w:jc w:val="center"/>
                    <w:rPr>
                      <w:sz w:val="21"/>
                      <w:szCs w:val="21"/>
                    </w:rPr>
                  </w:pPr>
                </w:p>
              </w:tc>
            </w:tr>
            <w:tr w14:paraId="59603D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0EB56363">
                  <w:pPr>
                    <w:widowControl/>
                    <w:spacing w:line="276" w:lineRule="auto"/>
                    <w:jc w:val="center"/>
                    <w:rPr>
                      <w:sz w:val="21"/>
                      <w:szCs w:val="21"/>
                    </w:rPr>
                  </w:pPr>
                  <w:r>
                    <w:rPr>
                      <w:rFonts w:hint="eastAsia"/>
                      <w:sz w:val="21"/>
                      <w:szCs w:val="21"/>
                    </w:rPr>
                    <w:t>二甲苯</w:t>
                  </w:r>
                </w:p>
              </w:tc>
              <w:tc>
                <w:tcPr>
                  <w:tcW w:w="1945" w:type="pct"/>
                  <w:gridSpan w:val="2"/>
                  <w:tcBorders>
                    <w:tl2br w:val="nil"/>
                    <w:tr2bl w:val="nil"/>
                  </w:tcBorders>
                  <w:vAlign w:val="center"/>
                </w:tcPr>
                <w:p w14:paraId="17D632D3">
                  <w:pPr>
                    <w:widowControl/>
                    <w:spacing w:line="276" w:lineRule="auto"/>
                    <w:jc w:val="center"/>
                    <w:rPr>
                      <w:sz w:val="21"/>
                      <w:szCs w:val="21"/>
                    </w:rPr>
                  </w:pPr>
                  <w:r>
                    <w:rPr>
                      <w:rFonts w:hint="eastAsia"/>
                      <w:sz w:val="21"/>
                      <w:szCs w:val="21"/>
                    </w:rPr>
                    <w:t>1.2</w:t>
                  </w:r>
                </w:p>
              </w:tc>
              <w:tc>
                <w:tcPr>
                  <w:tcW w:w="891" w:type="pct"/>
                  <w:vMerge w:val="continue"/>
                  <w:tcBorders>
                    <w:tl2br w:val="nil"/>
                    <w:tr2bl w:val="nil"/>
                  </w:tcBorders>
                  <w:vAlign w:val="center"/>
                </w:tcPr>
                <w:p w14:paraId="7FD7DEDA">
                  <w:pPr>
                    <w:widowControl/>
                    <w:spacing w:line="276" w:lineRule="auto"/>
                    <w:jc w:val="center"/>
                    <w:rPr>
                      <w:sz w:val="21"/>
                      <w:szCs w:val="21"/>
                    </w:rPr>
                  </w:pPr>
                </w:p>
              </w:tc>
              <w:tc>
                <w:tcPr>
                  <w:tcW w:w="1619" w:type="pct"/>
                  <w:vMerge w:val="continue"/>
                  <w:tcBorders>
                    <w:tl2br w:val="nil"/>
                    <w:tr2bl w:val="nil"/>
                  </w:tcBorders>
                  <w:vAlign w:val="center"/>
                </w:tcPr>
                <w:p w14:paraId="2BD05486">
                  <w:pPr>
                    <w:widowControl/>
                    <w:spacing w:line="276" w:lineRule="auto"/>
                    <w:jc w:val="center"/>
                    <w:rPr>
                      <w:sz w:val="21"/>
                      <w:szCs w:val="21"/>
                    </w:rPr>
                  </w:pPr>
                </w:p>
              </w:tc>
            </w:tr>
            <w:tr w14:paraId="0D5EFA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181462FA">
                  <w:pPr>
                    <w:widowControl/>
                    <w:spacing w:line="276" w:lineRule="auto"/>
                    <w:jc w:val="center"/>
                    <w:rPr>
                      <w:sz w:val="21"/>
                      <w:szCs w:val="21"/>
                    </w:rPr>
                  </w:pPr>
                  <w:r>
                    <w:rPr>
                      <w:rFonts w:hint="eastAsia"/>
                      <w:sz w:val="21"/>
                      <w:szCs w:val="21"/>
                    </w:rPr>
                    <w:t>颗粒物</w:t>
                  </w:r>
                </w:p>
              </w:tc>
              <w:tc>
                <w:tcPr>
                  <w:tcW w:w="1945" w:type="pct"/>
                  <w:gridSpan w:val="2"/>
                  <w:tcBorders>
                    <w:tl2br w:val="nil"/>
                    <w:tr2bl w:val="nil"/>
                  </w:tcBorders>
                  <w:vAlign w:val="center"/>
                </w:tcPr>
                <w:p w14:paraId="1E03B369">
                  <w:pPr>
                    <w:widowControl/>
                    <w:spacing w:line="276" w:lineRule="auto"/>
                    <w:jc w:val="center"/>
                    <w:rPr>
                      <w:sz w:val="21"/>
                      <w:szCs w:val="21"/>
                    </w:rPr>
                  </w:pPr>
                  <w:r>
                    <w:rPr>
                      <w:rFonts w:hint="eastAsia"/>
                      <w:sz w:val="21"/>
                      <w:szCs w:val="21"/>
                    </w:rPr>
                    <w:t>4.0</w:t>
                  </w:r>
                </w:p>
              </w:tc>
              <w:tc>
                <w:tcPr>
                  <w:tcW w:w="891" w:type="pct"/>
                  <w:tcBorders>
                    <w:tl2br w:val="nil"/>
                    <w:tr2bl w:val="nil"/>
                  </w:tcBorders>
                  <w:vAlign w:val="center"/>
                </w:tcPr>
                <w:p w14:paraId="1C136876">
                  <w:pPr>
                    <w:widowControl/>
                    <w:spacing w:line="276" w:lineRule="auto"/>
                    <w:jc w:val="center"/>
                    <w:rPr>
                      <w:sz w:val="21"/>
                      <w:szCs w:val="21"/>
                    </w:rPr>
                  </w:pPr>
                  <w:r>
                    <w:rPr>
                      <w:rFonts w:hint="eastAsia"/>
                      <w:sz w:val="21"/>
                      <w:szCs w:val="21"/>
                    </w:rPr>
                    <w:t>周界外浓度最高点</w:t>
                  </w:r>
                </w:p>
              </w:tc>
              <w:tc>
                <w:tcPr>
                  <w:tcW w:w="1619" w:type="pct"/>
                  <w:vMerge w:val="continue"/>
                  <w:tcBorders>
                    <w:tl2br w:val="nil"/>
                    <w:tr2bl w:val="nil"/>
                  </w:tcBorders>
                  <w:vAlign w:val="center"/>
                </w:tcPr>
                <w:p w14:paraId="06759ED9">
                  <w:pPr>
                    <w:widowControl/>
                    <w:spacing w:line="276" w:lineRule="auto"/>
                    <w:jc w:val="center"/>
                    <w:rPr>
                      <w:sz w:val="21"/>
                      <w:szCs w:val="21"/>
                    </w:rPr>
                  </w:pPr>
                </w:p>
              </w:tc>
            </w:tr>
            <w:tr w14:paraId="55197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vMerge w:val="restart"/>
                  <w:tcBorders>
                    <w:tl2br w:val="nil"/>
                    <w:tr2bl w:val="nil"/>
                  </w:tcBorders>
                  <w:vAlign w:val="center"/>
                </w:tcPr>
                <w:p w14:paraId="3CB5D1A4">
                  <w:pPr>
                    <w:widowControl/>
                    <w:spacing w:line="276" w:lineRule="auto"/>
                    <w:jc w:val="center"/>
                    <w:rPr>
                      <w:sz w:val="21"/>
                      <w:szCs w:val="21"/>
                    </w:rPr>
                  </w:pPr>
                  <w:r>
                    <w:rPr>
                      <w:rFonts w:hint="eastAsia"/>
                      <w:sz w:val="21"/>
                      <w:szCs w:val="21"/>
                    </w:rPr>
                    <w:t>NMHC</w:t>
                  </w:r>
                </w:p>
              </w:tc>
              <w:tc>
                <w:tcPr>
                  <w:tcW w:w="936" w:type="pct"/>
                  <w:tcBorders>
                    <w:tl2br w:val="nil"/>
                    <w:tr2bl w:val="nil"/>
                  </w:tcBorders>
                  <w:vAlign w:val="center"/>
                </w:tcPr>
                <w:p w14:paraId="247B6C81">
                  <w:pPr>
                    <w:widowControl/>
                    <w:spacing w:line="276" w:lineRule="auto"/>
                    <w:jc w:val="center"/>
                    <w:rPr>
                      <w:sz w:val="21"/>
                      <w:szCs w:val="21"/>
                    </w:rPr>
                  </w:pPr>
                  <w:r>
                    <w:rPr>
                      <w:rFonts w:hint="eastAsia"/>
                      <w:sz w:val="21"/>
                      <w:szCs w:val="21"/>
                    </w:rPr>
                    <w:t>6</w:t>
                  </w:r>
                </w:p>
              </w:tc>
              <w:tc>
                <w:tcPr>
                  <w:tcW w:w="1009" w:type="pct"/>
                  <w:tcBorders>
                    <w:tl2br w:val="nil"/>
                    <w:tr2bl w:val="nil"/>
                  </w:tcBorders>
                  <w:vAlign w:val="center"/>
                </w:tcPr>
                <w:p w14:paraId="1B1D4A88">
                  <w:pPr>
                    <w:widowControl/>
                    <w:spacing w:line="276" w:lineRule="auto"/>
                    <w:jc w:val="center"/>
                    <w:rPr>
                      <w:sz w:val="21"/>
                      <w:szCs w:val="21"/>
                    </w:rPr>
                  </w:pPr>
                  <w:r>
                    <w:rPr>
                      <w:rFonts w:hint="eastAsia"/>
                      <w:sz w:val="21"/>
                      <w:szCs w:val="21"/>
                    </w:rPr>
                    <w:t>监控点处1h平均浓度值</w:t>
                  </w:r>
                </w:p>
              </w:tc>
              <w:tc>
                <w:tcPr>
                  <w:tcW w:w="891" w:type="pct"/>
                  <w:vMerge w:val="restart"/>
                  <w:tcBorders>
                    <w:tl2br w:val="nil"/>
                    <w:tr2bl w:val="nil"/>
                  </w:tcBorders>
                  <w:vAlign w:val="center"/>
                </w:tcPr>
                <w:p w14:paraId="08C7CDD8">
                  <w:pPr>
                    <w:widowControl/>
                    <w:spacing w:line="276" w:lineRule="auto"/>
                    <w:jc w:val="center"/>
                    <w:rPr>
                      <w:sz w:val="21"/>
                      <w:szCs w:val="21"/>
                    </w:rPr>
                  </w:pPr>
                  <w:r>
                    <w:rPr>
                      <w:rFonts w:hint="eastAsia"/>
                      <w:sz w:val="21"/>
                      <w:szCs w:val="21"/>
                    </w:rPr>
                    <w:t>在厂房外设置监控点</w:t>
                  </w:r>
                </w:p>
              </w:tc>
              <w:tc>
                <w:tcPr>
                  <w:tcW w:w="1619" w:type="pct"/>
                  <w:vMerge w:val="restart"/>
                  <w:tcBorders>
                    <w:tl2br w:val="nil"/>
                    <w:tr2bl w:val="nil"/>
                  </w:tcBorders>
                  <w:vAlign w:val="center"/>
                </w:tcPr>
                <w:p w14:paraId="7795AE3B">
                  <w:pPr>
                    <w:widowControl/>
                    <w:spacing w:line="276" w:lineRule="auto"/>
                    <w:jc w:val="center"/>
                    <w:rPr>
                      <w:sz w:val="21"/>
                      <w:szCs w:val="21"/>
                    </w:rPr>
                  </w:pPr>
                  <w:r>
                    <w:rPr>
                      <w:rFonts w:hint="eastAsia"/>
                      <w:sz w:val="21"/>
                      <w:szCs w:val="21"/>
                    </w:rPr>
                    <w:t>《挥发性有机物无组织排放控制标准》（GB37822-2019）</w:t>
                  </w:r>
                </w:p>
              </w:tc>
            </w:tr>
            <w:tr w14:paraId="2C3C5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vMerge w:val="continue"/>
                  <w:tcBorders>
                    <w:tl2br w:val="nil"/>
                    <w:tr2bl w:val="nil"/>
                  </w:tcBorders>
                  <w:vAlign w:val="center"/>
                </w:tcPr>
                <w:p w14:paraId="72CEC442">
                  <w:pPr>
                    <w:widowControl/>
                    <w:spacing w:line="276" w:lineRule="auto"/>
                    <w:jc w:val="center"/>
                    <w:rPr>
                      <w:b/>
                      <w:bCs/>
                      <w:sz w:val="21"/>
                      <w:szCs w:val="21"/>
                    </w:rPr>
                  </w:pPr>
                </w:p>
              </w:tc>
              <w:tc>
                <w:tcPr>
                  <w:tcW w:w="936" w:type="pct"/>
                  <w:tcBorders>
                    <w:tl2br w:val="nil"/>
                    <w:tr2bl w:val="nil"/>
                  </w:tcBorders>
                  <w:vAlign w:val="center"/>
                </w:tcPr>
                <w:p w14:paraId="0E82387F">
                  <w:pPr>
                    <w:widowControl/>
                    <w:spacing w:line="276" w:lineRule="auto"/>
                    <w:jc w:val="center"/>
                    <w:rPr>
                      <w:sz w:val="21"/>
                      <w:szCs w:val="21"/>
                    </w:rPr>
                  </w:pPr>
                  <w:r>
                    <w:rPr>
                      <w:rFonts w:hint="eastAsia"/>
                      <w:sz w:val="21"/>
                      <w:szCs w:val="21"/>
                    </w:rPr>
                    <w:t>20</w:t>
                  </w:r>
                </w:p>
              </w:tc>
              <w:tc>
                <w:tcPr>
                  <w:tcW w:w="1009" w:type="pct"/>
                  <w:tcBorders>
                    <w:tl2br w:val="nil"/>
                    <w:tr2bl w:val="nil"/>
                  </w:tcBorders>
                  <w:vAlign w:val="center"/>
                </w:tcPr>
                <w:p w14:paraId="2391FEA5">
                  <w:pPr>
                    <w:widowControl/>
                    <w:spacing w:line="276" w:lineRule="auto"/>
                    <w:jc w:val="center"/>
                    <w:rPr>
                      <w:sz w:val="21"/>
                      <w:szCs w:val="21"/>
                    </w:rPr>
                  </w:pPr>
                  <w:r>
                    <w:rPr>
                      <w:rFonts w:hint="eastAsia"/>
                      <w:sz w:val="21"/>
                      <w:szCs w:val="21"/>
                    </w:rPr>
                    <w:t>监控点处任意一次浓度值</w:t>
                  </w:r>
                </w:p>
              </w:tc>
              <w:tc>
                <w:tcPr>
                  <w:tcW w:w="891" w:type="pct"/>
                  <w:vMerge w:val="continue"/>
                  <w:tcBorders>
                    <w:tl2br w:val="nil"/>
                    <w:tr2bl w:val="nil"/>
                  </w:tcBorders>
                  <w:vAlign w:val="center"/>
                </w:tcPr>
                <w:p w14:paraId="0C7285F6">
                  <w:pPr>
                    <w:widowControl/>
                    <w:spacing w:line="276" w:lineRule="auto"/>
                    <w:jc w:val="center"/>
                    <w:rPr>
                      <w:b/>
                      <w:bCs/>
                      <w:sz w:val="21"/>
                      <w:szCs w:val="21"/>
                    </w:rPr>
                  </w:pPr>
                </w:p>
              </w:tc>
              <w:tc>
                <w:tcPr>
                  <w:tcW w:w="1619" w:type="pct"/>
                  <w:vMerge w:val="continue"/>
                  <w:tcBorders>
                    <w:tl2br w:val="nil"/>
                    <w:tr2bl w:val="nil"/>
                  </w:tcBorders>
                  <w:vAlign w:val="center"/>
                </w:tcPr>
                <w:p w14:paraId="2BF578EB">
                  <w:pPr>
                    <w:widowControl/>
                    <w:spacing w:line="276" w:lineRule="auto"/>
                    <w:jc w:val="center"/>
                    <w:rPr>
                      <w:b/>
                      <w:bCs/>
                      <w:sz w:val="21"/>
                      <w:szCs w:val="21"/>
                    </w:rPr>
                  </w:pPr>
                </w:p>
              </w:tc>
            </w:tr>
            <w:tr w14:paraId="12298F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5800635D">
                  <w:pPr>
                    <w:widowControl/>
                    <w:jc w:val="center"/>
                    <w:rPr>
                      <w:b/>
                      <w:bCs/>
                      <w:sz w:val="21"/>
                      <w:szCs w:val="21"/>
                    </w:rPr>
                  </w:pPr>
                  <w:r>
                    <w:rPr>
                      <w:rFonts w:hint="eastAsia"/>
                      <w:sz w:val="21"/>
                      <w:szCs w:val="21"/>
                    </w:rPr>
                    <w:t>硫化氢</w:t>
                  </w:r>
                </w:p>
              </w:tc>
              <w:tc>
                <w:tcPr>
                  <w:tcW w:w="1945" w:type="pct"/>
                  <w:gridSpan w:val="2"/>
                  <w:tcBorders>
                    <w:tl2br w:val="nil"/>
                    <w:tr2bl w:val="nil"/>
                  </w:tcBorders>
                  <w:vAlign w:val="center"/>
                </w:tcPr>
                <w:p w14:paraId="53F55D9C">
                  <w:pPr>
                    <w:widowControl/>
                    <w:jc w:val="center"/>
                    <w:rPr>
                      <w:sz w:val="21"/>
                      <w:szCs w:val="21"/>
                    </w:rPr>
                  </w:pPr>
                  <w:r>
                    <w:rPr>
                      <w:rFonts w:hint="eastAsia"/>
                    </w:rPr>
                    <w:t>0.06</w:t>
                  </w:r>
                </w:p>
              </w:tc>
              <w:tc>
                <w:tcPr>
                  <w:tcW w:w="891" w:type="pct"/>
                  <w:vMerge w:val="restart"/>
                  <w:tcBorders>
                    <w:tl2br w:val="nil"/>
                    <w:tr2bl w:val="nil"/>
                  </w:tcBorders>
                  <w:vAlign w:val="center"/>
                </w:tcPr>
                <w:p w14:paraId="0B9A6F30">
                  <w:pPr>
                    <w:widowControl/>
                    <w:spacing w:line="276" w:lineRule="auto"/>
                    <w:jc w:val="center"/>
                    <w:rPr>
                      <w:sz w:val="21"/>
                      <w:szCs w:val="21"/>
                    </w:rPr>
                  </w:pPr>
                  <w:r>
                    <w:rPr>
                      <w:rFonts w:hint="eastAsia"/>
                      <w:sz w:val="21"/>
                      <w:szCs w:val="21"/>
                    </w:rPr>
                    <w:t>企业边界</w:t>
                  </w:r>
                </w:p>
              </w:tc>
              <w:tc>
                <w:tcPr>
                  <w:tcW w:w="1619" w:type="pct"/>
                  <w:vMerge w:val="restart"/>
                  <w:tcBorders>
                    <w:tl2br w:val="nil"/>
                    <w:tr2bl w:val="nil"/>
                  </w:tcBorders>
                  <w:vAlign w:val="center"/>
                </w:tcPr>
                <w:p w14:paraId="795796DF">
                  <w:pPr>
                    <w:widowControl/>
                    <w:spacing w:line="276" w:lineRule="auto"/>
                    <w:jc w:val="center"/>
                    <w:rPr>
                      <w:sz w:val="21"/>
                      <w:szCs w:val="21"/>
                    </w:rPr>
                  </w:pPr>
                  <w:r>
                    <w:rPr>
                      <w:rFonts w:hint="eastAsia"/>
                      <w:sz w:val="21"/>
                      <w:szCs w:val="21"/>
                    </w:rPr>
                    <w:t>《恶臭污染物排放标准》（GB14554-93）表1标准</w:t>
                  </w:r>
                </w:p>
              </w:tc>
            </w:tr>
            <w:tr w14:paraId="6BEFFC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tcBorders>
                    <w:tl2br w:val="nil"/>
                    <w:tr2bl w:val="nil"/>
                  </w:tcBorders>
                  <w:vAlign w:val="center"/>
                </w:tcPr>
                <w:p w14:paraId="1AD8393D">
                  <w:pPr>
                    <w:widowControl/>
                    <w:jc w:val="center"/>
                    <w:rPr>
                      <w:b/>
                      <w:bCs/>
                      <w:sz w:val="21"/>
                      <w:szCs w:val="21"/>
                    </w:rPr>
                  </w:pPr>
                  <w:r>
                    <w:rPr>
                      <w:rFonts w:hint="eastAsia"/>
                      <w:sz w:val="21"/>
                      <w:szCs w:val="21"/>
                    </w:rPr>
                    <w:t>臭气浓度</w:t>
                  </w:r>
                </w:p>
              </w:tc>
              <w:tc>
                <w:tcPr>
                  <w:tcW w:w="1945" w:type="pct"/>
                  <w:gridSpan w:val="2"/>
                  <w:tcBorders>
                    <w:tl2br w:val="nil"/>
                    <w:tr2bl w:val="nil"/>
                  </w:tcBorders>
                  <w:vAlign w:val="center"/>
                </w:tcPr>
                <w:p w14:paraId="6D15206C">
                  <w:pPr>
                    <w:widowControl/>
                    <w:jc w:val="center"/>
                    <w:rPr>
                      <w:sz w:val="21"/>
                      <w:szCs w:val="21"/>
                    </w:rPr>
                  </w:pPr>
                  <w:r>
                    <w:rPr>
                      <w:rFonts w:hint="eastAsia"/>
                    </w:rPr>
                    <w:t>20（无量纲）</w:t>
                  </w:r>
                </w:p>
              </w:tc>
              <w:tc>
                <w:tcPr>
                  <w:tcW w:w="891" w:type="pct"/>
                  <w:vMerge w:val="continue"/>
                  <w:tcBorders>
                    <w:tl2br w:val="nil"/>
                    <w:tr2bl w:val="nil"/>
                  </w:tcBorders>
                  <w:vAlign w:val="center"/>
                </w:tcPr>
                <w:p w14:paraId="01426691">
                  <w:pPr>
                    <w:widowControl/>
                    <w:spacing w:line="276" w:lineRule="auto"/>
                    <w:jc w:val="center"/>
                    <w:rPr>
                      <w:b/>
                      <w:bCs/>
                      <w:sz w:val="21"/>
                      <w:szCs w:val="21"/>
                    </w:rPr>
                  </w:pPr>
                </w:p>
              </w:tc>
              <w:tc>
                <w:tcPr>
                  <w:tcW w:w="1619" w:type="pct"/>
                  <w:vMerge w:val="continue"/>
                  <w:tcBorders>
                    <w:tl2br w:val="nil"/>
                    <w:tr2bl w:val="nil"/>
                  </w:tcBorders>
                  <w:vAlign w:val="center"/>
                </w:tcPr>
                <w:p w14:paraId="5B6A347A">
                  <w:pPr>
                    <w:widowControl/>
                    <w:spacing w:line="276" w:lineRule="auto"/>
                    <w:jc w:val="center"/>
                    <w:rPr>
                      <w:b/>
                      <w:bCs/>
                      <w:sz w:val="21"/>
                      <w:szCs w:val="21"/>
                    </w:rPr>
                  </w:pPr>
                </w:p>
              </w:tc>
            </w:tr>
          </w:tbl>
          <w:p w14:paraId="72DCAB87">
            <w:pPr>
              <w:spacing w:line="360" w:lineRule="auto"/>
              <w:ind w:firstLine="482" w:firstLineChars="200"/>
              <w:jc w:val="left"/>
              <w:rPr>
                <w:b/>
              </w:rPr>
            </w:pPr>
            <w:r>
              <w:rPr>
                <w:rFonts w:hint="eastAsia"/>
                <w:b/>
              </w:rPr>
              <w:t>2、水污染物排放标准</w:t>
            </w:r>
          </w:p>
          <w:p w14:paraId="15931DC4">
            <w:pPr>
              <w:wordWrap w:val="0"/>
              <w:spacing w:line="360" w:lineRule="auto"/>
              <w:ind w:firstLine="476" w:firstLineChars="200"/>
              <w:rPr>
                <w:rFonts w:hAnsi="宋体"/>
                <w:bCs/>
                <w:spacing w:val="-1"/>
              </w:rPr>
            </w:pPr>
            <w:r>
              <w:rPr>
                <w:rFonts w:hint="eastAsia" w:hAnsi="宋体"/>
                <w:bCs/>
                <w:spacing w:val="-1"/>
              </w:rPr>
              <w:t>项目运营期外排废水主要为生活污水，生活污水经厂区化粪池处理后接入市政污水管</w:t>
            </w:r>
            <w:r>
              <w:rPr>
                <w:rFonts w:hAnsi="宋体"/>
                <w:bCs/>
                <w:spacing w:val="-1"/>
              </w:rPr>
              <w:t>网，最终通过</w:t>
            </w:r>
            <w:r>
              <w:rPr>
                <w:rFonts w:hint="eastAsia" w:hAnsi="宋体"/>
                <w:bCs/>
                <w:spacing w:val="-1"/>
              </w:rPr>
              <w:t>淮南经济技术开发区污水处理厂</w:t>
            </w:r>
            <w:r>
              <w:rPr>
                <w:rFonts w:hAnsi="宋体"/>
                <w:bCs/>
                <w:spacing w:val="-1"/>
              </w:rPr>
              <w:t>处理后尾水排入淮河。生活污水接管标准执行</w:t>
            </w:r>
            <w:r>
              <w:rPr>
                <w:rFonts w:hint="eastAsia" w:hAnsi="宋体"/>
                <w:bCs/>
                <w:spacing w:val="-1"/>
              </w:rPr>
              <w:t>淮南经济技术开发区污水处理厂</w:t>
            </w:r>
            <w:r>
              <w:rPr>
                <w:rFonts w:hAnsi="宋体"/>
                <w:bCs/>
                <w:spacing w:val="-1"/>
              </w:rPr>
              <w:t>接管限值，淮南经济技术开发区污水处理厂尾水排放执行《城镇污水处理厂污染物排放标准》（GB18918-2002）中一级A标准。</w:t>
            </w:r>
          </w:p>
          <w:p w14:paraId="0201838A">
            <w:pPr>
              <w:widowControl/>
              <w:spacing w:line="360" w:lineRule="auto"/>
              <w:ind w:firstLine="476" w:firstLineChars="200"/>
              <w:rPr>
                <w:rFonts w:hAnsi="黑体" w:eastAsia="黑体"/>
                <w:bCs/>
              </w:rPr>
            </w:pPr>
            <w:r>
              <w:rPr>
                <w:rFonts w:hint="eastAsia" w:hAnsi="宋体"/>
                <w:bCs/>
                <w:spacing w:val="-1"/>
              </w:rPr>
              <w:t>项目废水排放标准见下表。</w:t>
            </w:r>
          </w:p>
          <w:p w14:paraId="4FB7C8C5">
            <w:pPr>
              <w:widowControl/>
              <w:spacing w:line="360" w:lineRule="auto"/>
              <w:jc w:val="center"/>
              <w:rPr>
                <w:rFonts w:eastAsia="黑体"/>
                <w:bCs/>
              </w:rPr>
            </w:pPr>
            <w:r>
              <w:rPr>
                <w:rFonts w:hAnsi="黑体" w:eastAsia="黑体"/>
                <w:bCs/>
              </w:rPr>
              <w:t>表</w:t>
            </w:r>
            <w:r>
              <w:rPr>
                <w:rFonts w:eastAsia="黑体"/>
                <w:bCs/>
              </w:rPr>
              <w:t>3</w:t>
            </w:r>
            <w:r>
              <w:rPr>
                <w:rFonts w:hint="eastAsia" w:eastAsia="黑体"/>
                <w:bCs/>
              </w:rPr>
              <w:t>-</w:t>
            </w:r>
            <w:r>
              <w:rPr>
                <w:rFonts w:hint="eastAsia" w:eastAsia="黑体"/>
                <w:bCs/>
                <w:lang w:val="en-US" w:eastAsia="zh-CN"/>
              </w:rPr>
              <w:t xml:space="preserve">7  </w:t>
            </w:r>
            <w:r>
              <w:rPr>
                <w:rFonts w:hint="eastAsia" w:hAnsi="黑体" w:eastAsia="黑体"/>
                <w:bCs/>
              </w:rPr>
              <w:t>废水污染物排放标准  单位：</w:t>
            </w:r>
            <w:r>
              <w:rPr>
                <w:rFonts w:eastAsia="黑体"/>
                <w:bCs/>
              </w:rPr>
              <w:t>mg/L</w:t>
            </w:r>
            <w:r>
              <w:rPr>
                <w:rFonts w:hint="eastAsia" w:eastAsia="黑体"/>
                <w:bCs/>
              </w:rPr>
              <w:t>，pH无量纲</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59"/>
              <w:gridCol w:w="1485"/>
              <w:gridCol w:w="1081"/>
              <w:gridCol w:w="3652"/>
            </w:tblGrid>
            <w:tr w14:paraId="287269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2" w:type="pct"/>
                  <w:vAlign w:val="center"/>
                </w:tcPr>
                <w:p w14:paraId="690CB8D0">
                  <w:pPr>
                    <w:widowControl/>
                    <w:spacing w:line="276" w:lineRule="auto"/>
                    <w:jc w:val="center"/>
                    <w:rPr>
                      <w:b/>
                      <w:bCs/>
                      <w:sz w:val="21"/>
                      <w:szCs w:val="21"/>
                    </w:rPr>
                  </w:pPr>
                  <w:r>
                    <w:rPr>
                      <w:b/>
                      <w:bCs/>
                      <w:sz w:val="21"/>
                      <w:szCs w:val="21"/>
                    </w:rPr>
                    <w:t>序号</w:t>
                  </w:r>
                </w:p>
              </w:tc>
              <w:tc>
                <w:tcPr>
                  <w:tcW w:w="676" w:type="pct"/>
                  <w:vAlign w:val="center"/>
                </w:tcPr>
                <w:p w14:paraId="486A8FA7">
                  <w:pPr>
                    <w:widowControl/>
                    <w:spacing w:line="276" w:lineRule="auto"/>
                    <w:jc w:val="center"/>
                    <w:rPr>
                      <w:b/>
                      <w:bCs/>
                      <w:sz w:val="21"/>
                      <w:szCs w:val="21"/>
                    </w:rPr>
                  </w:pPr>
                  <w:r>
                    <w:rPr>
                      <w:b/>
                      <w:bCs/>
                      <w:sz w:val="21"/>
                      <w:szCs w:val="21"/>
                    </w:rPr>
                    <w:t>污染物项目</w:t>
                  </w:r>
                </w:p>
              </w:tc>
              <w:tc>
                <w:tcPr>
                  <w:tcW w:w="948" w:type="pct"/>
                  <w:vAlign w:val="center"/>
                </w:tcPr>
                <w:p w14:paraId="09344DFC">
                  <w:pPr>
                    <w:widowControl/>
                    <w:spacing w:line="276" w:lineRule="auto"/>
                    <w:jc w:val="center"/>
                    <w:rPr>
                      <w:b/>
                      <w:bCs/>
                      <w:sz w:val="21"/>
                      <w:szCs w:val="21"/>
                    </w:rPr>
                  </w:pPr>
                  <w:r>
                    <w:rPr>
                      <w:rFonts w:hint="eastAsia"/>
                      <w:b/>
                      <w:bCs/>
                      <w:sz w:val="21"/>
                      <w:szCs w:val="21"/>
                    </w:rPr>
                    <w:t>淮南经济技术开发区污水处理厂</w:t>
                  </w:r>
                  <w:r>
                    <w:rPr>
                      <w:b/>
                      <w:bCs/>
                      <w:sz w:val="21"/>
                      <w:szCs w:val="21"/>
                    </w:rPr>
                    <w:t>接管限值</w:t>
                  </w:r>
                </w:p>
              </w:tc>
              <w:tc>
                <w:tcPr>
                  <w:tcW w:w="690" w:type="pct"/>
                  <w:vAlign w:val="center"/>
                </w:tcPr>
                <w:p w14:paraId="58CB66F2">
                  <w:pPr>
                    <w:widowControl/>
                    <w:spacing w:line="276" w:lineRule="auto"/>
                    <w:jc w:val="center"/>
                    <w:rPr>
                      <w:b/>
                      <w:bCs/>
                      <w:sz w:val="21"/>
                      <w:szCs w:val="21"/>
                    </w:rPr>
                  </w:pPr>
                  <w:r>
                    <w:rPr>
                      <w:b/>
                      <w:bCs/>
                      <w:sz w:val="21"/>
                      <w:szCs w:val="21"/>
                    </w:rPr>
                    <w:t>本项目执行标准</w:t>
                  </w:r>
                </w:p>
              </w:tc>
              <w:tc>
                <w:tcPr>
                  <w:tcW w:w="2331" w:type="pct"/>
                  <w:vAlign w:val="center"/>
                </w:tcPr>
                <w:p w14:paraId="46E9FBE0">
                  <w:pPr>
                    <w:widowControl/>
                    <w:spacing w:line="276" w:lineRule="auto"/>
                    <w:jc w:val="center"/>
                    <w:rPr>
                      <w:b/>
                      <w:bCs/>
                      <w:sz w:val="21"/>
                      <w:szCs w:val="21"/>
                    </w:rPr>
                  </w:pPr>
                  <w:r>
                    <w:rPr>
                      <w:rFonts w:hint="eastAsia"/>
                      <w:b/>
                      <w:bCs/>
                      <w:sz w:val="21"/>
                      <w:szCs w:val="21"/>
                    </w:rPr>
                    <w:t>淮南经济技术开发区污水处理厂</w:t>
                  </w:r>
                  <w:r>
                    <w:rPr>
                      <w:b/>
                      <w:bCs/>
                      <w:sz w:val="21"/>
                      <w:szCs w:val="21"/>
                    </w:rPr>
                    <w:t>排放标准</w:t>
                  </w:r>
                  <w:r>
                    <w:rPr>
                      <w:b/>
                      <w:sz w:val="21"/>
                      <w:szCs w:val="21"/>
                    </w:rPr>
                    <w:t>（《城镇污水处理厂污染物排放标准》</w:t>
                  </w:r>
                  <w:r>
                    <w:rPr>
                      <w:rFonts w:hint="eastAsia"/>
                      <w:b/>
                      <w:sz w:val="21"/>
                      <w:szCs w:val="21"/>
                    </w:rPr>
                    <w:t>（</w:t>
                  </w:r>
                  <w:r>
                    <w:rPr>
                      <w:b/>
                      <w:sz w:val="21"/>
                      <w:szCs w:val="21"/>
                    </w:rPr>
                    <w:t>GB18918-2002</w:t>
                  </w:r>
                  <w:r>
                    <w:rPr>
                      <w:rFonts w:hint="eastAsia"/>
                      <w:b/>
                      <w:sz w:val="21"/>
                      <w:szCs w:val="21"/>
                    </w:rPr>
                    <w:t>）</w:t>
                  </w:r>
                  <w:r>
                    <w:rPr>
                      <w:b/>
                      <w:sz w:val="21"/>
                      <w:szCs w:val="21"/>
                    </w:rPr>
                    <w:t>一级A标准）</w:t>
                  </w:r>
                </w:p>
              </w:tc>
            </w:tr>
            <w:tr w14:paraId="7133C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2" w:type="pct"/>
                  <w:shd w:val="clear" w:color="auto" w:fill="auto"/>
                  <w:vAlign w:val="center"/>
                </w:tcPr>
                <w:p w14:paraId="06D1DC43">
                  <w:pPr>
                    <w:widowControl/>
                    <w:spacing w:line="276" w:lineRule="auto"/>
                    <w:jc w:val="center"/>
                    <w:rPr>
                      <w:bCs/>
                      <w:sz w:val="21"/>
                      <w:szCs w:val="21"/>
                    </w:rPr>
                  </w:pPr>
                  <w:r>
                    <w:rPr>
                      <w:bCs/>
                      <w:sz w:val="21"/>
                      <w:szCs w:val="21"/>
                    </w:rPr>
                    <w:t>1</w:t>
                  </w:r>
                </w:p>
              </w:tc>
              <w:tc>
                <w:tcPr>
                  <w:tcW w:w="676" w:type="pct"/>
                  <w:shd w:val="clear" w:color="auto" w:fill="auto"/>
                  <w:vAlign w:val="center"/>
                </w:tcPr>
                <w:p w14:paraId="68A314E4">
                  <w:pPr>
                    <w:widowControl/>
                    <w:spacing w:line="276" w:lineRule="auto"/>
                    <w:jc w:val="center"/>
                    <w:rPr>
                      <w:bCs/>
                      <w:sz w:val="21"/>
                      <w:szCs w:val="21"/>
                    </w:rPr>
                  </w:pPr>
                  <w:r>
                    <w:rPr>
                      <w:rFonts w:hint="eastAsia"/>
                      <w:bCs/>
                      <w:sz w:val="21"/>
                      <w:szCs w:val="21"/>
                    </w:rPr>
                    <w:t>pH</w:t>
                  </w:r>
                </w:p>
              </w:tc>
              <w:tc>
                <w:tcPr>
                  <w:tcW w:w="948" w:type="pct"/>
                  <w:shd w:val="clear" w:color="auto" w:fill="auto"/>
                  <w:vAlign w:val="center"/>
                </w:tcPr>
                <w:p w14:paraId="1BB559BA">
                  <w:pPr>
                    <w:pStyle w:val="85"/>
                    <w:adjustRightInd/>
                    <w:snapToGrid/>
                    <w:spacing w:beforeLines="0" w:afterLines="0" w:line="276" w:lineRule="auto"/>
                    <w:rPr>
                      <w:rFonts w:ascii="Times New Roman"/>
                      <w:sz w:val="21"/>
                      <w:szCs w:val="21"/>
                    </w:rPr>
                  </w:pPr>
                  <w:r>
                    <w:rPr>
                      <w:rFonts w:hint="eastAsia" w:ascii="Times New Roman"/>
                      <w:sz w:val="21"/>
                      <w:szCs w:val="21"/>
                    </w:rPr>
                    <w:t>6~9</w:t>
                  </w:r>
                </w:p>
              </w:tc>
              <w:tc>
                <w:tcPr>
                  <w:tcW w:w="690" w:type="pct"/>
                  <w:shd w:val="clear" w:color="auto" w:fill="D9D9D9"/>
                  <w:vAlign w:val="center"/>
                </w:tcPr>
                <w:p w14:paraId="4CE52CB7">
                  <w:pPr>
                    <w:pStyle w:val="85"/>
                    <w:adjustRightInd/>
                    <w:snapToGrid/>
                    <w:spacing w:beforeLines="0" w:afterLines="0" w:line="276" w:lineRule="auto"/>
                    <w:rPr>
                      <w:rFonts w:ascii="Times New Roman"/>
                      <w:sz w:val="21"/>
                      <w:szCs w:val="21"/>
                    </w:rPr>
                  </w:pPr>
                  <w:r>
                    <w:rPr>
                      <w:rFonts w:hint="eastAsia" w:ascii="Times New Roman"/>
                      <w:sz w:val="21"/>
                      <w:szCs w:val="21"/>
                    </w:rPr>
                    <w:t>6~9</w:t>
                  </w:r>
                </w:p>
              </w:tc>
              <w:tc>
                <w:tcPr>
                  <w:tcW w:w="2331" w:type="pct"/>
                  <w:vAlign w:val="center"/>
                </w:tcPr>
                <w:p w14:paraId="71FF6806">
                  <w:pPr>
                    <w:pStyle w:val="87"/>
                    <w:adjustRightInd/>
                    <w:snapToGrid/>
                    <w:spacing w:line="276" w:lineRule="auto"/>
                    <w:rPr>
                      <w:snapToGrid w:val="0"/>
                      <w:sz w:val="21"/>
                    </w:rPr>
                  </w:pPr>
                  <w:r>
                    <w:rPr>
                      <w:rFonts w:hint="eastAsia"/>
                      <w:sz w:val="21"/>
                    </w:rPr>
                    <w:t>6~9</w:t>
                  </w:r>
                </w:p>
              </w:tc>
            </w:tr>
            <w:tr w14:paraId="7E9DB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2" w:type="pct"/>
                  <w:shd w:val="clear" w:color="auto" w:fill="auto"/>
                  <w:vAlign w:val="center"/>
                </w:tcPr>
                <w:p w14:paraId="3B37D6D1">
                  <w:pPr>
                    <w:widowControl/>
                    <w:spacing w:line="276" w:lineRule="auto"/>
                    <w:jc w:val="center"/>
                    <w:rPr>
                      <w:bCs/>
                      <w:sz w:val="21"/>
                      <w:szCs w:val="21"/>
                    </w:rPr>
                  </w:pPr>
                  <w:r>
                    <w:rPr>
                      <w:bCs/>
                      <w:sz w:val="21"/>
                      <w:szCs w:val="21"/>
                    </w:rPr>
                    <w:t>2</w:t>
                  </w:r>
                </w:p>
              </w:tc>
              <w:tc>
                <w:tcPr>
                  <w:tcW w:w="676" w:type="pct"/>
                  <w:shd w:val="clear" w:color="auto" w:fill="auto"/>
                  <w:vAlign w:val="center"/>
                </w:tcPr>
                <w:p w14:paraId="7628B408">
                  <w:pPr>
                    <w:widowControl/>
                    <w:spacing w:line="276" w:lineRule="auto"/>
                    <w:jc w:val="center"/>
                    <w:rPr>
                      <w:bCs/>
                      <w:sz w:val="21"/>
                      <w:szCs w:val="21"/>
                    </w:rPr>
                  </w:pPr>
                  <w:r>
                    <w:rPr>
                      <w:sz w:val="21"/>
                      <w:szCs w:val="21"/>
                    </w:rPr>
                    <w:t>COD</w:t>
                  </w:r>
                  <w:r>
                    <w:rPr>
                      <w:sz w:val="21"/>
                      <w:szCs w:val="21"/>
                      <w:vertAlign w:val="subscript"/>
                    </w:rPr>
                    <w:t>Cr</w:t>
                  </w:r>
                </w:p>
              </w:tc>
              <w:tc>
                <w:tcPr>
                  <w:tcW w:w="948" w:type="pct"/>
                  <w:shd w:val="clear" w:color="auto" w:fill="auto"/>
                  <w:vAlign w:val="center"/>
                </w:tcPr>
                <w:p w14:paraId="1E045B71">
                  <w:pPr>
                    <w:pStyle w:val="85"/>
                    <w:adjustRightInd/>
                    <w:snapToGrid/>
                    <w:spacing w:beforeLines="0" w:afterLines="0" w:line="276" w:lineRule="auto"/>
                    <w:rPr>
                      <w:rFonts w:ascii="Times New Roman"/>
                      <w:sz w:val="21"/>
                      <w:szCs w:val="21"/>
                    </w:rPr>
                  </w:pPr>
                  <w:r>
                    <w:rPr>
                      <w:rFonts w:ascii="Times New Roman"/>
                      <w:sz w:val="21"/>
                      <w:szCs w:val="21"/>
                    </w:rPr>
                    <w:t>360</w:t>
                  </w:r>
                </w:p>
              </w:tc>
              <w:tc>
                <w:tcPr>
                  <w:tcW w:w="690" w:type="pct"/>
                  <w:shd w:val="clear" w:color="auto" w:fill="D9D9D9"/>
                  <w:vAlign w:val="center"/>
                </w:tcPr>
                <w:p w14:paraId="059F3A3A">
                  <w:pPr>
                    <w:pStyle w:val="85"/>
                    <w:adjustRightInd/>
                    <w:snapToGrid/>
                    <w:spacing w:beforeLines="0" w:afterLines="0" w:line="276" w:lineRule="auto"/>
                    <w:rPr>
                      <w:rFonts w:ascii="Times New Roman"/>
                      <w:sz w:val="21"/>
                      <w:szCs w:val="21"/>
                    </w:rPr>
                  </w:pPr>
                  <w:r>
                    <w:rPr>
                      <w:rFonts w:ascii="Times New Roman"/>
                      <w:sz w:val="21"/>
                      <w:szCs w:val="21"/>
                    </w:rPr>
                    <w:t>360</w:t>
                  </w:r>
                </w:p>
              </w:tc>
              <w:tc>
                <w:tcPr>
                  <w:tcW w:w="2331" w:type="pct"/>
                  <w:vAlign w:val="center"/>
                </w:tcPr>
                <w:p w14:paraId="2BAE00DF">
                  <w:pPr>
                    <w:pStyle w:val="87"/>
                    <w:adjustRightInd/>
                    <w:snapToGrid/>
                    <w:spacing w:line="276" w:lineRule="auto"/>
                    <w:rPr>
                      <w:snapToGrid w:val="0"/>
                      <w:sz w:val="21"/>
                    </w:rPr>
                  </w:pPr>
                  <w:r>
                    <w:rPr>
                      <w:snapToGrid w:val="0"/>
                      <w:sz w:val="21"/>
                    </w:rPr>
                    <w:t>≤50</w:t>
                  </w:r>
                </w:p>
              </w:tc>
            </w:tr>
            <w:tr w14:paraId="419E69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52" w:type="pct"/>
                  <w:shd w:val="clear" w:color="auto" w:fill="auto"/>
                  <w:vAlign w:val="center"/>
                </w:tcPr>
                <w:p w14:paraId="6CE75C1A">
                  <w:pPr>
                    <w:widowControl/>
                    <w:spacing w:line="276" w:lineRule="auto"/>
                    <w:jc w:val="center"/>
                    <w:rPr>
                      <w:bCs/>
                      <w:sz w:val="21"/>
                      <w:szCs w:val="21"/>
                    </w:rPr>
                  </w:pPr>
                  <w:r>
                    <w:rPr>
                      <w:bCs/>
                      <w:sz w:val="21"/>
                      <w:szCs w:val="21"/>
                    </w:rPr>
                    <w:t>3</w:t>
                  </w:r>
                </w:p>
              </w:tc>
              <w:tc>
                <w:tcPr>
                  <w:tcW w:w="676" w:type="pct"/>
                  <w:shd w:val="clear" w:color="auto" w:fill="auto"/>
                  <w:vAlign w:val="center"/>
                </w:tcPr>
                <w:p w14:paraId="047B522F">
                  <w:pPr>
                    <w:widowControl/>
                    <w:spacing w:line="276" w:lineRule="auto"/>
                    <w:jc w:val="center"/>
                    <w:rPr>
                      <w:bCs/>
                      <w:sz w:val="21"/>
                      <w:szCs w:val="21"/>
                    </w:rPr>
                  </w:pPr>
                  <w:r>
                    <w:rPr>
                      <w:sz w:val="21"/>
                      <w:szCs w:val="21"/>
                    </w:rPr>
                    <w:t>BOD</w:t>
                  </w:r>
                  <w:r>
                    <w:rPr>
                      <w:sz w:val="21"/>
                      <w:szCs w:val="21"/>
                      <w:vertAlign w:val="subscript"/>
                    </w:rPr>
                    <w:t>5</w:t>
                  </w:r>
                </w:p>
              </w:tc>
              <w:tc>
                <w:tcPr>
                  <w:tcW w:w="948" w:type="pct"/>
                  <w:shd w:val="clear" w:color="auto" w:fill="auto"/>
                  <w:vAlign w:val="center"/>
                </w:tcPr>
                <w:p w14:paraId="39F3470D">
                  <w:pPr>
                    <w:pStyle w:val="85"/>
                    <w:adjustRightInd/>
                    <w:snapToGrid/>
                    <w:spacing w:beforeLines="0" w:afterLines="0" w:line="276" w:lineRule="auto"/>
                    <w:rPr>
                      <w:rFonts w:ascii="Times New Roman"/>
                      <w:sz w:val="21"/>
                      <w:szCs w:val="21"/>
                    </w:rPr>
                  </w:pPr>
                  <w:r>
                    <w:rPr>
                      <w:rFonts w:ascii="Times New Roman"/>
                      <w:sz w:val="21"/>
                      <w:szCs w:val="21"/>
                    </w:rPr>
                    <w:t>80</w:t>
                  </w:r>
                </w:p>
              </w:tc>
              <w:tc>
                <w:tcPr>
                  <w:tcW w:w="690" w:type="pct"/>
                  <w:shd w:val="clear" w:color="auto" w:fill="D9D9D9"/>
                  <w:vAlign w:val="center"/>
                </w:tcPr>
                <w:p w14:paraId="726FC9DA">
                  <w:pPr>
                    <w:pStyle w:val="85"/>
                    <w:adjustRightInd/>
                    <w:snapToGrid/>
                    <w:spacing w:beforeLines="0" w:afterLines="0" w:line="276" w:lineRule="auto"/>
                    <w:rPr>
                      <w:rFonts w:ascii="Times New Roman"/>
                      <w:sz w:val="21"/>
                      <w:szCs w:val="21"/>
                    </w:rPr>
                  </w:pPr>
                  <w:r>
                    <w:rPr>
                      <w:rFonts w:ascii="Times New Roman"/>
                      <w:sz w:val="21"/>
                      <w:szCs w:val="21"/>
                    </w:rPr>
                    <w:t>80</w:t>
                  </w:r>
                </w:p>
              </w:tc>
              <w:tc>
                <w:tcPr>
                  <w:tcW w:w="2331" w:type="pct"/>
                  <w:vAlign w:val="center"/>
                </w:tcPr>
                <w:p w14:paraId="09356DA0">
                  <w:pPr>
                    <w:pStyle w:val="87"/>
                    <w:adjustRightInd/>
                    <w:snapToGrid/>
                    <w:spacing w:line="276" w:lineRule="auto"/>
                    <w:rPr>
                      <w:snapToGrid w:val="0"/>
                      <w:sz w:val="21"/>
                    </w:rPr>
                  </w:pPr>
                  <w:r>
                    <w:rPr>
                      <w:snapToGrid w:val="0"/>
                      <w:sz w:val="21"/>
                    </w:rPr>
                    <w:t>≤10</w:t>
                  </w:r>
                </w:p>
              </w:tc>
            </w:tr>
            <w:tr w14:paraId="0D53BE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2" w:type="pct"/>
                  <w:shd w:val="clear" w:color="auto" w:fill="auto"/>
                  <w:vAlign w:val="center"/>
                </w:tcPr>
                <w:p w14:paraId="384017EA">
                  <w:pPr>
                    <w:widowControl/>
                    <w:spacing w:line="276" w:lineRule="auto"/>
                    <w:jc w:val="center"/>
                    <w:rPr>
                      <w:bCs/>
                      <w:sz w:val="21"/>
                      <w:szCs w:val="21"/>
                    </w:rPr>
                  </w:pPr>
                  <w:r>
                    <w:rPr>
                      <w:bCs/>
                      <w:sz w:val="21"/>
                      <w:szCs w:val="21"/>
                    </w:rPr>
                    <w:t>4</w:t>
                  </w:r>
                </w:p>
              </w:tc>
              <w:tc>
                <w:tcPr>
                  <w:tcW w:w="676" w:type="pct"/>
                  <w:shd w:val="clear" w:color="auto" w:fill="auto"/>
                  <w:vAlign w:val="center"/>
                </w:tcPr>
                <w:p w14:paraId="5445DA57">
                  <w:pPr>
                    <w:widowControl/>
                    <w:spacing w:line="276" w:lineRule="auto"/>
                    <w:jc w:val="center"/>
                    <w:rPr>
                      <w:bCs/>
                      <w:sz w:val="21"/>
                      <w:szCs w:val="21"/>
                    </w:rPr>
                  </w:pPr>
                  <w:r>
                    <w:rPr>
                      <w:sz w:val="21"/>
                      <w:szCs w:val="21"/>
                    </w:rPr>
                    <w:t>SS</w:t>
                  </w:r>
                </w:p>
              </w:tc>
              <w:tc>
                <w:tcPr>
                  <w:tcW w:w="948" w:type="pct"/>
                  <w:shd w:val="clear" w:color="auto" w:fill="auto"/>
                  <w:vAlign w:val="center"/>
                </w:tcPr>
                <w:p w14:paraId="5DC9374C">
                  <w:pPr>
                    <w:pStyle w:val="85"/>
                    <w:adjustRightInd/>
                    <w:snapToGrid/>
                    <w:spacing w:beforeLines="0" w:afterLines="0" w:line="276" w:lineRule="auto"/>
                    <w:rPr>
                      <w:rFonts w:ascii="Times New Roman"/>
                      <w:sz w:val="21"/>
                      <w:szCs w:val="21"/>
                    </w:rPr>
                  </w:pPr>
                  <w:r>
                    <w:rPr>
                      <w:rFonts w:ascii="Times New Roman"/>
                      <w:sz w:val="21"/>
                      <w:szCs w:val="21"/>
                    </w:rPr>
                    <w:t>200</w:t>
                  </w:r>
                </w:p>
              </w:tc>
              <w:tc>
                <w:tcPr>
                  <w:tcW w:w="690" w:type="pct"/>
                  <w:shd w:val="clear" w:color="auto" w:fill="D9D9D9"/>
                  <w:vAlign w:val="center"/>
                </w:tcPr>
                <w:p w14:paraId="68A5872E">
                  <w:pPr>
                    <w:pStyle w:val="85"/>
                    <w:adjustRightInd/>
                    <w:snapToGrid/>
                    <w:spacing w:beforeLines="0" w:afterLines="0" w:line="276" w:lineRule="auto"/>
                    <w:rPr>
                      <w:rFonts w:ascii="Times New Roman"/>
                      <w:sz w:val="21"/>
                      <w:szCs w:val="21"/>
                    </w:rPr>
                  </w:pPr>
                  <w:r>
                    <w:rPr>
                      <w:rFonts w:ascii="Times New Roman"/>
                      <w:sz w:val="21"/>
                      <w:szCs w:val="21"/>
                    </w:rPr>
                    <w:t>200</w:t>
                  </w:r>
                </w:p>
              </w:tc>
              <w:tc>
                <w:tcPr>
                  <w:tcW w:w="2331" w:type="pct"/>
                  <w:vAlign w:val="center"/>
                </w:tcPr>
                <w:p w14:paraId="31A70FA7">
                  <w:pPr>
                    <w:pStyle w:val="87"/>
                    <w:adjustRightInd/>
                    <w:snapToGrid/>
                    <w:spacing w:line="276" w:lineRule="auto"/>
                    <w:rPr>
                      <w:snapToGrid w:val="0"/>
                      <w:sz w:val="21"/>
                    </w:rPr>
                  </w:pPr>
                  <w:r>
                    <w:rPr>
                      <w:snapToGrid w:val="0"/>
                      <w:sz w:val="21"/>
                    </w:rPr>
                    <w:t>≤10</w:t>
                  </w:r>
                </w:p>
              </w:tc>
            </w:tr>
            <w:tr w14:paraId="56D58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2" w:type="pct"/>
                  <w:shd w:val="clear" w:color="auto" w:fill="auto"/>
                  <w:vAlign w:val="center"/>
                </w:tcPr>
                <w:p w14:paraId="76C6B3CA">
                  <w:pPr>
                    <w:widowControl/>
                    <w:spacing w:line="276" w:lineRule="auto"/>
                    <w:jc w:val="center"/>
                    <w:rPr>
                      <w:bCs/>
                      <w:sz w:val="21"/>
                      <w:szCs w:val="21"/>
                    </w:rPr>
                  </w:pPr>
                  <w:r>
                    <w:rPr>
                      <w:rFonts w:hint="eastAsia"/>
                      <w:bCs/>
                      <w:sz w:val="21"/>
                      <w:szCs w:val="21"/>
                    </w:rPr>
                    <w:t>5</w:t>
                  </w:r>
                </w:p>
              </w:tc>
              <w:tc>
                <w:tcPr>
                  <w:tcW w:w="676" w:type="pct"/>
                  <w:shd w:val="clear" w:color="auto" w:fill="auto"/>
                  <w:vAlign w:val="center"/>
                </w:tcPr>
                <w:p w14:paraId="49D8140F">
                  <w:pPr>
                    <w:widowControl/>
                    <w:spacing w:line="276" w:lineRule="auto"/>
                    <w:jc w:val="center"/>
                    <w:rPr>
                      <w:bCs/>
                      <w:sz w:val="21"/>
                      <w:szCs w:val="21"/>
                    </w:rPr>
                  </w:pPr>
                  <w:r>
                    <w:rPr>
                      <w:sz w:val="21"/>
                      <w:szCs w:val="21"/>
                    </w:rPr>
                    <w:t>NH</w:t>
                  </w:r>
                  <w:r>
                    <w:rPr>
                      <w:sz w:val="21"/>
                      <w:szCs w:val="21"/>
                      <w:vertAlign w:val="subscript"/>
                    </w:rPr>
                    <w:t>3</w:t>
                  </w:r>
                  <w:r>
                    <w:rPr>
                      <w:sz w:val="21"/>
                      <w:szCs w:val="21"/>
                    </w:rPr>
                    <w:t>-N</w:t>
                  </w:r>
                </w:p>
              </w:tc>
              <w:tc>
                <w:tcPr>
                  <w:tcW w:w="948" w:type="pct"/>
                  <w:shd w:val="clear" w:color="auto" w:fill="auto"/>
                  <w:vAlign w:val="center"/>
                </w:tcPr>
                <w:p w14:paraId="15CCCE6D">
                  <w:pPr>
                    <w:pStyle w:val="85"/>
                    <w:adjustRightInd/>
                    <w:snapToGrid/>
                    <w:spacing w:beforeLines="0" w:afterLines="0" w:line="276" w:lineRule="auto"/>
                    <w:rPr>
                      <w:rFonts w:ascii="Times New Roman"/>
                      <w:sz w:val="21"/>
                      <w:szCs w:val="21"/>
                    </w:rPr>
                  </w:pPr>
                  <w:r>
                    <w:rPr>
                      <w:rFonts w:ascii="Times New Roman"/>
                      <w:sz w:val="21"/>
                      <w:szCs w:val="21"/>
                    </w:rPr>
                    <w:t>35</w:t>
                  </w:r>
                </w:p>
              </w:tc>
              <w:tc>
                <w:tcPr>
                  <w:tcW w:w="690" w:type="pct"/>
                  <w:shd w:val="clear" w:color="auto" w:fill="D9D9D9"/>
                  <w:vAlign w:val="center"/>
                </w:tcPr>
                <w:p w14:paraId="0A1238BB">
                  <w:pPr>
                    <w:pStyle w:val="85"/>
                    <w:adjustRightInd/>
                    <w:snapToGrid/>
                    <w:spacing w:beforeLines="0" w:afterLines="0" w:line="276" w:lineRule="auto"/>
                    <w:rPr>
                      <w:rFonts w:ascii="Times New Roman"/>
                      <w:sz w:val="21"/>
                      <w:szCs w:val="21"/>
                    </w:rPr>
                  </w:pPr>
                  <w:r>
                    <w:rPr>
                      <w:rFonts w:ascii="Times New Roman"/>
                      <w:sz w:val="21"/>
                      <w:szCs w:val="21"/>
                    </w:rPr>
                    <w:t>35</w:t>
                  </w:r>
                </w:p>
              </w:tc>
              <w:tc>
                <w:tcPr>
                  <w:tcW w:w="2331" w:type="pct"/>
                  <w:vAlign w:val="center"/>
                </w:tcPr>
                <w:p w14:paraId="1F4218E0">
                  <w:pPr>
                    <w:pStyle w:val="87"/>
                    <w:adjustRightInd/>
                    <w:snapToGrid/>
                    <w:spacing w:line="276" w:lineRule="auto"/>
                    <w:rPr>
                      <w:snapToGrid w:val="0"/>
                      <w:sz w:val="21"/>
                    </w:rPr>
                  </w:pPr>
                  <w:r>
                    <w:rPr>
                      <w:snapToGrid w:val="0"/>
                      <w:sz w:val="21"/>
                    </w:rPr>
                    <w:t>≤5（8）</w:t>
                  </w:r>
                </w:p>
              </w:tc>
            </w:tr>
          </w:tbl>
          <w:p w14:paraId="50A7FCA5">
            <w:pPr>
              <w:spacing w:line="360" w:lineRule="auto"/>
              <w:ind w:firstLine="482" w:firstLineChars="200"/>
              <w:jc w:val="left"/>
              <w:rPr>
                <w:b/>
              </w:rPr>
            </w:pPr>
            <w:r>
              <w:rPr>
                <w:rFonts w:hint="eastAsia"/>
                <w:b/>
              </w:rPr>
              <w:t>3、噪声</w:t>
            </w:r>
          </w:p>
          <w:p w14:paraId="69E09129">
            <w:pPr>
              <w:wordWrap w:val="0"/>
              <w:spacing w:line="360" w:lineRule="auto"/>
              <w:ind w:firstLine="480" w:firstLineChars="200"/>
              <w:jc w:val="left"/>
              <w:rPr>
                <w:rFonts w:hAnsi="宋体"/>
                <w:bCs/>
              </w:rPr>
            </w:pPr>
            <w:r>
              <w:rPr>
                <w:rFonts w:hint="eastAsia" w:hAnsi="宋体"/>
                <w:bCs/>
              </w:rPr>
              <w:t>根据《淮南市中心城区声环境功能区划分方案》（项目选址与淮南市中心城区声环境功能区位置关系图见附图8），本项目所在区域为3类声环境功能区，因此项目运营期厂界执行《工业企业厂界环境噪声排放标准》（</w:t>
            </w:r>
            <w:r>
              <w:rPr>
                <w:rFonts w:hAnsi="宋体"/>
                <w:bCs/>
              </w:rPr>
              <w:t>GB12348-2008</w:t>
            </w:r>
            <w:r>
              <w:rPr>
                <w:rFonts w:hint="eastAsia" w:hAnsi="宋体"/>
                <w:bCs/>
              </w:rPr>
              <w:t>）中3类标准。具体详见下表。</w:t>
            </w:r>
          </w:p>
          <w:p w14:paraId="512C9570">
            <w:pPr>
              <w:spacing w:line="360" w:lineRule="auto"/>
              <w:jc w:val="center"/>
              <w:rPr>
                <w:rFonts w:hAnsi="黑体" w:eastAsia="黑体"/>
                <w:bCs/>
              </w:rPr>
            </w:pPr>
            <w:r>
              <w:rPr>
                <w:rFonts w:hAnsi="黑体" w:eastAsia="黑体"/>
                <w:bCs/>
              </w:rPr>
              <w:t>表</w:t>
            </w:r>
            <w:r>
              <w:rPr>
                <w:rFonts w:eastAsia="黑体"/>
                <w:bCs/>
              </w:rPr>
              <w:t>3</w:t>
            </w:r>
            <w:r>
              <w:rPr>
                <w:rFonts w:hint="eastAsia" w:eastAsia="黑体"/>
                <w:bCs/>
              </w:rPr>
              <w:t>-</w:t>
            </w:r>
            <w:r>
              <w:rPr>
                <w:rFonts w:hint="eastAsia" w:eastAsia="黑体"/>
                <w:bCs/>
                <w:lang w:val="en-US" w:eastAsia="zh-CN"/>
              </w:rPr>
              <w:t xml:space="preserve">8  </w:t>
            </w:r>
            <w:r>
              <w:rPr>
                <w:rFonts w:hAnsi="黑体" w:eastAsia="黑体"/>
                <w:bCs/>
              </w:rPr>
              <w:t>工业企业厂界环境噪声排放标准单位：dB(A)</w:t>
            </w:r>
          </w:p>
          <w:tbl>
            <w:tblPr>
              <w:tblStyle w:val="16"/>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650"/>
              <w:gridCol w:w="2039"/>
              <w:gridCol w:w="2039"/>
            </w:tblGrid>
            <w:tr w14:paraId="03C900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3650" w:type="dxa"/>
                  <w:vAlign w:val="center"/>
                </w:tcPr>
                <w:p w14:paraId="71936CBE">
                  <w:pPr>
                    <w:widowControl/>
                    <w:spacing w:line="276" w:lineRule="auto"/>
                    <w:jc w:val="center"/>
                    <w:rPr>
                      <w:b/>
                      <w:sz w:val="21"/>
                      <w:szCs w:val="21"/>
                    </w:rPr>
                  </w:pPr>
                  <w:r>
                    <w:rPr>
                      <w:b/>
                      <w:sz w:val="21"/>
                      <w:szCs w:val="21"/>
                    </w:rPr>
                    <w:t>标准</w:t>
                  </w:r>
                </w:p>
              </w:tc>
              <w:tc>
                <w:tcPr>
                  <w:tcW w:w="2039" w:type="dxa"/>
                  <w:vAlign w:val="center"/>
                </w:tcPr>
                <w:p w14:paraId="17823EB9">
                  <w:pPr>
                    <w:widowControl/>
                    <w:spacing w:line="276" w:lineRule="auto"/>
                    <w:jc w:val="center"/>
                    <w:rPr>
                      <w:b/>
                      <w:sz w:val="21"/>
                      <w:szCs w:val="21"/>
                    </w:rPr>
                  </w:pPr>
                  <w:r>
                    <w:rPr>
                      <w:b/>
                      <w:sz w:val="21"/>
                      <w:szCs w:val="21"/>
                    </w:rPr>
                    <w:t>昼间</w:t>
                  </w:r>
                </w:p>
              </w:tc>
              <w:tc>
                <w:tcPr>
                  <w:tcW w:w="2039" w:type="dxa"/>
                  <w:vAlign w:val="center"/>
                </w:tcPr>
                <w:p w14:paraId="3706696F">
                  <w:pPr>
                    <w:widowControl/>
                    <w:spacing w:line="276" w:lineRule="auto"/>
                    <w:jc w:val="center"/>
                    <w:rPr>
                      <w:rFonts w:hint="eastAsia" w:eastAsia="宋体"/>
                      <w:b/>
                      <w:sz w:val="21"/>
                      <w:szCs w:val="21"/>
                      <w:lang w:val="en-US" w:eastAsia="zh-CN"/>
                    </w:rPr>
                  </w:pPr>
                  <w:r>
                    <w:rPr>
                      <w:rFonts w:hint="eastAsia"/>
                      <w:b/>
                      <w:sz w:val="21"/>
                      <w:szCs w:val="21"/>
                      <w:lang w:val="en-US" w:eastAsia="zh-CN"/>
                    </w:rPr>
                    <w:t>夜间</w:t>
                  </w:r>
                </w:p>
              </w:tc>
            </w:tr>
            <w:tr w14:paraId="726D34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3650" w:type="dxa"/>
                  <w:vAlign w:val="center"/>
                </w:tcPr>
                <w:p w14:paraId="52337EE4">
                  <w:pPr>
                    <w:widowControl/>
                    <w:spacing w:line="276" w:lineRule="auto"/>
                    <w:jc w:val="center"/>
                    <w:rPr>
                      <w:sz w:val="21"/>
                      <w:szCs w:val="21"/>
                    </w:rPr>
                  </w:pPr>
                  <w:r>
                    <w:rPr>
                      <w:rFonts w:hAnsi="宋体"/>
                      <w:sz w:val="21"/>
                      <w:szCs w:val="21"/>
                    </w:rPr>
                    <w:t>（</w:t>
                  </w:r>
                  <w:r>
                    <w:rPr>
                      <w:sz w:val="21"/>
                      <w:szCs w:val="21"/>
                    </w:rPr>
                    <w:t>GB12348-2008）中3类标准</w:t>
                  </w:r>
                </w:p>
              </w:tc>
              <w:tc>
                <w:tcPr>
                  <w:tcW w:w="2039" w:type="dxa"/>
                  <w:vAlign w:val="center"/>
                </w:tcPr>
                <w:p w14:paraId="56445536">
                  <w:pPr>
                    <w:widowControl/>
                    <w:spacing w:line="276" w:lineRule="auto"/>
                    <w:jc w:val="center"/>
                    <w:rPr>
                      <w:sz w:val="21"/>
                      <w:szCs w:val="21"/>
                    </w:rPr>
                  </w:pPr>
                  <w:r>
                    <w:rPr>
                      <w:sz w:val="21"/>
                      <w:szCs w:val="21"/>
                    </w:rPr>
                    <w:t>65</w:t>
                  </w:r>
                </w:p>
              </w:tc>
              <w:tc>
                <w:tcPr>
                  <w:tcW w:w="2039" w:type="dxa"/>
                  <w:vAlign w:val="center"/>
                </w:tcPr>
                <w:p w14:paraId="3C6E2B7B">
                  <w:pPr>
                    <w:widowControl/>
                    <w:spacing w:line="276" w:lineRule="auto"/>
                    <w:jc w:val="center"/>
                    <w:rPr>
                      <w:rFonts w:hint="default" w:eastAsia="宋体"/>
                      <w:sz w:val="21"/>
                      <w:szCs w:val="21"/>
                      <w:lang w:val="en-US" w:eastAsia="zh-CN"/>
                    </w:rPr>
                  </w:pPr>
                  <w:r>
                    <w:rPr>
                      <w:rFonts w:hint="eastAsia"/>
                      <w:sz w:val="21"/>
                      <w:szCs w:val="21"/>
                      <w:lang w:val="en-US" w:eastAsia="zh-CN"/>
                    </w:rPr>
                    <w:t>55</w:t>
                  </w:r>
                </w:p>
              </w:tc>
            </w:tr>
          </w:tbl>
          <w:p w14:paraId="15583D85">
            <w:pPr>
              <w:spacing w:line="360" w:lineRule="auto"/>
              <w:ind w:firstLine="482" w:firstLineChars="200"/>
              <w:jc w:val="left"/>
              <w:rPr>
                <w:b/>
              </w:rPr>
            </w:pPr>
            <w:r>
              <w:rPr>
                <w:b/>
              </w:rPr>
              <w:t>4、固体废物</w:t>
            </w:r>
          </w:p>
          <w:p w14:paraId="09C8B9AE">
            <w:pPr>
              <w:spacing w:line="360" w:lineRule="auto"/>
              <w:ind w:firstLine="480" w:firstLineChars="200"/>
              <w:jc w:val="left"/>
              <w:rPr>
                <w:color w:val="FF0000"/>
              </w:rPr>
            </w:pPr>
            <w:r>
              <w:rPr>
                <w:snapToGrid w:val="0"/>
              </w:rPr>
              <w:t>按照《中华人民共和国固体废物污染环境防治法》的要求，固体废物要妥善处置，不得形成二次污染。</w:t>
            </w:r>
            <w:r>
              <w:t>一般工业固体废物参照执行《一般工业固体废物贮存和填埋污染控制标准》（GB18599-2020）中有关规定；危险废物贮存执行《危险废物贮存污染控制标准》（GB18597-2023）。</w:t>
            </w:r>
          </w:p>
        </w:tc>
      </w:tr>
      <w:tr w14:paraId="528F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Align w:val="center"/>
          </w:tcPr>
          <w:p w14:paraId="65A35C31">
            <w:pPr>
              <w:spacing w:line="360" w:lineRule="auto"/>
              <w:jc w:val="center"/>
            </w:pPr>
            <w:r>
              <w:t>总量控制标准</w:t>
            </w:r>
          </w:p>
        </w:tc>
        <w:tc>
          <w:tcPr>
            <w:tcW w:w="8045" w:type="dxa"/>
          </w:tcPr>
          <w:p w14:paraId="60ED056F">
            <w:pPr>
              <w:pStyle w:val="32"/>
              <w:adjustRightInd/>
              <w:spacing w:line="360" w:lineRule="auto"/>
              <w:ind w:firstLine="480" w:firstLineChars="200"/>
              <w:rPr>
                <w:rFonts w:hAnsi="宋体"/>
                <w:color w:val="auto"/>
              </w:rPr>
            </w:pPr>
            <w:r>
              <w:rPr>
                <w:rFonts w:hint="eastAsia" w:hAnsi="宋体"/>
                <w:color w:val="auto"/>
              </w:rPr>
              <w:t>根据安徽省人民政府《安徽省大气污染防治行动计划实施方案》（皖政〔2013〕89号）中第（四）类19条和《关于进一步加强建设项目新增大气污染物总量控制指标工作的通知》（皖环发〔2017〕19号）中的规定，严格实施主要污染物排放总量控制，水污染物总量控制指标为COD、氨氮</w:t>
            </w:r>
            <w:r>
              <w:rPr>
                <w:rFonts w:hint="eastAsia" w:hAnsi="宋体"/>
                <w:color w:val="auto"/>
                <w:lang w:eastAsia="zh-CN"/>
              </w:rPr>
              <w:t>，</w:t>
            </w:r>
            <w:r>
              <w:rPr>
                <w:rFonts w:hint="eastAsia" w:hAnsi="宋体"/>
                <w:color w:val="auto"/>
              </w:rPr>
              <w:t>大气污染物总量指标在二氧化硫（SO</w:t>
            </w:r>
            <w:r>
              <w:rPr>
                <w:rFonts w:hint="eastAsia" w:hAnsi="宋体"/>
                <w:color w:val="auto"/>
                <w:vertAlign w:val="subscript"/>
              </w:rPr>
              <w:t>2</w:t>
            </w:r>
            <w:r>
              <w:rPr>
                <w:rFonts w:hint="eastAsia" w:hAnsi="宋体"/>
                <w:color w:val="auto"/>
              </w:rPr>
              <w:t>）、氮氧化物（NOx）的基础上增加烟（粉）尘、挥发性有机物（VOCs）两项指标。</w:t>
            </w:r>
          </w:p>
          <w:p w14:paraId="567161CB">
            <w:pPr>
              <w:pStyle w:val="32"/>
              <w:adjustRightInd/>
              <w:spacing w:line="360" w:lineRule="auto"/>
              <w:ind w:firstLine="480" w:firstLineChars="200"/>
              <w:rPr>
                <w:rFonts w:hAnsi="宋体"/>
                <w:color w:val="auto"/>
                <w:highlight w:val="yellow"/>
              </w:rPr>
            </w:pPr>
            <w:r>
              <w:rPr>
                <w:rFonts w:hint="eastAsia" w:hAnsi="宋体"/>
                <w:color w:val="auto"/>
              </w:rPr>
              <w:t>本项目大气污染物颗粒物排放量为：</w:t>
            </w:r>
            <w:r>
              <w:rPr>
                <w:rFonts w:hint="eastAsia" w:hAnsi="宋体"/>
                <w:color w:val="auto"/>
                <w:lang w:val="en-US" w:eastAsia="zh-CN"/>
              </w:rPr>
              <w:t>0.2</w:t>
            </w:r>
            <w:r>
              <w:rPr>
                <w:rFonts w:hint="eastAsia" w:hAnsi="宋体"/>
                <w:color w:val="auto"/>
              </w:rPr>
              <w:t>8t</w:t>
            </w:r>
            <w:r>
              <w:rPr>
                <w:rFonts w:hAnsi="宋体"/>
                <w:color w:val="auto"/>
              </w:rPr>
              <w:t>/a</w:t>
            </w:r>
            <w:r>
              <w:rPr>
                <w:rFonts w:hint="eastAsia" w:hAnsi="宋体"/>
                <w:color w:val="auto"/>
              </w:rPr>
              <w:t>；VOCs排放量为：0.</w:t>
            </w:r>
            <w:r>
              <w:rPr>
                <w:rFonts w:hint="eastAsia" w:hAnsi="宋体"/>
                <w:color w:val="auto"/>
                <w:lang w:val="en-US" w:eastAsia="zh-CN"/>
              </w:rPr>
              <w:t>556</w:t>
            </w:r>
            <w:r>
              <w:rPr>
                <w:rFonts w:hint="eastAsia" w:hAnsi="宋体"/>
                <w:color w:val="auto"/>
              </w:rPr>
              <w:t>t/a。具体总量指标由生态环境主管部门核定。</w:t>
            </w:r>
          </w:p>
          <w:p w14:paraId="37C940D9">
            <w:pPr>
              <w:pStyle w:val="32"/>
              <w:adjustRightInd/>
              <w:spacing w:line="360" w:lineRule="auto"/>
              <w:ind w:firstLine="480" w:firstLineChars="200"/>
              <w:rPr>
                <w:rFonts w:hAnsi="宋体"/>
                <w:color w:val="auto"/>
              </w:rPr>
            </w:pPr>
            <w:r>
              <w:rPr>
                <w:rFonts w:hint="eastAsia" w:hAnsi="宋体"/>
                <w:color w:val="auto"/>
              </w:rPr>
              <w:t>废水：本项目</w:t>
            </w:r>
            <w:r>
              <w:rPr>
                <w:rFonts w:hAnsi="宋体"/>
                <w:color w:val="auto"/>
              </w:rPr>
              <w:t>生活污水经化粪池处理后满足</w:t>
            </w:r>
            <w:r>
              <w:rPr>
                <w:rFonts w:hint="eastAsia" w:hAnsi="宋体"/>
                <w:color w:val="auto"/>
              </w:rPr>
              <w:t>淮南经济技术开发区工业污水处理厂接管限值</w:t>
            </w:r>
            <w:r>
              <w:rPr>
                <w:rFonts w:hAnsi="宋体"/>
                <w:color w:val="auto"/>
              </w:rPr>
              <w:t>后排入市政污水管网，最终进入</w:t>
            </w:r>
            <w:r>
              <w:rPr>
                <w:rFonts w:hint="eastAsia" w:hAnsi="宋体"/>
                <w:color w:val="auto"/>
              </w:rPr>
              <w:t>淮南经济技术开发区工业污水处理厂处理。废水控制指标统一纳入淮南经济技术开发区工业污水处理厂管理，本项目不需要单独申请总量</w:t>
            </w:r>
            <w:r>
              <w:rPr>
                <w:rFonts w:hAnsi="宋体"/>
                <w:color w:val="auto"/>
              </w:rPr>
              <w:t>。</w:t>
            </w:r>
          </w:p>
          <w:p w14:paraId="44D7F956">
            <w:pPr>
              <w:pStyle w:val="32"/>
              <w:adjustRightInd/>
              <w:spacing w:line="360" w:lineRule="auto"/>
              <w:rPr>
                <w:rFonts w:hAnsi="宋体"/>
                <w:color w:val="FF0000"/>
              </w:rPr>
            </w:pPr>
          </w:p>
          <w:p w14:paraId="697B475E">
            <w:pPr>
              <w:pStyle w:val="32"/>
              <w:adjustRightInd/>
              <w:spacing w:line="360" w:lineRule="auto"/>
              <w:rPr>
                <w:rFonts w:hAnsi="宋体"/>
                <w:color w:val="FF0000"/>
              </w:rPr>
            </w:pPr>
          </w:p>
          <w:p w14:paraId="2F82DBB1">
            <w:pPr>
              <w:pStyle w:val="32"/>
              <w:adjustRightInd/>
              <w:spacing w:line="360" w:lineRule="auto"/>
              <w:rPr>
                <w:rFonts w:hAnsi="宋体"/>
                <w:color w:val="FF0000"/>
              </w:rPr>
            </w:pPr>
          </w:p>
          <w:p w14:paraId="1D56E488">
            <w:pPr>
              <w:pStyle w:val="32"/>
              <w:adjustRightInd/>
              <w:spacing w:line="360" w:lineRule="auto"/>
              <w:rPr>
                <w:rFonts w:hAnsi="宋体"/>
                <w:color w:val="FF0000"/>
              </w:rPr>
            </w:pPr>
          </w:p>
          <w:p w14:paraId="142CC2C6">
            <w:pPr>
              <w:pStyle w:val="32"/>
              <w:adjustRightInd/>
              <w:spacing w:line="360" w:lineRule="auto"/>
              <w:rPr>
                <w:rFonts w:hAnsi="宋体"/>
                <w:color w:val="FF0000"/>
              </w:rPr>
            </w:pPr>
          </w:p>
          <w:p w14:paraId="5A38B62F">
            <w:pPr>
              <w:pStyle w:val="32"/>
              <w:adjustRightInd/>
              <w:spacing w:line="360" w:lineRule="auto"/>
              <w:rPr>
                <w:rFonts w:hAnsi="宋体"/>
                <w:color w:val="FF0000"/>
              </w:rPr>
            </w:pPr>
          </w:p>
          <w:p w14:paraId="03321D86">
            <w:pPr>
              <w:pStyle w:val="32"/>
              <w:adjustRightInd/>
              <w:spacing w:line="360" w:lineRule="auto"/>
              <w:rPr>
                <w:rFonts w:hAnsi="宋体"/>
                <w:color w:val="FF0000"/>
              </w:rPr>
            </w:pPr>
          </w:p>
          <w:p w14:paraId="04737685">
            <w:pPr>
              <w:pStyle w:val="32"/>
              <w:adjustRightInd/>
              <w:spacing w:line="360" w:lineRule="auto"/>
              <w:rPr>
                <w:rFonts w:hAnsi="宋体"/>
                <w:color w:val="FF0000"/>
              </w:rPr>
            </w:pPr>
          </w:p>
          <w:p w14:paraId="2F233E7F">
            <w:pPr>
              <w:pStyle w:val="32"/>
              <w:adjustRightInd/>
              <w:spacing w:line="360" w:lineRule="auto"/>
              <w:rPr>
                <w:rFonts w:hAnsi="宋体"/>
                <w:color w:val="FF0000"/>
              </w:rPr>
            </w:pPr>
          </w:p>
          <w:p w14:paraId="729818B5">
            <w:pPr>
              <w:pStyle w:val="32"/>
              <w:adjustRightInd/>
              <w:spacing w:line="360" w:lineRule="auto"/>
              <w:rPr>
                <w:rFonts w:hAnsi="宋体"/>
                <w:color w:val="FF0000"/>
              </w:rPr>
            </w:pPr>
          </w:p>
          <w:p w14:paraId="71D1919E">
            <w:pPr>
              <w:pStyle w:val="32"/>
              <w:adjustRightInd/>
              <w:spacing w:line="360" w:lineRule="auto"/>
              <w:rPr>
                <w:rFonts w:hAnsi="宋体"/>
                <w:color w:val="FF0000"/>
              </w:rPr>
            </w:pPr>
          </w:p>
          <w:p w14:paraId="28935783">
            <w:pPr>
              <w:pStyle w:val="32"/>
              <w:adjustRightInd/>
              <w:spacing w:line="360" w:lineRule="auto"/>
              <w:rPr>
                <w:rFonts w:hAnsi="宋体"/>
                <w:color w:val="FF0000"/>
              </w:rPr>
            </w:pPr>
          </w:p>
          <w:p w14:paraId="76261945">
            <w:pPr>
              <w:pStyle w:val="32"/>
              <w:adjustRightInd/>
              <w:spacing w:line="360" w:lineRule="auto"/>
              <w:rPr>
                <w:rFonts w:hAnsi="宋体"/>
                <w:color w:val="FF0000"/>
              </w:rPr>
            </w:pPr>
          </w:p>
          <w:p w14:paraId="1C274638">
            <w:pPr>
              <w:pStyle w:val="32"/>
              <w:adjustRightInd/>
              <w:spacing w:line="360" w:lineRule="auto"/>
              <w:rPr>
                <w:rFonts w:hAnsi="宋体"/>
                <w:color w:val="FF0000"/>
              </w:rPr>
            </w:pPr>
          </w:p>
          <w:p w14:paraId="64AAF902">
            <w:pPr>
              <w:pStyle w:val="32"/>
              <w:adjustRightInd/>
              <w:spacing w:line="360" w:lineRule="auto"/>
              <w:rPr>
                <w:rFonts w:hAnsi="宋体"/>
                <w:color w:val="FF0000"/>
              </w:rPr>
            </w:pPr>
          </w:p>
          <w:p w14:paraId="5BE635F3">
            <w:pPr>
              <w:pStyle w:val="32"/>
              <w:adjustRightInd/>
              <w:spacing w:line="360" w:lineRule="auto"/>
              <w:rPr>
                <w:rFonts w:hAnsi="宋体"/>
                <w:color w:val="FF0000"/>
              </w:rPr>
            </w:pPr>
          </w:p>
          <w:p w14:paraId="6F9D2A20">
            <w:pPr>
              <w:pStyle w:val="32"/>
              <w:adjustRightInd/>
              <w:spacing w:line="360" w:lineRule="auto"/>
              <w:rPr>
                <w:rFonts w:hAnsi="宋体"/>
                <w:color w:val="FF0000"/>
              </w:rPr>
            </w:pPr>
          </w:p>
          <w:p w14:paraId="62D56122">
            <w:pPr>
              <w:pStyle w:val="32"/>
              <w:adjustRightInd/>
              <w:spacing w:line="360" w:lineRule="auto"/>
              <w:rPr>
                <w:rFonts w:hAnsi="宋体"/>
                <w:color w:val="FF0000"/>
              </w:rPr>
            </w:pPr>
          </w:p>
          <w:p w14:paraId="6E854857">
            <w:pPr>
              <w:pStyle w:val="32"/>
              <w:adjustRightInd/>
              <w:spacing w:line="360" w:lineRule="auto"/>
              <w:rPr>
                <w:rFonts w:hAnsi="宋体"/>
                <w:color w:val="FF0000"/>
              </w:rPr>
            </w:pPr>
          </w:p>
          <w:p w14:paraId="291F1784">
            <w:pPr>
              <w:pStyle w:val="32"/>
              <w:adjustRightInd/>
              <w:spacing w:line="360" w:lineRule="auto"/>
              <w:rPr>
                <w:rFonts w:hAnsi="宋体"/>
                <w:color w:val="FF0000"/>
              </w:rPr>
            </w:pPr>
          </w:p>
        </w:tc>
      </w:tr>
    </w:tbl>
    <w:p w14:paraId="1B0853FA">
      <w:pPr>
        <w:jc w:val="center"/>
        <w:rPr>
          <w:rFonts w:eastAsia="黑体"/>
          <w:sz w:val="30"/>
          <w:szCs w:val="30"/>
        </w:rPr>
      </w:pPr>
      <w:r>
        <w:rPr>
          <w:rFonts w:eastAsia="黑体"/>
          <w:sz w:val="30"/>
          <w:szCs w:val="30"/>
        </w:rPr>
        <w:t>四、主要环境影响和保护措施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985"/>
      </w:tblGrid>
      <w:tr w14:paraId="217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14:paraId="21BBEB28">
            <w:r>
              <w:t>施工期环境保护措施</w:t>
            </w:r>
          </w:p>
        </w:tc>
        <w:tc>
          <w:tcPr>
            <w:tcW w:w="7985" w:type="dxa"/>
          </w:tcPr>
          <w:p w14:paraId="6C0ECF26">
            <w:pPr>
              <w:spacing w:line="360" w:lineRule="auto"/>
              <w:ind w:firstLine="480" w:firstLineChars="200"/>
            </w:pPr>
            <w:r>
              <w:t>本项目</w:t>
            </w:r>
            <w:r>
              <w:rPr>
                <w:rFonts w:hint="eastAsia"/>
              </w:rPr>
              <w:t>租赁淮南经济技术开发区绿色智造产业园6#厂房</w:t>
            </w:r>
            <w:r>
              <w:t>，</w:t>
            </w:r>
            <w:r>
              <w:rPr>
                <w:rFonts w:hint="eastAsia"/>
              </w:rPr>
              <w:t>在闲置厂房内进行设备安装调试，产生的污染物较少。因此，本次评价仅对其进行简要定性分析和评价。</w:t>
            </w:r>
          </w:p>
          <w:p w14:paraId="06B2BD1B">
            <w:pPr>
              <w:spacing w:line="360" w:lineRule="auto"/>
              <w:ind w:firstLine="480" w:firstLineChars="200"/>
            </w:pPr>
          </w:p>
          <w:p w14:paraId="50547110">
            <w:pPr>
              <w:spacing w:line="360" w:lineRule="auto"/>
              <w:ind w:firstLine="480" w:firstLineChars="200"/>
            </w:pPr>
          </w:p>
          <w:p w14:paraId="50246B8B">
            <w:pPr>
              <w:spacing w:line="360" w:lineRule="auto"/>
              <w:ind w:firstLine="480" w:firstLineChars="200"/>
            </w:pPr>
          </w:p>
          <w:p w14:paraId="35BAD9B4">
            <w:pPr>
              <w:spacing w:line="360" w:lineRule="auto"/>
              <w:ind w:firstLine="400" w:firstLineChars="200"/>
              <w:rPr>
                <w:sz w:val="20"/>
              </w:rPr>
            </w:pPr>
          </w:p>
          <w:p w14:paraId="05D36871">
            <w:pPr>
              <w:pStyle w:val="7"/>
              <w:rPr>
                <w:sz w:val="20"/>
              </w:rPr>
            </w:pPr>
          </w:p>
          <w:p w14:paraId="6F773044">
            <w:pPr>
              <w:rPr>
                <w:sz w:val="20"/>
              </w:rPr>
            </w:pPr>
          </w:p>
          <w:p w14:paraId="4C4410F2">
            <w:pPr>
              <w:pStyle w:val="7"/>
              <w:rPr>
                <w:sz w:val="20"/>
              </w:rPr>
            </w:pPr>
          </w:p>
          <w:p w14:paraId="1D4E9997">
            <w:pPr>
              <w:rPr>
                <w:sz w:val="20"/>
              </w:rPr>
            </w:pPr>
          </w:p>
          <w:p w14:paraId="49FA0144">
            <w:pPr>
              <w:pStyle w:val="7"/>
              <w:rPr>
                <w:sz w:val="20"/>
              </w:rPr>
            </w:pPr>
          </w:p>
          <w:p w14:paraId="40BDFEB2">
            <w:pPr>
              <w:rPr>
                <w:sz w:val="20"/>
              </w:rPr>
            </w:pPr>
          </w:p>
          <w:p w14:paraId="465607C1">
            <w:pPr>
              <w:pStyle w:val="7"/>
              <w:rPr>
                <w:sz w:val="20"/>
              </w:rPr>
            </w:pPr>
          </w:p>
          <w:p w14:paraId="5D87FC81">
            <w:pPr>
              <w:rPr>
                <w:sz w:val="20"/>
              </w:rPr>
            </w:pPr>
          </w:p>
          <w:p w14:paraId="44B66FDC">
            <w:pPr>
              <w:pStyle w:val="7"/>
              <w:rPr>
                <w:sz w:val="20"/>
              </w:rPr>
            </w:pPr>
          </w:p>
          <w:p w14:paraId="288485CB">
            <w:pPr>
              <w:rPr>
                <w:sz w:val="20"/>
              </w:rPr>
            </w:pPr>
          </w:p>
          <w:p w14:paraId="28B6075A">
            <w:pPr>
              <w:pStyle w:val="7"/>
              <w:rPr>
                <w:sz w:val="20"/>
              </w:rPr>
            </w:pPr>
          </w:p>
          <w:p w14:paraId="163A5847">
            <w:pPr>
              <w:rPr>
                <w:sz w:val="20"/>
              </w:rPr>
            </w:pPr>
          </w:p>
          <w:p w14:paraId="1C78E349">
            <w:pPr>
              <w:pStyle w:val="7"/>
              <w:rPr>
                <w:sz w:val="20"/>
              </w:rPr>
            </w:pPr>
          </w:p>
          <w:p w14:paraId="2857F1B4">
            <w:pPr>
              <w:rPr>
                <w:sz w:val="20"/>
              </w:rPr>
            </w:pPr>
          </w:p>
          <w:p w14:paraId="7BAE6355">
            <w:pPr>
              <w:pStyle w:val="7"/>
              <w:rPr>
                <w:sz w:val="20"/>
              </w:rPr>
            </w:pPr>
          </w:p>
          <w:p w14:paraId="7E943569">
            <w:pPr>
              <w:rPr>
                <w:sz w:val="20"/>
              </w:rPr>
            </w:pPr>
          </w:p>
          <w:p w14:paraId="68A2C816">
            <w:pPr>
              <w:pStyle w:val="7"/>
              <w:rPr>
                <w:sz w:val="20"/>
              </w:rPr>
            </w:pPr>
          </w:p>
          <w:p w14:paraId="68171B3E">
            <w:pPr>
              <w:rPr>
                <w:sz w:val="20"/>
              </w:rPr>
            </w:pPr>
          </w:p>
          <w:p w14:paraId="37F375A1">
            <w:pPr>
              <w:pStyle w:val="7"/>
              <w:rPr>
                <w:sz w:val="20"/>
              </w:rPr>
            </w:pPr>
          </w:p>
          <w:p w14:paraId="3B20B083">
            <w:pPr>
              <w:rPr>
                <w:sz w:val="20"/>
              </w:rPr>
            </w:pPr>
          </w:p>
          <w:p w14:paraId="0CB3B511">
            <w:pPr>
              <w:pStyle w:val="7"/>
              <w:rPr>
                <w:sz w:val="20"/>
              </w:rPr>
            </w:pPr>
          </w:p>
          <w:p w14:paraId="304917D9">
            <w:pPr>
              <w:rPr>
                <w:sz w:val="20"/>
              </w:rPr>
            </w:pPr>
          </w:p>
          <w:p w14:paraId="1B08E068">
            <w:pPr>
              <w:pStyle w:val="7"/>
            </w:pPr>
          </w:p>
          <w:p w14:paraId="223024F1"/>
          <w:p w14:paraId="62147199">
            <w:pPr>
              <w:pStyle w:val="7"/>
            </w:pPr>
          </w:p>
        </w:tc>
      </w:tr>
      <w:tr w14:paraId="6A3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14:paraId="48FBC783">
            <w:pPr>
              <w:rPr>
                <w:color w:val="FF0000"/>
              </w:rPr>
            </w:pPr>
            <w:r>
              <w:t>运营期环境影响和保护措施</w:t>
            </w:r>
          </w:p>
        </w:tc>
        <w:tc>
          <w:tcPr>
            <w:tcW w:w="7985" w:type="dxa"/>
          </w:tcPr>
          <w:p w14:paraId="2A12E8CE">
            <w:pPr>
              <w:spacing w:line="360" w:lineRule="auto"/>
              <w:ind w:firstLine="482" w:firstLineChars="200"/>
              <w:rPr>
                <w:b/>
                <w:bCs/>
              </w:rPr>
            </w:pPr>
            <w:r>
              <w:rPr>
                <w:b/>
                <w:bCs/>
              </w:rPr>
              <w:t>一、</w:t>
            </w:r>
            <w:r>
              <w:rPr>
                <w:rFonts w:hint="eastAsia"/>
                <w:b/>
                <w:bCs/>
              </w:rPr>
              <w:t>运营期大气污染物环境影响和保护措施</w:t>
            </w:r>
          </w:p>
          <w:p w14:paraId="7E05C1F7">
            <w:pPr>
              <w:spacing w:line="360" w:lineRule="auto"/>
              <w:ind w:firstLine="482" w:firstLineChars="200"/>
            </w:pPr>
            <w:r>
              <w:rPr>
                <w:rFonts w:hint="eastAsia"/>
                <w:b/>
                <w:bCs/>
              </w:rPr>
              <w:t>1.运营期大气污染物环境影响分析</w:t>
            </w:r>
          </w:p>
          <w:p w14:paraId="7D4A3E25">
            <w:pPr>
              <w:pStyle w:val="7"/>
              <w:snapToGrid/>
              <w:spacing w:before="0" w:after="0" w:line="360" w:lineRule="auto"/>
              <w:ind w:firstLine="480" w:firstLineChars="200"/>
              <w:rPr>
                <w:rFonts w:hint="eastAsia"/>
                <w:sz w:val="24"/>
                <w:szCs w:val="24"/>
              </w:rPr>
            </w:pPr>
            <w:r>
              <w:rPr>
                <w:rFonts w:hint="eastAsia"/>
                <w:sz w:val="24"/>
                <w:szCs w:val="24"/>
              </w:rPr>
              <w:t>本项目运营期产生的废气主要有</w:t>
            </w:r>
            <w:bookmarkStart w:id="5" w:name="OLE_LINK12"/>
            <w:bookmarkStart w:id="6" w:name="OLE_LINK7"/>
            <w:r>
              <w:rPr>
                <w:rFonts w:hint="eastAsia"/>
                <w:sz w:val="24"/>
                <w:szCs w:val="24"/>
                <w:lang w:val="en-US" w:eastAsia="zh-CN"/>
              </w:rPr>
              <w:t>抛丸</w:t>
            </w:r>
            <w:r>
              <w:rPr>
                <w:rFonts w:hint="eastAsia"/>
                <w:sz w:val="24"/>
                <w:szCs w:val="24"/>
              </w:rPr>
              <w:t>粉尘（G</w:t>
            </w:r>
            <w:r>
              <w:rPr>
                <w:rFonts w:hint="eastAsia"/>
                <w:sz w:val="24"/>
                <w:szCs w:val="24"/>
                <w:vertAlign w:val="subscript"/>
              </w:rPr>
              <w:t>1</w:t>
            </w:r>
            <w:r>
              <w:rPr>
                <w:rFonts w:hint="eastAsia"/>
                <w:sz w:val="24"/>
                <w:szCs w:val="24"/>
                <w:vertAlign w:val="subscript"/>
                <w:lang w:val="en-US" w:eastAsia="zh-CN"/>
              </w:rPr>
              <w:t>-1</w:t>
            </w:r>
            <w:r>
              <w:rPr>
                <w:rFonts w:hint="eastAsia"/>
                <w:sz w:val="24"/>
                <w:szCs w:val="24"/>
              </w:rPr>
              <w:t>）</w:t>
            </w:r>
            <w:r>
              <w:rPr>
                <w:rFonts w:hint="eastAsia"/>
                <w:sz w:val="24"/>
                <w:szCs w:val="24"/>
                <w:lang w:val="en-US" w:eastAsia="zh-CN"/>
              </w:rPr>
              <w:t>、清洗废气（G</w:t>
            </w:r>
            <w:r>
              <w:rPr>
                <w:rFonts w:hint="eastAsia"/>
                <w:sz w:val="24"/>
                <w:szCs w:val="24"/>
                <w:vertAlign w:val="subscript"/>
                <w:lang w:val="en-US" w:eastAsia="zh-CN"/>
              </w:rPr>
              <w:t>1-2</w:t>
            </w:r>
            <w:r>
              <w:rPr>
                <w:rFonts w:hint="eastAsia"/>
                <w:sz w:val="24"/>
                <w:szCs w:val="24"/>
                <w:lang w:val="en-US" w:eastAsia="zh-CN"/>
              </w:rPr>
              <w:t>）、涂胶废气（G</w:t>
            </w:r>
            <w:r>
              <w:rPr>
                <w:rFonts w:hint="eastAsia"/>
                <w:sz w:val="24"/>
                <w:szCs w:val="24"/>
                <w:vertAlign w:val="subscript"/>
                <w:lang w:val="en-US" w:eastAsia="zh-CN"/>
              </w:rPr>
              <w:t>1-3</w:t>
            </w:r>
            <w:r>
              <w:rPr>
                <w:rFonts w:hint="eastAsia"/>
                <w:sz w:val="24"/>
                <w:szCs w:val="24"/>
                <w:lang w:val="en-US" w:eastAsia="zh-CN"/>
              </w:rPr>
              <w:t>）、硫化废气（G</w:t>
            </w:r>
            <w:r>
              <w:rPr>
                <w:rFonts w:hint="eastAsia"/>
                <w:sz w:val="24"/>
                <w:szCs w:val="24"/>
                <w:vertAlign w:val="subscript"/>
                <w:lang w:val="en-US" w:eastAsia="zh-CN"/>
              </w:rPr>
              <w:t>1-4</w:t>
            </w:r>
            <w:r>
              <w:rPr>
                <w:rFonts w:hint="eastAsia"/>
                <w:sz w:val="24"/>
                <w:szCs w:val="24"/>
                <w:lang w:val="en-US" w:eastAsia="zh-CN"/>
              </w:rPr>
              <w:t>）、切割粉尘（G</w:t>
            </w:r>
            <w:r>
              <w:rPr>
                <w:rFonts w:hint="eastAsia"/>
                <w:sz w:val="24"/>
                <w:szCs w:val="24"/>
                <w:vertAlign w:val="subscript"/>
                <w:lang w:val="en-US" w:eastAsia="zh-CN"/>
              </w:rPr>
              <w:t>2-1</w:t>
            </w:r>
            <w:r>
              <w:rPr>
                <w:rFonts w:hint="eastAsia"/>
                <w:sz w:val="24"/>
                <w:szCs w:val="24"/>
                <w:lang w:val="en-US" w:eastAsia="zh-CN"/>
              </w:rPr>
              <w:t>）、切割粉尘（G</w:t>
            </w:r>
            <w:r>
              <w:rPr>
                <w:rFonts w:hint="eastAsia"/>
                <w:sz w:val="24"/>
                <w:szCs w:val="24"/>
                <w:vertAlign w:val="subscript"/>
                <w:lang w:val="en-US" w:eastAsia="zh-CN"/>
              </w:rPr>
              <w:t>2-2</w:t>
            </w:r>
            <w:r>
              <w:rPr>
                <w:rFonts w:hint="eastAsia"/>
                <w:sz w:val="24"/>
                <w:szCs w:val="24"/>
                <w:lang w:val="en-US" w:eastAsia="zh-CN"/>
              </w:rPr>
              <w:t>）、焊接粉尘（G</w:t>
            </w:r>
            <w:r>
              <w:rPr>
                <w:rFonts w:hint="eastAsia"/>
                <w:sz w:val="24"/>
                <w:szCs w:val="24"/>
                <w:vertAlign w:val="subscript"/>
                <w:lang w:val="en-US" w:eastAsia="zh-CN"/>
              </w:rPr>
              <w:t>2-3</w:t>
            </w:r>
            <w:r>
              <w:rPr>
                <w:rFonts w:hint="eastAsia"/>
                <w:sz w:val="24"/>
                <w:szCs w:val="24"/>
                <w:lang w:val="en-US" w:eastAsia="zh-CN"/>
              </w:rPr>
              <w:t>）</w:t>
            </w:r>
            <w:r>
              <w:rPr>
                <w:sz w:val="24"/>
                <w:szCs w:val="24"/>
              </w:rPr>
              <w:t>。</w:t>
            </w:r>
            <w:bookmarkEnd w:id="5"/>
            <w:bookmarkEnd w:id="6"/>
            <w:r>
              <w:rPr>
                <w:rFonts w:hint="eastAsia"/>
                <w:sz w:val="24"/>
                <w:szCs w:val="24"/>
              </w:rPr>
              <w:t>本项目危废</w:t>
            </w:r>
            <w:r>
              <w:rPr>
                <w:rFonts w:hint="eastAsia"/>
                <w:sz w:val="24"/>
                <w:szCs w:val="24"/>
                <w:lang w:val="en-US" w:eastAsia="zh-CN"/>
              </w:rPr>
              <w:t>均</w:t>
            </w:r>
            <w:r>
              <w:rPr>
                <w:rFonts w:hint="eastAsia"/>
                <w:sz w:val="24"/>
                <w:szCs w:val="24"/>
              </w:rPr>
              <w:t>采用桶装封闭储存</w:t>
            </w:r>
            <w:r>
              <w:rPr>
                <w:rFonts w:hint="eastAsia"/>
                <w:sz w:val="24"/>
                <w:szCs w:val="24"/>
                <w:lang w:val="en-US" w:eastAsia="zh-CN"/>
              </w:rPr>
              <w:t>于危废暂存间</w:t>
            </w:r>
            <w:r>
              <w:rPr>
                <w:rFonts w:hint="eastAsia"/>
                <w:sz w:val="24"/>
                <w:szCs w:val="24"/>
              </w:rPr>
              <w:t>，正常情况下有机废气可忽略不计。</w:t>
            </w:r>
          </w:p>
          <w:p w14:paraId="019BEA3C">
            <w:pPr>
              <w:pStyle w:val="7"/>
              <w:snapToGrid/>
              <w:spacing w:before="0" w:after="0" w:line="360" w:lineRule="auto"/>
              <w:ind w:left="0" w:leftChars="0" w:right="0" w:rightChars="0" w:firstLine="0" w:firstLineChars="0"/>
              <w:jc w:val="center"/>
              <w:rPr>
                <w:sz w:val="24"/>
                <w:szCs w:val="24"/>
              </w:rPr>
            </w:pPr>
            <w:r>
              <w:rPr>
                <w:rFonts w:ascii="Times New Roman" w:hAnsi="Times New Roman" w:eastAsia="黑体" w:cs="Times New Roman"/>
                <w:sz w:val="24"/>
                <w:szCs w:val="24"/>
                <w:lang w:val="en-US" w:eastAsia="zh-CN" w:bidi="ar-SA"/>
              </w:rPr>
              <w:t>表4-</w:t>
            </w:r>
            <w:r>
              <w:rPr>
                <w:rFonts w:hint="eastAsia" w:eastAsia="黑体" w:cs="Times New Roman"/>
                <w:sz w:val="24"/>
                <w:szCs w:val="24"/>
                <w:lang w:val="en-US" w:eastAsia="zh-CN" w:bidi="ar-SA"/>
              </w:rPr>
              <w:t>1</w:t>
            </w:r>
            <w:r>
              <w:rPr>
                <w:rFonts w:ascii="Times New Roman" w:hAnsi="Times New Roman" w:eastAsia="黑体" w:cs="Times New Roman"/>
                <w:sz w:val="24"/>
                <w:szCs w:val="24"/>
                <w:lang w:val="en-US" w:eastAsia="zh-CN" w:bidi="ar-SA"/>
              </w:rPr>
              <w:t xml:space="preserve">  本项目废气产生、收集及处理方式一览表</w:t>
            </w:r>
          </w:p>
          <w:tbl>
            <w:tblPr>
              <w:tblStyle w:val="16"/>
              <w:tblW w:w="782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33"/>
              <w:gridCol w:w="1887"/>
              <w:gridCol w:w="813"/>
              <w:gridCol w:w="975"/>
              <w:gridCol w:w="1400"/>
              <w:gridCol w:w="914"/>
            </w:tblGrid>
            <w:tr w14:paraId="6CC6D1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655E1738">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废气</w:t>
                  </w:r>
                </w:p>
              </w:tc>
              <w:tc>
                <w:tcPr>
                  <w:tcW w:w="1887" w:type="dxa"/>
                  <w:noWrap w:val="0"/>
                  <w:vAlign w:val="center"/>
                </w:tcPr>
                <w:p w14:paraId="0E11F4DC">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主要污染物</w:t>
                  </w:r>
                </w:p>
              </w:tc>
              <w:tc>
                <w:tcPr>
                  <w:tcW w:w="813" w:type="dxa"/>
                  <w:noWrap w:val="0"/>
                  <w:vAlign w:val="center"/>
                </w:tcPr>
                <w:p w14:paraId="41BD972E">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收集方式</w:t>
                  </w:r>
                </w:p>
              </w:tc>
              <w:tc>
                <w:tcPr>
                  <w:tcW w:w="975" w:type="dxa"/>
                  <w:noWrap w:val="0"/>
                  <w:vAlign w:val="center"/>
                </w:tcPr>
                <w:p w14:paraId="79B5AA9D">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收集效率（%）</w:t>
                  </w:r>
                </w:p>
              </w:tc>
              <w:tc>
                <w:tcPr>
                  <w:tcW w:w="1400" w:type="dxa"/>
                  <w:noWrap w:val="0"/>
                  <w:vAlign w:val="center"/>
                </w:tcPr>
                <w:p w14:paraId="1AB4FE0F">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处理方式</w:t>
                  </w:r>
                </w:p>
              </w:tc>
              <w:tc>
                <w:tcPr>
                  <w:tcW w:w="914" w:type="dxa"/>
                  <w:noWrap w:val="0"/>
                  <w:vAlign w:val="center"/>
                </w:tcPr>
                <w:p w14:paraId="5E0BB87B">
                  <w:pPr>
                    <w:spacing w:line="276" w:lineRule="auto"/>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排气筒</w:t>
                  </w:r>
                </w:p>
              </w:tc>
            </w:tr>
            <w:tr w14:paraId="2665B5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5740B2EE">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抛丸</w:t>
                  </w:r>
                  <w:r>
                    <w:rPr>
                      <w:rFonts w:hint="eastAsia" w:ascii="Times New Roman" w:hAnsi="Times New Roman" w:eastAsia="宋体" w:cs="Times New Roman"/>
                      <w:b w:val="0"/>
                      <w:bCs/>
                      <w:sz w:val="21"/>
                      <w:szCs w:val="21"/>
                    </w:rPr>
                    <w:t>粉尘（G</w:t>
                  </w:r>
                  <w:r>
                    <w:rPr>
                      <w:rFonts w:hint="eastAsia" w:ascii="Times New Roman" w:hAnsi="Times New Roman" w:eastAsia="宋体" w:cs="Times New Roman"/>
                      <w:b w:val="0"/>
                      <w:bCs/>
                      <w:sz w:val="21"/>
                      <w:szCs w:val="21"/>
                      <w:vertAlign w:val="subscript"/>
                    </w:rPr>
                    <w:t>1</w:t>
                  </w:r>
                  <w:r>
                    <w:rPr>
                      <w:rFonts w:hint="eastAsia" w:ascii="Times New Roman" w:hAnsi="Times New Roman" w:eastAsia="宋体" w:cs="Times New Roman"/>
                      <w:b w:val="0"/>
                      <w:bCs/>
                      <w:sz w:val="21"/>
                      <w:szCs w:val="21"/>
                      <w:vertAlign w:val="subscript"/>
                      <w:lang w:val="en-US" w:eastAsia="zh-CN"/>
                    </w:rPr>
                    <w:t>-1</w:t>
                  </w:r>
                  <w:r>
                    <w:rPr>
                      <w:rFonts w:hint="eastAsia" w:ascii="Times New Roman" w:hAnsi="Times New Roman" w:eastAsia="宋体" w:cs="Times New Roman"/>
                      <w:b w:val="0"/>
                      <w:bCs/>
                      <w:sz w:val="21"/>
                      <w:szCs w:val="21"/>
                    </w:rPr>
                    <w:t>）</w:t>
                  </w:r>
                </w:p>
              </w:tc>
              <w:tc>
                <w:tcPr>
                  <w:tcW w:w="1887" w:type="dxa"/>
                  <w:noWrap w:val="0"/>
                  <w:vAlign w:val="center"/>
                </w:tcPr>
                <w:p w14:paraId="14C0FC06">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颗粒物</w:t>
                  </w:r>
                </w:p>
              </w:tc>
              <w:tc>
                <w:tcPr>
                  <w:tcW w:w="813" w:type="dxa"/>
                  <w:tcBorders>
                    <w:bottom w:val="single" w:color="auto" w:sz="4" w:space="0"/>
                  </w:tcBorders>
                  <w:noWrap w:val="0"/>
                  <w:vAlign w:val="center"/>
                </w:tcPr>
                <w:p w14:paraId="1945DADC">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密闭收集</w:t>
                  </w:r>
                </w:p>
              </w:tc>
              <w:tc>
                <w:tcPr>
                  <w:tcW w:w="975" w:type="dxa"/>
                  <w:noWrap w:val="0"/>
                  <w:vAlign w:val="center"/>
                </w:tcPr>
                <w:p w14:paraId="50D9AB92">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99</w:t>
                  </w:r>
                </w:p>
              </w:tc>
              <w:tc>
                <w:tcPr>
                  <w:tcW w:w="1400" w:type="dxa"/>
                  <w:noWrap w:val="0"/>
                  <w:vAlign w:val="center"/>
                </w:tcPr>
                <w:p w14:paraId="30CBC94B">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袋式除尘器（TA001）</w:t>
                  </w:r>
                </w:p>
              </w:tc>
              <w:tc>
                <w:tcPr>
                  <w:tcW w:w="914" w:type="dxa"/>
                  <w:noWrap w:val="0"/>
                  <w:vAlign w:val="center"/>
                </w:tcPr>
                <w:p w14:paraId="73ACA0A9">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DA001</w:t>
                  </w:r>
                </w:p>
              </w:tc>
            </w:tr>
            <w:tr w14:paraId="51E174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78BCB690">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清洗废气（G</w:t>
                  </w:r>
                  <w:r>
                    <w:rPr>
                      <w:rFonts w:hint="eastAsia" w:ascii="Times New Roman" w:hAnsi="Times New Roman" w:eastAsia="宋体" w:cs="Times New Roman"/>
                      <w:b w:val="0"/>
                      <w:bCs/>
                      <w:sz w:val="21"/>
                      <w:szCs w:val="21"/>
                      <w:vertAlign w:val="subscript"/>
                      <w:lang w:val="en-US" w:eastAsia="zh-CN"/>
                    </w:rPr>
                    <w:t>1-2</w:t>
                  </w:r>
                  <w:r>
                    <w:rPr>
                      <w:rFonts w:hint="eastAsia" w:ascii="Times New Roman" w:hAnsi="Times New Roman" w:eastAsia="宋体" w:cs="Times New Roman"/>
                      <w:b w:val="0"/>
                      <w:bCs/>
                      <w:sz w:val="21"/>
                      <w:szCs w:val="21"/>
                      <w:lang w:val="en-US" w:eastAsia="zh-CN"/>
                    </w:rPr>
                    <w:t>）</w:t>
                  </w:r>
                </w:p>
              </w:tc>
              <w:tc>
                <w:tcPr>
                  <w:tcW w:w="1887" w:type="dxa"/>
                  <w:noWrap w:val="0"/>
                  <w:vAlign w:val="center"/>
                </w:tcPr>
                <w:p w14:paraId="1C5EC8B8">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非甲烷总烃</w:t>
                  </w:r>
                </w:p>
              </w:tc>
              <w:tc>
                <w:tcPr>
                  <w:tcW w:w="813" w:type="dxa"/>
                  <w:vMerge w:val="restart"/>
                  <w:noWrap w:val="0"/>
                  <w:vAlign w:val="center"/>
                </w:tcPr>
                <w:p w14:paraId="05F57CE0">
                  <w:pPr>
                    <w:spacing w:line="276" w:lineRule="auto"/>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集气罩收集</w:t>
                  </w:r>
                </w:p>
              </w:tc>
              <w:tc>
                <w:tcPr>
                  <w:tcW w:w="975" w:type="dxa"/>
                  <w:vMerge w:val="restart"/>
                  <w:noWrap w:val="0"/>
                  <w:vAlign w:val="center"/>
                </w:tcPr>
                <w:p w14:paraId="2E6A150A">
                  <w:pPr>
                    <w:spacing w:line="276" w:lineRule="auto"/>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90</w:t>
                  </w:r>
                </w:p>
              </w:tc>
              <w:tc>
                <w:tcPr>
                  <w:tcW w:w="1400" w:type="dxa"/>
                  <w:vMerge w:val="restart"/>
                  <w:noWrap w:val="0"/>
                  <w:vAlign w:val="center"/>
                </w:tcPr>
                <w:p w14:paraId="08A9920E">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两级活性炭吸附装置（TA002）</w:t>
                  </w:r>
                </w:p>
              </w:tc>
              <w:tc>
                <w:tcPr>
                  <w:tcW w:w="914" w:type="dxa"/>
                  <w:vMerge w:val="restart"/>
                  <w:noWrap w:val="0"/>
                  <w:vAlign w:val="center"/>
                </w:tcPr>
                <w:p w14:paraId="078F931C">
                  <w:pPr>
                    <w:spacing w:line="276" w:lineRule="auto"/>
                    <w:jc w:val="center"/>
                    <w:rPr>
                      <w:rFonts w:hint="eastAsia" w:ascii="Times New Roman" w:hAnsi="Times New Roman" w:eastAsia="宋体" w:cs="Times New Roman"/>
                      <w:b w:val="0"/>
                      <w:bCs/>
                      <w:sz w:val="21"/>
                      <w:szCs w:val="21"/>
                      <w:lang w:val="en-US" w:eastAsia="zh-CN"/>
                    </w:rPr>
                  </w:pPr>
                  <w:r>
                    <w:rPr>
                      <w:rFonts w:ascii="Times New Roman" w:hAnsi="Times New Roman" w:eastAsia="宋体" w:cs="Times New Roman"/>
                      <w:b w:val="0"/>
                      <w:bCs/>
                      <w:sz w:val="21"/>
                      <w:szCs w:val="21"/>
                    </w:rPr>
                    <w:t>DA00</w:t>
                  </w:r>
                  <w:r>
                    <w:rPr>
                      <w:rFonts w:hint="eastAsia" w:ascii="Times New Roman" w:hAnsi="Times New Roman" w:eastAsia="宋体" w:cs="Times New Roman"/>
                      <w:b w:val="0"/>
                      <w:bCs/>
                      <w:sz w:val="21"/>
                      <w:szCs w:val="21"/>
                      <w:lang w:val="en-US" w:eastAsia="zh-CN"/>
                    </w:rPr>
                    <w:t>2</w:t>
                  </w:r>
                </w:p>
              </w:tc>
            </w:tr>
            <w:tr w14:paraId="04C10E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5C74A053">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涂胶废气（G</w:t>
                  </w:r>
                  <w:r>
                    <w:rPr>
                      <w:rFonts w:hint="eastAsia" w:ascii="Times New Roman" w:hAnsi="Times New Roman" w:eastAsia="宋体" w:cs="Times New Roman"/>
                      <w:b w:val="0"/>
                      <w:bCs/>
                      <w:sz w:val="21"/>
                      <w:szCs w:val="21"/>
                      <w:vertAlign w:val="subscript"/>
                      <w:lang w:val="en-US" w:eastAsia="zh-CN"/>
                    </w:rPr>
                    <w:t>1-3</w:t>
                  </w:r>
                  <w:r>
                    <w:rPr>
                      <w:rFonts w:hint="eastAsia" w:ascii="Times New Roman" w:hAnsi="Times New Roman" w:eastAsia="宋体" w:cs="Times New Roman"/>
                      <w:b w:val="0"/>
                      <w:bCs/>
                      <w:sz w:val="21"/>
                      <w:szCs w:val="21"/>
                      <w:lang w:val="en-US" w:eastAsia="zh-CN"/>
                    </w:rPr>
                    <w:t>）</w:t>
                  </w:r>
                </w:p>
              </w:tc>
              <w:tc>
                <w:tcPr>
                  <w:tcW w:w="1887" w:type="dxa"/>
                  <w:noWrap w:val="0"/>
                  <w:vAlign w:val="center"/>
                </w:tcPr>
                <w:p w14:paraId="0040D45F">
                  <w:pPr>
                    <w:spacing w:line="276" w:lineRule="auto"/>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甲苯、二甲苯、乙苯、四氯乙烯、非甲烷总烃</w:t>
                  </w:r>
                </w:p>
              </w:tc>
              <w:tc>
                <w:tcPr>
                  <w:tcW w:w="813" w:type="dxa"/>
                  <w:vMerge w:val="continue"/>
                  <w:noWrap w:val="0"/>
                  <w:vAlign w:val="center"/>
                </w:tcPr>
                <w:p w14:paraId="28FDB5FD">
                  <w:pPr>
                    <w:spacing w:line="276" w:lineRule="auto"/>
                    <w:jc w:val="center"/>
                    <w:rPr>
                      <w:rFonts w:ascii="Times New Roman" w:hAnsi="Times New Roman" w:eastAsia="宋体" w:cs="Times New Roman"/>
                      <w:b w:val="0"/>
                      <w:bCs/>
                      <w:sz w:val="21"/>
                      <w:szCs w:val="21"/>
                    </w:rPr>
                  </w:pPr>
                </w:p>
              </w:tc>
              <w:tc>
                <w:tcPr>
                  <w:tcW w:w="975" w:type="dxa"/>
                  <w:vMerge w:val="continue"/>
                  <w:noWrap w:val="0"/>
                  <w:vAlign w:val="center"/>
                </w:tcPr>
                <w:p w14:paraId="418D6A28">
                  <w:pPr>
                    <w:spacing w:line="276" w:lineRule="auto"/>
                    <w:jc w:val="center"/>
                    <w:rPr>
                      <w:rFonts w:hint="eastAsia" w:ascii="Times New Roman" w:hAnsi="Times New Roman" w:eastAsia="宋体" w:cs="Times New Roman"/>
                      <w:b w:val="0"/>
                      <w:bCs/>
                      <w:sz w:val="21"/>
                      <w:szCs w:val="21"/>
                    </w:rPr>
                  </w:pPr>
                </w:p>
              </w:tc>
              <w:tc>
                <w:tcPr>
                  <w:tcW w:w="1400" w:type="dxa"/>
                  <w:vMerge w:val="continue"/>
                  <w:noWrap w:val="0"/>
                  <w:vAlign w:val="center"/>
                </w:tcPr>
                <w:p w14:paraId="355D1A5B">
                  <w:pPr>
                    <w:spacing w:line="276" w:lineRule="auto"/>
                    <w:jc w:val="center"/>
                    <w:rPr>
                      <w:rFonts w:hint="eastAsia" w:ascii="Times New Roman" w:hAnsi="Times New Roman" w:eastAsia="宋体" w:cs="Times New Roman"/>
                      <w:b w:val="0"/>
                      <w:bCs/>
                      <w:sz w:val="21"/>
                      <w:szCs w:val="21"/>
                      <w:lang w:val="en-US" w:eastAsia="zh-CN"/>
                    </w:rPr>
                  </w:pPr>
                </w:p>
              </w:tc>
              <w:tc>
                <w:tcPr>
                  <w:tcW w:w="914" w:type="dxa"/>
                  <w:vMerge w:val="continue"/>
                  <w:noWrap w:val="0"/>
                  <w:vAlign w:val="center"/>
                </w:tcPr>
                <w:p w14:paraId="1705D46B">
                  <w:pPr>
                    <w:spacing w:line="276" w:lineRule="auto"/>
                    <w:jc w:val="center"/>
                    <w:rPr>
                      <w:rFonts w:ascii="Times New Roman" w:hAnsi="Times New Roman" w:eastAsia="宋体" w:cs="Times New Roman"/>
                      <w:b w:val="0"/>
                      <w:bCs/>
                      <w:sz w:val="21"/>
                      <w:szCs w:val="21"/>
                    </w:rPr>
                  </w:pPr>
                </w:p>
              </w:tc>
            </w:tr>
            <w:tr w14:paraId="52FEC6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47E37B29">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硫化废气（G</w:t>
                  </w:r>
                  <w:r>
                    <w:rPr>
                      <w:rFonts w:hint="eastAsia" w:ascii="Times New Roman" w:hAnsi="Times New Roman" w:eastAsia="宋体" w:cs="Times New Roman"/>
                      <w:b w:val="0"/>
                      <w:bCs/>
                      <w:sz w:val="21"/>
                      <w:szCs w:val="21"/>
                      <w:vertAlign w:val="subscript"/>
                      <w:lang w:val="en-US" w:eastAsia="zh-CN"/>
                    </w:rPr>
                    <w:t>1-4</w:t>
                  </w:r>
                  <w:r>
                    <w:rPr>
                      <w:rFonts w:hint="eastAsia" w:ascii="Times New Roman" w:hAnsi="Times New Roman" w:eastAsia="宋体" w:cs="Times New Roman"/>
                      <w:b w:val="0"/>
                      <w:bCs/>
                      <w:sz w:val="21"/>
                      <w:szCs w:val="21"/>
                      <w:lang w:val="en-US" w:eastAsia="zh-CN"/>
                    </w:rPr>
                    <w:t>）</w:t>
                  </w:r>
                </w:p>
              </w:tc>
              <w:tc>
                <w:tcPr>
                  <w:tcW w:w="1887" w:type="dxa"/>
                  <w:noWrap w:val="0"/>
                  <w:vAlign w:val="center"/>
                </w:tcPr>
                <w:p w14:paraId="7DE20D03">
                  <w:pPr>
                    <w:spacing w:line="276" w:lineRule="auto"/>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非甲烷总烃、硫化氢、臭气浓度</w:t>
                  </w:r>
                </w:p>
              </w:tc>
              <w:tc>
                <w:tcPr>
                  <w:tcW w:w="813" w:type="dxa"/>
                  <w:vMerge w:val="continue"/>
                  <w:noWrap w:val="0"/>
                  <w:vAlign w:val="center"/>
                </w:tcPr>
                <w:p w14:paraId="72C66E44">
                  <w:pPr>
                    <w:spacing w:line="276" w:lineRule="auto"/>
                    <w:jc w:val="center"/>
                    <w:rPr>
                      <w:rFonts w:ascii="Times New Roman" w:hAnsi="Times New Roman" w:eastAsia="宋体" w:cs="Times New Roman"/>
                      <w:b w:val="0"/>
                      <w:bCs/>
                      <w:sz w:val="21"/>
                      <w:szCs w:val="21"/>
                    </w:rPr>
                  </w:pPr>
                </w:p>
              </w:tc>
              <w:tc>
                <w:tcPr>
                  <w:tcW w:w="975" w:type="dxa"/>
                  <w:vMerge w:val="continue"/>
                  <w:noWrap w:val="0"/>
                  <w:vAlign w:val="center"/>
                </w:tcPr>
                <w:p w14:paraId="479995BC">
                  <w:pPr>
                    <w:spacing w:line="276" w:lineRule="auto"/>
                    <w:jc w:val="center"/>
                    <w:rPr>
                      <w:rFonts w:hint="eastAsia" w:ascii="Times New Roman" w:hAnsi="Times New Roman" w:eastAsia="宋体" w:cs="Times New Roman"/>
                      <w:b w:val="0"/>
                      <w:bCs/>
                      <w:sz w:val="21"/>
                      <w:szCs w:val="21"/>
                    </w:rPr>
                  </w:pPr>
                </w:p>
              </w:tc>
              <w:tc>
                <w:tcPr>
                  <w:tcW w:w="1400" w:type="dxa"/>
                  <w:vMerge w:val="continue"/>
                  <w:noWrap w:val="0"/>
                  <w:vAlign w:val="center"/>
                </w:tcPr>
                <w:p w14:paraId="1ED5B9F2">
                  <w:pPr>
                    <w:spacing w:line="276" w:lineRule="auto"/>
                    <w:jc w:val="center"/>
                    <w:rPr>
                      <w:rFonts w:hint="eastAsia" w:ascii="Times New Roman" w:hAnsi="Times New Roman" w:eastAsia="宋体" w:cs="Times New Roman"/>
                      <w:b w:val="0"/>
                      <w:bCs/>
                      <w:sz w:val="21"/>
                      <w:szCs w:val="21"/>
                      <w:lang w:val="en-US" w:eastAsia="zh-CN"/>
                    </w:rPr>
                  </w:pPr>
                </w:p>
              </w:tc>
              <w:tc>
                <w:tcPr>
                  <w:tcW w:w="914" w:type="dxa"/>
                  <w:vMerge w:val="continue"/>
                  <w:noWrap w:val="0"/>
                  <w:vAlign w:val="center"/>
                </w:tcPr>
                <w:p w14:paraId="081778E5">
                  <w:pPr>
                    <w:spacing w:line="276" w:lineRule="auto"/>
                    <w:jc w:val="center"/>
                    <w:rPr>
                      <w:rFonts w:ascii="Times New Roman" w:hAnsi="Times New Roman" w:eastAsia="宋体" w:cs="Times New Roman"/>
                      <w:b w:val="0"/>
                      <w:bCs/>
                      <w:sz w:val="21"/>
                      <w:szCs w:val="21"/>
                    </w:rPr>
                  </w:pPr>
                </w:p>
              </w:tc>
            </w:tr>
            <w:tr w14:paraId="7CD277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05D5AA38">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切割粉尘（G2</w:t>
                  </w:r>
                  <w:r>
                    <w:rPr>
                      <w:rFonts w:hint="eastAsia" w:ascii="Times New Roman" w:hAnsi="Times New Roman" w:eastAsia="宋体" w:cs="Times New Roman"/>
                      <w:b w:val="0"/>
                      <w:bCs/>
                      <w:sz w:val="21"/>
                      <w:szCs w:val="21"/>
                      <w:vertAlign w:val="subscript"/>
                      <w:lang w:val="en-US" w:eastAsia="zh-CN"/>
                    </w:rPr>
                    <w:t>-1</w:t>
                  </w:r>
                  <w:r>
                    <w:rPr>
                      <w:rFonts w:hint="eastAsia" w:ascii="Times New Roman" w:hAnsi="Times New Roman" w:eastAsia="宋体" w:cs="Times New Roman"/>
                      <w:b w:val="0"/>
                      <w:bCs/>
                      <w:sz w:val="21"/>
                      <w:szCs w:val="21"/>
                      <w:lang w:val="en-US" w:eastAsia="zh-CN"/>
                    </w:rPr>
                    <w:t>）</w:t>
                  </w:r>
                </w:p>
              </w:tc>
              <w:tc>
                <w:tcPr>
                  <w:tcW w:w="1887" w:type="dxa"/>
                  <w:vMerge w:val="restart"/>
                  <w:noWrap w:val="0"/>
                  <w:vAlign w:val="center"/>
                </w:tcPr>
                <w:p w14:paraId="79684FFF">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颗粒物</w:t>
                  </w:r>
                </w:p>
              </w:tc>
              <w:tc>
                <w:tcPr>
                  <w:tcW w:w="813" w:type="dxa"/>
                  <w:vMerge w:val="continue"/>
                  <w:noWrap w:val="0"/>
                  <w:vAlign w:val="center"/>
                </w:tcPr>
                <w:p w14:paraId="30639A14">
                  <w:pPr>
                    <w:spacing w:line="276" w:lineRule="auto"/>
                    <w:jc w:val="center"/>
                    <w:rPr>
                      <w:rFonts w:ascii="Times New Roman" w:hAnsi="Times New Roman" w:eastAsia="宋体" w:cs="Times New Roman"/>
                      <w:b w:val="0"/>
                      <w:bCs/>
                      <w:sz w:val="21"/>
                      <w:szCs w:val="21"/>
                    </w:rPr>
                  </w:pPr>
                </w:p>
              </w:tc>
              <w:tc>
                <w:tcPr>
                  <w:tcW w:w="975" w:type="dxa"/>
                  <w:vMerge w:val="continue"/>
                  <w:noWrap w:val="0"/>
                  <w:vAlign w:val="center"/>
                </w:tcPr>
                <w:p w14:paraId="07E72B35">
                  <w:pPr>
                    <w:spacing w:line="276" w:lineRule="auto"/>
                    <w:jc w:val="center"/>
                    <w:rPr>
                      <w:rFonts w:hint="eastAsia" w:ascii="Times New Roman" w:hAnsi="Times New Roman" w:eastAsia="宋体" w:cs="Times New Roman"/>
                      <w:b w:val="0"/>
                      <w:bCs/>
                      <w:sz w:val="21"/>
                      <w:szCs w:val="21"/>
                    </w:rPr>
                  </w:pPr>
                </w:p>
              </w:tc>
              <w:tc>
                <w:tcPr>
                  <w:tcW w:w="1400" w:type="dxa"/>
                  <w:vMerge w:val="restart"/>
                  <w:noWrap w:val="0"/>
                  <w:vAlign w:val="center"/>
                </w:tcPr>
                <w:p w14:paraId="0837BF30">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袋式除尘器（TA001）</w:t>
                  </w:r>
                </w:p>
              </w:tc>
              <w:tc>
                <w:tcPr>
                  <w:tcW w:w="914" w:type="dxa"/>
                  <w:vMerge w:val="restart"/>
                  <w:noWrap w:val="0"/>
                  <w:vAlign w:val="center"/>
                </w:tcPr>
                <w:p w14:paraId="41E9F265">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DA001</w:t>
                  </w:r>
                </w:p>
              </w:tc>
            </w:tr>
            <w:tr w14:paraId="3AFEEA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367A0586">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切割粉尘（G</w:t>
                  </w:r>
                  <w:r>
                    <w:rPr>
                      <w:rFonts w:hint="eastAsia" w:ascii="Times New Roman" w:hAnsi="Times New Roman" w:eastAsia="宋体" w:cs="Times New Roman"/>
                      <w:b w:val="0"/>
                      <w:bCs/>
                      <w:sz w:val="21"/>
                      <w:szCs w:val="21"/>
                      <w:vertAlign w:val="subscript"/>
                      <w:lang w:val="en-US" w:eastAsia="zh-CN"/>
                    </w:rPr>
                    <w:t>2-2</w:t>
                  </w:r>
                  <w:r>
                    <w:rPr>
                      <w:rFonts w:hint="eastAsia" w:ascii="Times New Roman" w:hAnsi="Times New Roman" w:eastAsia="宋体" w:cs="Times New Roman"/>
                      <w:b w:val="0"/>
                      <w:bCs/>
                      <w:sz w:val="21"/>
                      <w:szCs w:val="21"/>
                      <w:lang w:val="en-US" w:eastAsia="zh-CN"/>
                    </w:rPr>
                    <w:t>）</w:t>
                  </w:r>
                </w:p>
              </w:tc>
              <w:tc>
                <w:tcPr>
                  <w:tcW w:w="1887" w:type="dxa"/>
                  <w:vMerge w:val="continue"/>
                  <w:noWrap w:val="0"/>
                  <w:vAlign w:val="center"/>
                </w:tcPr>
                <w:p w14:paraId="25A4EFB2">
                  <w:pPr>
                    <w:spacing w:line="276" w:lineRule="auto"/>
                    <w:jc w:val="center"/>
                    <w:rPr>
                      <w:rFonts w:ascii="Times New Roman" w:hAnsi="Times New Roman" w:eastAsia="宋体" w:cs="Times New Roman"/>
                      <w:b w:val="0"/>
                      <w:bCs/>
                      <w:sz w:val="21"/>
                      <w:szCs w:val="21"/>
                    </w:rPr>
                  </w:pPr>
                </w:p>
              </w:tc>
              <w:tc>
                <w:tcPr>
                  <w:tcW w:w="813" w:type="dxa"/>
                  <w:vMerge w:val="continue"/>
                  <w:noWrap w:val="0"/>
                  <w:vAlign w:val="center"/>
                </w:tcPr>
                <w:p w14:paraId="09EC2BC5">
                  <w:pPr>
                    <w:spacing w:line="276" w:lineRule="auto"/>
                    <w:jc w:val="center"/>
                    <w:rPr>
                      <w:rFonts w:ascii="Times New Roman" w:hAnsi="Times New Roman" w:eastAsia="宋体" w:cs="Times New Roman"/>
                      <w:b w:val="0"/>
                      <w:bCs/>
                      <w:sz w:val="21"/>
                      <w:szCs w:val="21"/>
                    </w:rPr>
                  </w:pPr>
                </w:p>
              </w:tc>
              <w:tc>
                <w:tcPr>
                  <w:tcW w:w="975" w:type="dxa"/>
                  <w:vMerge w:val="continue"/>
                  <w:noWrap w:val="0"/>
                  <w:vAlign w:val="center"/>
                </w:tcPr>
                <w:p w14:paraId="45CA616F">
                  <w:pPr>
                    <w:spacing w:line="276" w:lineRule="auto"/>
                    <w:jc w:val="center"/>
                    <w:rPr>
                      <w:rFonts w:hint="eastAsia" w:ascii="Times New Roman" w:hAnsi="Times New Roman" w:eastAsia="宋体" w:cs="Times New Roman"/>
                      <w:b w:val="0"/>
                      <w:bCs/>
                      <w:sz w:val="21"/>
                      <w:szCs w:val="21"/>
                    </w:rPr>
                  </w:pPr>
                </w:p>
              </w:tc>
              <w:tc>
                <w:tcPr>
                  <w:tcW w:w="1400" w:type="dxa"/>
                  <w:vMerge w:val="continue"/>
                  <w:noWrap w:val="0"/>
                  <w:vAlign w:val="center"/>
                </w:tcPr>
                <w:p w14:paraId="44CF2276">
                  <w:pPr>
                    <w:spacing w:line="276" w:lineRule="auto"/>
                    <w:jc w:val="center"/>
                    <w:rPr>
                      <w:rFonts w:hint="eastAsia" w:ascii="Times New Roman" w:hAnsi="Times New Roman" w:eastAsia="宋体" w:cs="Times New Roman"/>
                      <w:b w:val="0"/>
                      <w:bCs/>
                      <w:sz w:val="21"/>
                      <w:szCs w:val="21"/>
                      <w:lang w:val="en-US" w:eastAsia="zh-CN"/>
                    </w:rPr>
                  </w:pPr>
                </w:p>
              </w:tc>
              <w:tc>
                <w:tcPr>
                  <w:tcW w:w="914" w:type="dxa"/>
                  <w:vMerge w:val="continue"/>
                  <w:noWrap w:val="0"/>
                  <w:vAlign w:val="center"/>
                </w:tcPr>
                <w:p w14:paraId="2880EF91">
                  <w:pPr>
                    <w:spacing w:line="276" w:lineRule="auto"/>
                    <w:jc w:val="center"/>
                    <w:rPr>
                      <w:rFonts w:ascii="Times New Roman" w:hAnsi="Times New Roman" w:eastAsia="宋体" w:cs="Times New Roman"/>
                      <w:b w:val="0"/>
                      <w:bCs/>
                      <w:sz w:val="21"/>
                      <w:szCs w:val="21"/>
                    </w:rPr>
                  </w:pPr>
                </w:p>
              </w:tc>
            </w:tr>
            <w:tr w14:paraId="7D746F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25A151C0">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焊接粉尘（G</w:t>
                  </w:r>
                  <w:r>
                    <w:rPr>
                      <w:rFonts w:hint="eastAsia" w:ascii="Times New Roman" w:hAnsi="Times New Roman" w:eastAsia="宋体" w:cs="Times New Roman"/>
                      <w:b w:val="0"/>
                      <w:bCs/>
                      <w:sz w:val="21"/>
                      <w:szCs w:val="21"/>
                      <w:vertAlign w:val="subscript"/>
                      <w:lang w:val="en-US" w:eastAsia="zh-CN"/>
                    </w:rPr>
                    <w:t>2-3</w:t>
                  </w:r>
                  <w:r>
                    <w:rPr>
                      <w:rFonts w:hint="eastAsia" w:ascii="Times New Roman" w:hAnsi="Times New Roman" w:eastAsia="宋体" w:cs="Times New Roman"/>
                      <w:b w:val="0"/>
                      <w:bCs/>
                      <w:sz w:val="21"/>
                      <w:szCs w:val="21"/>
                      <w:lang w:val="en-US" w:eastAsia="zh-CN"/>
                    </w:rPr>
                    <w:t>）</w:t>
                  </w:r>
                </w:p>
              </w:tc>
              <w:tc>
                <w:tcPr>
                  <w:tcW w:w="1887" w:type="dxa"/>
                  <w:vMerge w:val="continue"/>
                  <w:noWrap w:val="0"/>
                  <w:vAlign w:val="center"/>
                </w:tcPr>
                <w:p w14:paraId="393C961A">
                  <w:pPr>
                    <w:spacing w:line="276" w:lineRule="auto"/>
                    <w:jc w:val="center"/>
                    <w:rPr>
                      <w:rFonts w:ascii="Times New Roman" w:hAnsi="Times New Roman" w:eastAsia="宋体" w:cs="Times New Roman"/>
                      <w:b w:val="0"/>
                      <w:bCs/>
                      <w:sz w:val="21"/>
                      <w:szCs w:val="21"/>
                    </w:rPr>
                  </w:pPr>
                </w:p>
              </w:tc>
              <w:tc>
                <w:tcPr>
                  <w:tcW w:w="813" w:type="dxa"/>
                  <w:vMerge w:val="continue"/>
                  <w:tcBorders>
                    <w:bottom w:val="single" w:color="auto" w:sz="4" w:space="0"/>
                  </w:tcBorders>
                  <w:noWrap w:val="0"/>
                  <w:vAlign w:val="center"/>
                </w:tcPr>
                <w:p w14:paraId="285BEDF8">
                  <w:pPr>
                    <w:spacing w:line="276" w:lineRule="auto"/>
                    <w:jc w:val="center"/>
                    <w:rPr>
                      <w:rFonts w:ascii="Times New Roman" w:hAnsi="Times New Roman" w:eastAsia="宋体" w:cs="Times New Roman"/>
                      <w:b w:val="0"/>
                      <w:bCs/>
                      <w:sz w:val="21"/>
                      <w:szCs w:val="21"/>
                    </w:rPr>
                  </w:pPr>
                </w:p>
              </w:tc>
              <w:tc>
                <w:tcPr>
                  <w:tcW w:w="975" w:type="dxa"/>
                  <w:vMerge w:val="continue"/>
                  <w:noWrap w:val="0"/>
                  <w:vAlign w:val="center"/>
                </w:tcPr>
                <w:p w14:paraId="1C8391AB">
                  <w:pPr>
                    <w:spacing w:line="276" w:lineRule="auto"/>
                    <w:jc w:val="center"/>
                    <w:rPr>
                      <w:rFonts w:hint="eastAsia" w:ascii="Times New Roman" w:hAnsi="Times New Roman" w:eastAsia="宋体" w:cs="Times New Roman"/>
                      <w:b w:val="0"/>
                      <w:bCs/>
                      <w:sz w:val="21"/>
                      <w:szCs w:val="21"/>
                    </w:rPr>
                  </w:pPr>
                </w:p>
              </w:tc>
              <w:tc>
                <w:tcPr>
                  <w:tcW w:w="1400" w:type="dxa"/>
                  <w:vMerge w:val="continue"/>
                  <w:noWrap w:val="0"/>
                  <w:vAlign w:val="center"/>
                </w:tcPr>
                <w:p w14:paraId="6C0A6938">
                  <w:pPr>
                    <w:spacing w:line="276" w:lineRule="auto"/>
                    <w:jc w:val="center"/>
                    <w:rPr>
                      <w:rFonts w:hint="eastAsia" w:ascii="Times New Roman" w:hAnsi="Times New Roman" w:eastAsia="宋体" w:cs="Times New Roman"/>
                      <w:b w:val="0"/>
                      <w:bCs/>
                      <w:sz w:val="21"/>
                      <w:szCs w:val="21"/>
                      <w:lang w:val="en-US" w:eastAsia="zh-CN"/>
                    </w:rPr>
                  </w:pPr>
                </w:p>
              </w:tc>
              <w:tc>
                <w:tcPr>
                  <w:tcW w:w="914" w:type="dxa"/>
                  <w:vMerge w:val="continue"/>
                  <w:noWrap w:val="0"/>
                  <w:vAlign w:val="center"/>
                </w:tcPr>
                <w:p w14:paraId="42219C48">
                  <w:pPr>
                    <w:spacing w:line="276" w:lineRule="auto"/>
                    <w:jc w:val="center"/>
                    <w:rPr>
                      <w:rFonts w:ascii="Times New Roman" w:hAnsi="Times New Roman" w:eastAsia="宋体" w:cs="Times New Roman"/>
                      <w:b w:val="0"/>
                      <w:bCs/>
                      <w:sz w:val="21"/>
                      <w:szCs w:val="21"/>
                    </w:rPr>
                  </w:pPr>
                </w:p>
              </w:tc>
            </w:tr>
            <w:tr w14:paraId="3A34E8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431F640A">
                  <w:pPr>
                    <w:spacing w:line="276" w:lineRule="auto"/>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抛丸</w:t>
                  </w:r>
                  <w:r>
                    <w:rPr>
                      <w:rFonts w:hint="eastAsia" w:ascii="Times New Roman" w:hAnsi="Times New Roman" w:eastAsia="宋体" w:cs="Times New Roman"/>
                      <w:b w:val="0"/>
                      <w:bCs/>
                      <w:sz w:val="21"/>
                      <w:szCs w:val="21"/>
                    </w:rPr>
                    <w:t>粉尘（G</w:t>
                  </w:r>
                  <w:r>
                    <w:rPr>
                      <w:rFonts w:hint="eastAsia" w:ascii="Times New Roman" w:hAnsi="Times New Roman" w:eastAsia="宋体" w:cs="Times New Roman"/>
                      <w:b w:val="0"/>
                      <w:bCs/>
                      <w:sz w:val="21"/>
                      <w:szCs w:val="21"/>
                      <w:vertAlign w:val="subscript"/>
                    </w:rPr>
                    <w:t>1</w:t>
                  </w:r>
                  <w:r>
                    <w:rPr>
                      <w:rFonts w:hint="eastAsia" w:ascii="Times New Roman" w:hAnsi="Times New Roman" w:eastAsia="宋体" w:cs="Times New Roman"/>
                      <w:b w:val="0"/>
                      <w:bCs/>
                      <w:sz w:val="21"/>
                      <w:szCs w:val="21"/>
                      <w:vertAlign w:val="subscript"/>
                      <w:lang w:val="en-US" w:eastAsia="zh-CN"/>
                    </w:rPr>
                    <w:t>-1</w:t>
                  </w:r>
                  <w:r>
                    <w:rPr>
                      <w:rFonts w:hint="eastAsia"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eastAsia="zh-CN"/>
                    </w:rPr>
                    <w:t>、</w:t>
                  </w:r>
                  <w:r>
                    <w:rPr>
                      <w:rFonts w:hint="eastAsia" w:ascii="Times New Roman" w:hAnsi="Times New Roman" w:eastAsia="宋体" w:cs="Times New Roman"/>
                      <w:b w:val="0"/>
                      <w:bCs/>
                      <w:sz w:val="21"/>
                      <w:szCs w:val="21"/>
                      <w:lang w:val="en-US" w:eastAsia="zh-CN"/>
                    </w:rPr>
                    <w:t>切割粉尘（G</w:t>
                  </w:r>
                  <w:r>
                    <w:rPr>
                      <w:rFonts w:hint="eastAsia" w:ascii="Times New Roman" w:hAnsi="Times New Roman" w:eastAsia="宋体" w:cs="Times New Roman"/>
                      <w:b w:val="0"/>
                      <w:bCs/>
                      <w:sz w:val="21"/>
                      <w:szCs w:val="21"/>
                      <w:vertAlign w:val="subscript"/>
                      <w:lang w:val="en-US" w:eastAsia="zh-CN"/>
                    </w:rPr>
                    <w:t>2-1</w:t>
                  </w:r>
                  <w:r>
                    <w:rPr>
                      <w:rFonts w:hint="eastAsia" w:ascii="Times New Roman" w:hAnsi="Times New Roman" w:eastAsia="宋体" w:cs="Times New Roman"/>
                      <w:b w:val="0"/>
                      <w:bCs/>
                      <w:sz w:val="21"/>
                      <w:szCs w:val="21"/>
                      <w:lang w:val="en-US" w:eastAsia="zh-CN"/>
                    </w:rPr>
                    <w:t>）、切割粉尘（G</w:t>
                  </w:r>
                  <w:r>
                    <w:rPr>
                      <w:rFonts w:hint="eastAsia" w:ascii="Times New Roman" w:hAnsi="Times New Roman" w:eastAsia="宋体" w:cs="Times New Roman"/>
                      <w:b w:val="0"/>
                      <w:bCs/>
                      <w:sz w:val="21"/>
                      <w:szCs w:val="21"/>
                      <w:vertAlign w:val="subscript"/>
                      <w:lang w:val="en-US" w:eastAsia="zh-CN"/>
                    </w:rPr>
                    <w:t>2-2</w:t>
                  </w:r>
                  <w:r>
                    <w:rPr>
                      <w:rFonts w:hint="eastAsia" w:ascii="Times New Roman" w:hAnsi="Times New Roman" w:eastAsia="宋体" w:cs="Times New Roman"/>
                      <w:b w:val="0"/>
                      <w:bCs/>
                      <w:sz w:val="21"/>
                      <w:szCs w:val="21"/>
                      <w:lang w:val="en-US" w:eastAsia="zh-CN"/>
                    </w:rPr>
                    <w:t>）、焊接粉尘（G</w:t>
                  </w:r>
                  <w:r>
                    <w:rPr>
                      <w:rFonts w:hint="eastAsia" w:ascii="Times New Roman" w:hAnsi="Times New Roman" w:eastAsia="宋体" w:cs="Times New Roman"/>
                      <w:b w:val="0"/>
                      <w:bCs/>
                      <w:sz w:val="21"/>
                      <w:szCs w:val="21"/>
                      <w:vertAlign w:val="subscript"/>
                      <w:lang w:val="en-US" w:eastAsia="zh-CN"/>
                    </w:rPr>
                    <w:t>2-3</w:t>
                  </w:r>
                  <w:r>
                    <w:rPr>
                      <w:rFonts w:hint="eastAsia" w:ascii="Times New Roman" w:hAnsi="Times New Roman" w:eastAsia="宋体" w:cs="Times New Roman"/>
                      <w:b w:val="0"/>
                      <w:bCs/>
                      <w:sz w:val="21"/>
                      <w:szCs w:val="21"/>
                      <w:lang w:val="en-US" w:eastAsia="zh-CN"/>
                    </w:rPr>
                    <w:t>）</w:t>
                  </w:r>
                </w:p>
              </w:tc>
              <w:tc>
                <w:tcPr>
                  <w:tcW w:w="1887" w:type="dxa"/>
                  <w:noWrap w:val="0"/>
                  <w:vAlign w:val="center"/>
                </w:tcPr>
                <w:p w14:paraId="2ECC191C">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颗粒物</w:t>
                  </w:r>
                </w:p>
              </w:tc>
              <w:tc>
                <w:tcPr>
                  <w:tcW w:w="813" w:type="dxa"/>
                  <w:noWrap w:val="0"/>
                  <w:vAlign w:val="center"/>
                </w:tcPr>
                <w:p w14:paraId="148DA558">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w:t>
                  </w:r>
                </w:p>
              </w:tc>
              <w:tc>
                <w:tcPr>
                  <w:tcW w:w="975" w:type="dxa"/>
                  <w:noWrap w:val="0"/>
                  <w:vAlign w:val="center"/>
                </w:tcPr>
                <w:p w14:paraId="6E0E255A">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w:t>
                  </w:r>
                </w:p>
              </w:tc>
              <w:tc>
                <w:tcPr>
                  <w:tcW w:w="1400" w:type="dxa"/>
                  <w:vMerge w:val="restart"/>
                  <w:noWrap w:val="0"/>
                  <w:vAlign w:val="center"/>
                </w:tcPr>
                <w:p w14:paraId="26C6F54F">
                  <w:pPr>
                    <w:spacing w:line="276" w:lineRule="auto"/>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加强封闭、收集</w:t>
                  </w:r>
                </w:p>
              </w:tc>
              <w:tc>
                <w:tcPr>
                  <w:tcW w:w="914" w:type="dxa"/>
                  <w:vMerge w:val="restart"/>
                  <w:noWrap w:val="0"/>
                  <w:vAlign w:val="center"/>
                </w:tcPr>
                <w:p w14:paraId="1FDF3CAA">
                  <w:pPr>
                    <w:spacing w:line="276" w:lineRule="auto"/>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无组织排放</w:t>
                  </w:r>
                </w:p>
              </w:tc>
            </w:tr>
            <w:tr w14:paraId="3CB5EA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833" w:type="dxa"/>
                  <w:noWrap w:val="0"/>
                  <w:vAlign w:val="center"/>
                </w:tcPr>
                <w:p w14:paraId="169A5D17">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清洗废气（G</w:t>
                  </w:r>
                  <w:r>
                    <w:rPr>
                      <w:rFonts w:hint="eastAsia" w:ascii="Times New Roman" w:hAnsi="Times New Roman" w:eastAsia="宋体" w:cs="Times New Roman"/>
                      <w:b w:val="0"/>
                      <w:bCs/>
                      <w:sz w:val="21"/>
                      <w:szCs w:val="21"/>
                      <w:vertAlign w:val="subscript"/>
                      <w:lang w:val="en-US" w:eastAsia="zh-CN"/>
                    </w:rPr>
                    <w:t>1-2</w:t>
                  </w:r>
                  <w:r>
                    <w:rPr>
                      <w:rFonts w:hint="eastAsia" w:ascii="Times New Roman" w:hAnsi="Times New Roman" w:eastAsia="宋体" w:cs="Times New Roman"/>
                      <w:b w:val="0"/>
                      <w:bCs/>
                      <w:sz w:val="21"/>
                      <w:szCs w:val="21"/>
                      <w:lang w:val="en-US" w:eastAsia="zh-CN"/>
                    </w:rPr>
                    <w:t>）、涂胶废气（G</w:t>
                  </w:r>
                  <w:r>
                    <w:rPr>
                      <w:rFonts w:hint="eastAsia" w:ascii="Times New Roman" w:hAnsi="Times New Roman" w:eastAsia="宋体" w:cs="Times New Roman"/>
                      <w:b w:val="0"/>
                      <w:bCs/>
                      <w:sz w:val="21"/>
                      <w:szCs w:val="21"/>
                      <w:vertAlign w:val="subscript"/>
                      <w:lang w:val="en-US" w:eastAsia="zh-CN"/>
                    </w:rPr>
                    <w:t>1-3</w:t>
                  </w:r>
                  <w:r>
                    <w:rPr>
                      <w:rFonts w:hint="eastAsia" w:ascii="Times New Roman" w:hAnsi="Times New Roman" w:eastAsia="宋体" w:cs="Times New Roman"/>
                      <w:b w:val="0"/>
                      <w:bCs/>
                      <w:sz w:val="21"/>
                      <w:szCs w:val="21"/>
                      <w:lang w:val="en-US" w:eastAsia="zh-CN"/>
                    </w:rPr>
                    <w:t>）、硫化废气（G</w:t>
                  </w:r>
                  <w:r>
                    <w:rPr>
                      <w:rFonts w:hint="eastAsia" w:ascii="Times New Roman" w:hAnsi="Times New Roman" w:eastAsia="宋体" w:cs="Times New Roman"/>
                      <w:b w:val="0"/>
                      <w:bCs/>
                      <w:sz w:val="21"/>
                      <w:szCs w:val="21"/>
                      <w:vertAlign w:val="subscript"/>
                      <w:lang w:val="en-US" w:eastAsia="zh-CN"/>
                    </w:rPr>
                    <w:t>1-4</w:t>
                  </w:r>
                  <w:r>
                    <w:rPr>
                      <w:rFonts w:hint="eastAsia" w:ascii="Times New Roman" w:hAnsi="Times New Roman" w:eastAsia="宋体" w:cs="Times New Roman"/>
                      <w:b w:val="0"/>
                      <w:bCs/>
                      <w:sz w:val="21"/>
                      <w:szCs w:val="21"/>
                      <w:lang w:val="en-US" w:eastAsia="zh-CN"/>
                    </w:rPr>
                    <w:t>）</w:t>
                  </w:r>
                </w:p>
              </w:tc>
              <w:tc>
                <w:tcPr>
                  <w:tcW w:w="1887" w:type="dxa"/>
                  <w:noWrap w:val="0"/>
                  <w:vAlign w:val="center"/>
                </w:tcPr>
                <w:p w14:paraId="74DAAC81">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甲苯、二甲苯、四氯乙烯、非甲烷总烃、硫化氢、臭气浓度</w:t>
                  </w:r>
                </w:p>
              </w:tc>
              <w:tc>
                <w:tcPr>
                  <w:tcW w:w="813" w:type="dxa"/>
                  <w:noWrap w:val="0"/>
                  <w:vAlign w:val="center"/>
                </w:tcPr>
                <w:p w14:paraId="0783B9C5">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w:t>
                  </w:r>
                </w:p>
              </w:tc>
              <w:tc>
                <w:tcPr>
                  <w:tcW w:w="975" w:type="dxa"/>
                  <w:noWrap w:val="0"/>
                  <w:vAlign w:val="center"/>
                </w:tcPr>
                <w:p w14:paraId="6AACDB1A">
                  <w:pPr>
                    <w:spacing w:line="276" w:lineRule="auto"/>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w:t>
                  </w:r>
                </w:p>
              </w:tc>
              <w:tc>
                <w:tcPr>
                  <w:tcW w:w="1400" w:type="dxa"/>
                  <w:vMerge w:val="continue"/>
                  <w:noWrap w:val="0"/>
                  <w:vAlign w:val="center"/>
                </w:tcPr>
                <w:p w14:paraId="177590B6">
                  <w:pPr>
                    <w:spacing w:line="276" w:lineRule="auto"/>
                    <w:jc w:val="center"/>
                    <w:rPr>
                      <w:rFonts w:ascii="Times New Roman" w:hAnsi="Times New Roman" w:eastAsia="宋体" w:cs="Times New Roman"/>
                      <w:b w:val="0"/>
                      <w:bCs/>
                      <w:sz w:val="21"/>
                      <w:szCs w:val="21"/>
                    </w:rPr>
                  </w:pPr>
                </w:p>
              </w:tc>
              <w:tc>
                <w:tcPr>
                  <w:tcW w:w="914" w:type="dxa"/>
                  <w:vMerge w:val="continue"/>
                  <w:noWrap w:val="0"/>
                  <w:vAlign w:val="center"/>
                </w:tcPr>
                <w:p w14:paraId="7BE11112">
                  <w:pPr>
                    <w:spacing w:line="276" w:lineRule="auto"/>
                    <w:jc w:val="center"/>
                    <w:rPr>
                      <w:rFonts w:ascii="Times New Roman" w:hAnsi="Times New Roman" w:eastAsia="宋体" w:cs="Times New Roman"/>
                      <w:b w:val="0"/>
                      <w:bCs/>
                      <w:sz w:val="21"/>
                      <w:szCs w:val="21"/>
                    </w:rPr>
                  </w:pPr>
                </w:p>
              </w:tc>
            </w:tr>
          </w:tbl>
          <w:p w14:paraId="7F18328B">
            <w:pPr>
              <w:pStyle w:val="7"/>
              <w:snapToGrid/>
              <w:spacing w:before="0" w:after="0" w:line="360" w:lineRule="auto"/>
              <w:ind w:firstLine="480" w:firstLineChars="200"/>
              <w:rPr>
                <w:sz w:val="24"/>
                <w:szCs w:val="24"/>
              </w:rPr>
            </w:pPr>
            <w:r>
              <w:rPr>
                <w:sz w:val="24"/>
                <w:szCs w:val="24"/>
              </w:rPr>
              <w:t>废气源强核算及环境影响分析见大气专项评价。</w:t>
            </w:r>
          </w:p>
          <w:p w14:paraId="2B636414">
            <w:pPr>
              <w:pStyle w:val="7"/>
              <w:snapToGrid/>
              <w:spacing w:before="0" w:after="0" w:line="360" w:lineRule="auto"/>
              <w:ind w:firstLine="480" w:firstLineChars="200"/>
            </w:pPr>
            <w:r>
              <w:rPr>
                <w:sz w:val="24"/>
                <w:szCs w:val="24"/>
                <w:highlight w:val="yellow"/>
              </w:rPr>
              <w:t>根据大气专项中的估算结果，本项目最大地面空气质量浓度Pmax值为</w:t>
            </w:r>
            <w:r>
              <w:rPr>
                <w:rFonts w:hint="eastAsia"/>
                <w:sz w:val="24"/>
                <w:szCs w:val="24"/>
                <w:highlight w:val="yellow"/>
              </w:rPr>
              <w:t>4</w:t>
            </w:r>
            <w:r>
              <w:rPr>
                <w:sz w:val="24"/>
                <w:szCs w:val="24"/>
                <w:highlight w:val="yellow"/>
              </w:rPr>
              <w:t>.</w:t>
            </w:r>
            <w:r>
              <w:rPr>
                <w:rFonts w:hint="eastAsia"/>
                <w:sz w:val="24"/>
                <w:szCs w:val="24"/>
                <w:highlight w:val="yellow"/>
              </w:rPr>
              <w:t>59</w:t>
            </w:r>
            <w:r>
              <w:rPr>
                <w:sz w:val="24"/>
                <w:szCs w:val="24"/>
                <w:highlight w:val="yellow"/>
              </w:rPr>
              <w:t>%，大气影响评价等级为二级，</w:t>
            </w:r>
            <w:r>
              <w:rPr>
                <w:rFonts w:hint="eastAsia"/>
                <w:sz w:val="24"/>
                <w:szCs w:val="24"/>
                <w:highlight w:val="yellow"/>
              </w:rPr>
              <w:t>项目运营期</w:t>
            </w:r>
            <w:r>
              <w:rPr>
                <w:sz w:val="24"/>
                <w:szCs w:val="24"/>
                <w:highlight w:val="yellow"/>
              </w:rPr>
              <w:t>对区域大气环境质量的影响较小。评价认为，拟建项目建成运行后，区域各污染物的浓度能够满足《环境空气质量标准》（GB3095-2012）中二级标准的浓度限值要求，不会改变区域内大气环境质量的现有等级。</w:t>
            </w:r>
          </w:p>
        </w:tc>
      </w:tr>
    </w:tbl>
    <w:p w14:paraId="779A00BD">
      <w:pPr>
        <w:rPr>
          <w:color w:val="FF0000"/>
        </w:rPr>
        <w:sectPr>
          <w:pgSz w:w="11906" w:h="16838"/>
          <w:pgMar w:top="1440" w:right="1800" w:bottom="1440" w:left="1800" w:header="851" w:footer="992" w:gutter="0"/>
          <w:cols w:space="425" w:num="1"/>
          <w:docGrid w:type="lines" w:linePitch="312" w:charSpace="0"/>
        </w:sect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066"/>
      </w:tblGrid>
      <w:tr w14:paraId="3F16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7" w:hRule="atLeast"/>
          <w:jc w:val="center"/>
        </w:trPr>
        <w:tc>
          <w:tcPr>
            <w:tcW w:w="456" w:type="dxa"/>
            <w:vAlign w:val="center"/>
          </w:tcPr>
          <w:p w14:paraId="6D4DFD77">
            <w:pPr>
              <w:spacing w:line="360" w:lineRule="auto"/>
              <w:rPr>
                <w:color w:val="FF0000"/>
                <w:sz w:val="20"/>
              </w:rPr>
            </w:pPr>
            <w:r>
              <w:t>运营期环境影响和保护措施</w:t>
            </w:r>
          </w:p>
        </w:tc>
        <w:tc>
          <w:tcPr>
            <w:tcW w:w="8066" w:type="dxa"/>
          </w:tcPr>
          <w:p w14:paraId="7B059D91">
            <w:pPr>
              <w:spacing w:line="360" w:lineRule="auto"/>
              <w:jc w:val="left"/>
              <w:rPr>
                <w:b/>
                <w:color w:val="FF0000"/>
              </w:rPr>
            </w:pPr>
            <w:r>
              <w:rPr>
                <w:rFonts w:hint="eastAsia"/>
                <w:b/>
              </w:rPr>
              <w:t>二</w:t>
            </w:r>
            <w:r>
              <w:rPr>
                <w:rFonts w:hAnsi="宋体"/>
                <w:b/>
              </w:rPr>
              <w:t>、</w:t>
            </w:r>
            <w:r>
              <w:rPr>
                <w:rFonts w:hint="eastAsia" w:hAnsi="宋体"/>
                <w:b/>
              </w:rPr>
              <w:t>运营期水环境影响和保护措施</w:t>
            </w:r>
          </w:p>
          <w:p w14:paraId="77314B12">
            <w:pPr>
              <w:spacing w:line="360" w:lineRule="auto"/>
              <w:ind w:firstLine="482" w:firstLineChars="200"/>
              <w:rPr>
                <w:rFonts w:hAnsi="宋体"/>
                <w:bCs/>
              </w:rPr>
            </w:pPr>
            <w:r>
              <w:rPr>
                <w:rFonts w:hint="eastAsia" w:hAnsi="宋体"/>
                <w:b/>
              </w:rPr>
              <w:t>1.运营期水环境影响分析</w:t>
            </w:r>
          </w:p>
          <w:p w14:paraId="78A7A39E">
            <w:pPr>
              <w:spacing w:line="360" w:lineRule="auto"/>
              <w:ind w:firstLine="480" w:firstLineChars="200"/>
              <w:rPr>
                <w:rFonts w:hAnsi="宋体"/>
                <w:bCs/>
              </w:rPr>
            </w:pPr>
            <w:r>
              <w:rPr>
                <w:rFonts w:hint="eastAsia" w:hAnsi="宋体"/>
                <w:bCs/>
              </w:rPr>
              <w:t>项目运营期废水产排放情况分析如下：</w:t>
            </w:r>
          </w:p>
          <w:p w14:paraId="6304A383">
            <w:pPr>
              <w:spacing w:line="360" w:lineRule="auto"/>
              <w:ind w:firstLine="482" w:firstLineChars="200"/>
              <w:rPr>
                <w:rFonts w:hAnsi="宋体"/>
                <w:bCs/>
              </w:rPr>
            </w:pPr>
            <w:r>
              <w:rPr>
                <w:rFonts w:hint="eastAsia" w:hAnsi="宋体"/>
                <w:b/>
              </w:rPr>
              <w:t>（1）生活用水</w:t>
            </w:r>
          </w:p>
          <w:p w14:paraId="65DF3834">
            <w:pPr>
              <w:spacing w:line="360" w:lineRule="auto"/>
              <w:ind w:firstLine="480" w:firstLineChars="200"/>
              <w:rPr>
                <w:rFonts w:hAnsi="宋体"/>
              </w:rPr>
            </w:pPr>
            <w:r>
              <w:t>本项目新增劳动定员</w:t>
            </w:r>
            <w:r>
              <w:rPr>
                <w:rFonts w:hint="eastAsia"/>
              </w:rPr>
              <w:t>120</w:t>
            </w:r>
            <w:r>
              <w:t>人，</w:t>
            </w:r>
            <w:r>
              <w:rPr>
                <w:rFonts w:hAnsi="宋体"/>
              </w:rPr>
              <w:t>根据《</w:t>
            </w:r>
            <w:r>
              <w:rPr>
                <w:rFonts w:hint="eastAsia" w:hAnsi="宋体"/>
              </w:rPr>
              <w:t>安徽省</w:t>
            </w:r>
            <w:r>
              <w:rPr>
                <w:rFonts w:hAnsi="宋体"/>
              </w:rPr>
              <w:t>行业用水定额》（</w:t>
            </w:r>
            <w:r>
              <w:t>DB34/T 679-2025</w:t>
            </w:r>
            <w:r>
              <w:rPr>
                <w:rFonts w:hAnsi="宋体"/>
              </w:rPr>
              <w:t>），厂区不安排</w:t>
            </w:r>
            <w:r>
              <w:rPr>
                <w:rFonts w:hint="eastAsia" w:hAnsi="宋体"/>
              </w:rPr>
              <w:t>食宿</w:t>
            </w:r>
            <w:r>
              <w:rPr>
                <w:rFonts w:hAnsi="宋体"/>
              </w:rPr>
              <w:t>，生活用水按</w:t>
            </w:r>
            <w:r>
              <w:rPr>
                <w:rFonts w:hint="eastAsia"/>
              </w:rPr>
              <w:t>15</w:t>
            </w:r>
            <w:r>
              <w:t>L/</w:t>
            </w:r>
            <w:r>
              <w:rPr>
                <w:rFonts w:hAnsi="宋体"/>
              </w:rPr>
              <w:t>人</w:t>
            </w:r>
            <w:r>
              <w:t>·d</w:t>
            </w:r>
            <w:r>
              <w:rPr>
                <w:rFonts w:hAnsi="宋体"/>
              </w:rPr>
              <w:t>计，则项目生活用水量为</w:t>
            </w:r>
            <w:r>
              <w:rPr>
                <w:rFonts w:hint="eastAsia"/>
              </w:rPr>
              <w:t>1.8</w:t>
            </w:r>
            <w:r>
              <w:t>m</w:t>
            </w:r>
            <w:r>
              <w:rPr>
                <w:vertAlign w:val="superscript"/>
              </w:rPr>
              <w:t>3</w:t>
            </w:r>
            <w:r>
              <w:t>/d</w:t>
            </w:r>
            <w:r>
              <w:rPr>
                <w:rFonts w:hAnsi="宋体"/>
              </w:rPr>
              <w:t>。</w:t>
            </w:r>
            <w:r>
              <w:t>生活污水产生系数按照《</w:t>
            </w:r>
            <w:bookmarkStart w:id="7" w:name="OLE_LINK1"/>
            <w:bookmarkStart w:id="8" w:name="OLE_LINK2"/>
            <w:r>
              <w:t>排放源统计调查产排污核算方法和系数手册</w:t>
            </w:r>
            <w:bookmarkEnd w:id="7"/>
            <w:bookmarkEnd w:id="8"/>
            <w:r>
              <w:t>》（公告2021年第24号）中生活源产排污核</w:t>
            </w:r>
            <w:r>
              <w:rPr>
                <w:highlight w:val="none"/>
              </w:rPr>
              <w:t>算系数手册中的数据，安徽属于四区，取值0.85</w:t>
            </w:r>
            <w:r>
              <w:rPr>
                <w:rFonts w:hint="eastAsia" w:hAnsi="宋体"/>
                <w:highlight w:val="none"/>
              </w:rPr>
              <w:t>，则生活污水量为1.53m</w:t>
            </w:r>
            <w:r>
              <w:rPr>
                <w:rFonts w:hint="eastAsia" w:hAnsi="宋体"/>
                <w:highlight w:val="none"/>
                <w:vertAlign w:val="superscript"/>
              </w:rPr>
              <w:t>3</w:t>
            </w:r>
            <w:r>
              <w:rPr>
                <w:rFonts w:hint="eastAsia" w:hAnsi="宋体"/>
                <w:highlight w:val="none"/>
              </w:rPr>
              <w:t>/d。生活污水水质</w:t>
            </w:r>
            <w:r>
              <w:rPr>
                <w:rFonts w:hint="eastAsia" w:hAnsi="宋体"/>
                <w:highlight w:val="none"/>
                <w:lang w:eastAsia="zh-CN"/>
              </w:rPr>
              <w:t>参照《</w:t>
            </w:r>
            <w:r>
              <w:rPr>
                <w:rFonts w:hint="eastAsia" w:hAnsi="宋体"/>
                <w:highlight w:val="none"/>
                <w:lang w:val="en-US" w:eastAsia="zh-CN"/>
              </w:rPr>
              <w:t>合肥中锐智能制造有限公司汽车零部件制造项目竣工环境保护验收监测报告表</w:t>
            </w:r>
            <w:r>
              <w:rPr>
                <w:rFonts w:hint="eastAsia" w:hAnsi="宋体"/>
                <w:highlight w:val="none"/>
                <w:lang w:eastAsia="zh-CN"/>
              </w:rPr>
              <w:t>》中监测数据：</w:t>
            </w:r>
            <w:r>
              <w:rPr>
                <w:rFonts w:hint="eastAsia" w:hAnsi="宋体"/>
                <w:highlight w:val="none"/>
              </w:rPr>
              <w:t>COD</w:t>
            </w:r>
            <w:r>
              <w:rPr>
                <w:rFonts w:hint="eastAsia" w:hAnsi="宋体"/>
                <w:highlight w:val="none"/>
                <w:lang w:eastAsia="zh-CN"/>
              </w:rPr>
              <w:t>取监测平均值</w:t>
            </w:r>
            <w:r>
              <w:rPr>
                <w:rFonts w:hint="eastAsia" w:hAnsi="宋体"/>
                <w:highlight w:val="none"/>
                <w:lang w:val="en-US" w:eastAsia="zh-CN"/>
              </w:rPr>
              <w:t>252.75</w:t>
            </w:r>
            <w:r>
              <w:rPr>
                <w:rFonts w:hint="eastAsia" w:hAnsi="宋体"/>
                <w:highlight w:val="none"/>
              </w:rPr>
              <w:t>mg/L，NH</w:t>
            </w:r>
            <w:r>
              <w:rPr>
                <w:rFonts w:hint="eastAsia" w:hAnsi="宋体"/>
                <w:highlight w:val="none"/>
                <w:vertAlign w:val="subscript"/>
              </w:rPr>
              <w:t>3</w:t>
            </w:r>
            <w:r>
              <w:rPr>
                <w:rFonts w:hint="eastAsia" w:hAnsi="宋体"/>
                <w:highlight w:val="none"/>
              </w:rPr>
              <w:t>-N</w:t>
            </w:r>
            <w:r>
              <w:rPr>
                <w:rFonts w:hint="eastAsia" w:hAnsi="宋体"/>
                <w:highlight w:val="none"/>
                <w:lang w:eastAsia="zh-CN"/>
              </w:rPr>
              <w:t>取监测平均值</w:t>
            </w:r>
            <w:r>
              <w:rPr>
                <w:rFonts w:hint="eastAsia" w:hAnsi="宋体"/>
                <w:highlight w:val="none"/>
                <w:lang w:val="en-US" w:eastAsia="zh-CN"/>
              </w:rPr>
              <w:t>25.25</w:t>
            </w:r>
            <w:r>
              <w:rPr>
                <w:rFonts w:hint="eastAsia" w:hAnsi="宋体"/>
                <w:highlight w:val="none"/>
              </w:rPr>
              <w:t>mg/L，BOD</w:t>
            </w:r>
            <w:r>
              <w:rPr>
                <w:rFonts w:hint="eastAsia" w:hAnsi="宋体"/>
                <w:highlight w:val="none"/>
                <w:vertAlign w:val="subscript"/>
              </w:rPr>
              <w:t>5</w:t>
            </w:r>
            <w:r>
              <w:rPr>
                <w:rFonts w:hint="eastAsia" w:hAnsi="宋体"/>
                <w:highlight w:val="none"/>
                <w:lang w:eastAsia="zh-CN"/>
              </w:rPr>
              <w:t>取监测平均值</w:t>
            </w:r>
            <w:r>
              <w:rPr>
                <w:rFonts w:hint="eastAsia" w:hAnsi="宋体"/>
                <w:highlight w:val="none"/>
                <w:lang w:val="en-US" w:eastAsia="zh-CN"/>
              </w:rPr>
              <w:t>100.625</w:t>
            </w:r>
            <w:r>
              <w:rPr>
                <w:rFonts w:hint="eastAsia" w:hAnsi="宋体"/>
                <w:highlight w:val="none"/>
              </w:rPr>
              <w:t>mg/L，SS</w:t>
            </w:r>
            <w:r>
              <w:rPr>
                <w:rFonts w:hint="eastAsia" w:hAnsi="宋体"/>
                <w:highlight w:val="none"/>
                <w:lang w:eastAsia="zh-CN"/>
              </w:rPr>
              <w:t>取监测平均值</w:t>
            </w:r>
            <w:r>
              <w:rPr>
                <w:rFonts w:hint="eastAsia" w:hAnsi="宋体"/>
                <w:highlight w:val="none"/>
              </w:rPr>
              <w:t>1</w:t>
            </w:r>
            <w:r>
              <w:rPr>
                <w:rFonts w:hint="eastAsia" w:hAnsi="宋体"/>
                <w:highlight w:val="none"/>
                <w:lang w:val="en-US" w:eastAsia="zh-CN"/>
              </w:rPr>
              <w:t>4</w:t>
            </w:r>
            <w:r>
              <w:rPr>
                <w:rFonts w:hint="eastAsia" w:hAnsi="宋体"/>
                <w:highlight w:val="none"/>
              </w:rPr>
              <w:t>mg/L。</w:t>
            </w:r>
            <w:r>
              <w:rPr>
                <w:rFonts w:hint="eastAsia" w:hAnsi="宋体"/>
              </w:rPr>
              <w:t>生活污水经化粪池处理后满足淮南经济技术开发区工业污水处理厂接管限值后，排入淮南经济技术开发区工业污水处理厂处理。</w:t>
            </w:r>
          </w:p>
          <w:p w14:paraId="0FE6EE02">
            <w:pPr>
              <w:widowControl/>
              <w:spacing w:line="360" w:lineRule="auto"/>
              <w:ind w:firstLine="470" w:firstLineChars="196"/>
              <w:jc w:val="left"/>
              <w:rPr>
                <w:color w:val="FF0000"/>
              </w:rPr>
            </w:pPr>
            <w:r>
              <w:t>本项目废水产生</w:t>
            </w:r>
            <w:r>
              <w:rPr>
                <w:rFonts w:hint="eastAsia"/>
              </w:rPr>
              <w:t>和排放</w:t>
            </w:r>
            <w:r>
              <w:t>情况见下表：</w:t>
            </w:r>
          </w:p>
          <w:p w14:paraId="00A0E254">
            <w:pPr>
              <w:spacing w:line="360" w:lineRule="auto"/>
              <w:jc w:val="center"/>
              <w:rPr>
                <w:color w:val="FF0000"/>
              </w:rPr>
            </w:pPr>
            <w:r>
              <w:rPr>
                <w:rFonts w:eastAsia="黑体"/>
              </w:rPr>
              <w:t>表</w:t>
            </w:r>
            <w:r>
              <w:rPr>
                <w:rFonts w:hint="eastAsia" w:eastAsia="黑体"/>
              </w:rPr>
              <w:t>4-</w:t>
            </w:r>
            <w:r>
              <w:rPr>
                <w:rFonts w:hint="eastAsia" w:eastAsia="黑体"/>
                <w:lang w:val="en-US" w:eastAsia="zh-CN"/>
              </w:rPr>
              <w:t xml:space="preserve">2  </w:t>
            </w:r>
            <w:r>
              <w:rPr>
                <w:rFonts w:eastAsia="黑体"/>
              </w:rPr>
              <w:t>项目废水处理及排放情况一览表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75"/>
              <w:gridCol w:w="1087"/>
              <w:gridCol w:w="912"/>
              <w:gridCol w:w="1950"/>
              <w:gridCol w:w="1115"/>
              <w:gridCol w:w="873"/>
            </w:tblGrid>
            <w:tr w14:paraId="42A6C7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Merge w:val="restart"/>
                  <w:noWrap/>
                  <w:vAlign w:val="center"/>
                </w:tcPr>
                <w:p w14:paraId="7EEF43B9">
                  <w:pPr>
                    <w:spacing w:line="276" w:lineRule="auto"/>
                    <w:jc w:val="center"/>
                    <w:rPr>
                      <w:b/>
                      <w:sz w:val="21"/>
                      <w:szCs w:val="21"/>
                    </w:rPr>
                  </w:pPr>
                  <w:r>
                    <w:rPr>
                      <w:b/>
                      <w:sz w:val="21"/>
                      <w:szCs w:val="21"/>
                    </w:rPr>
                    <w:t>废水量</w:t>
                  </w:r>
                </w:p>
              </w:tc>
              <w:tc>
                <w:tcPr>
                  <w:tcW w:w="684" w:type="pct"/>
                  <w:vMerge w:val="restart"/>
                  <w:noWrap/>
                  <w:vAlign w:val="center"/>
                </w:tcPr>
                <w:p w14:paraId="7687547A">
                  <w:pPr>
                    <w:spacing w:line="276" w:lineRule="auto"/>
                    <w:jc w:val="center"/>
                    <w:rPr>
                      <w:b/>
                      <w:sz w:val="21"/>
                      <w:szCs w:val="21"/>
                    </w:rPr>
                  </w:pPr>
                  <w:r>
                    <w:rPr>
                      <w:b/>
                      <w:sz w:val="21"/>
                      <w:szCs w:val="21"/>
                    </w:rPr>
                    <w:t>污染物名称</w:t>
                  </w:r>
                </w:p>
              </w:tc>
              <w:tc>
                <w:tcPr>
                  <w:tcW w:w="1273" w:type="pct"/>
                  <w:gridSpan w:val="2"/>
                  <w:noWrap/>
                  <w:vAlign w:val="center"/>
                </w:tcPr>
                <w:p w14:paraId="51DABC42">
                  <w:pPr>
                    <w:spacing w:line="276" w:lineRule="auto"/>
                    <w:jc w:val="center"/>
                    <w:rPr>
                      <w:b/>
                      <w:sz w:val="21"/>
                      <w:szCs w:val="21"/>
                    </w:rPr>
                  </w:pPr>
                  <w:r>
                    <w:rPr>
                      <w:b/>
                      <w:sz w:val="21"/>
                      <w:szCs w:val="21"/>
                    </w:rPr>
                    <w:t>污染物产生情况</w:t>
                  </w:r>
                </w:p>
              </w:tc>
              <w:tc>
                <w:tcPr>
                  <w:tcW w:w="1242" w:type="pct"/>
                  <w:vMerge w:val="restart"/>
                  <w:noWrap/>
                  <w:vAlign w:val="center"/>
                </w:tcPr>
                <w:p w14:paraId="37D49380">
                  <w:pPr>
                    <w:spacing w:line="276" w:lineRule="auto"/>
                    <w:jc w:val="center"/>
                    <w:rPr>
                      <w:b/>
                      <w:sz w:val="21"/>
                      <w:szCs w:val="21"/>
                    </w:rPr>
                  </w:pPr>
                  <w:r>
                    <w:rPr>
                      <w:b/>
                      <w:sz w:val="21"/>
                      <w:szCs w:val="21"/>
                    </w:rPr>
                    <w:t>治理措施</w:t>
                  </w:r>
                </w:p>
              </w:tc>
              <w:tc>
                <w:tcPr>
                  <w:tcW w:w="1266" w:type="pct"/>
                  <w:gridSpan w:val="2"/>
                  <w:noWrap/>
                  <w:vAlign w:val="center"/>
                </w:tcPr>
                <w:p w14:paraId="7E9F0CFA">
                  <w:pPr>
                    <w:spacing w:line="276" w:lineRule="auto"/>
                    <w:jc w:val="center"/>
                    <w:rPr>
                      <w:b/>
                      <w:sz w:val="21"/>
                      <w:szCs w:val="21"/>
                    </w:rPr>
                  </w:pPr>
                  <w:r>
                    <w:rPr>
                      <w:rFonts w:hint="eastAsia"/>
                      <w:b/>
                      <w:sz w:val="21"/>
                      <w:szCs w:val="21"/>
                    </w:rPr>
                    <w:t>污染物接管情况</w:t>
                  </w:r>
                </w:p>
              </w:tc>
            </w:tr>
            <w:tr w14:paraId="239A6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Merge w:val="continue"/>
                  <w:noWrap/>
                  <w:vAlign w:val="center"/>
                </w:tcPr>
                <w:p w14:paraId="1096F421">
                  <w:pPr>
                    <w:spacing w:line="276" w:lineRule="auto"/>
                    <w:jc w:val="center"/>
                    <w:rPr>
                      <w:b/>
                      <w:sz w:val="21"/>
                      <w:szCs w:val="21"/>
                    </w:rPr>
                  </w:pPr>
                </w:p>
              </w:tc>
              <w:tc>
                <w:tcPr>
                  <w:tcW w:w="684" w:type="pct"/>
                  <w:vMerge w:val="continue"/>
                  <w:noWrap/>
                  <w:vAlign w:val="center"/>
                </w:tcPr>
                <w:p w14:paraId="272FA7FE">
                  <w:pPr>
                    <w:spacing w:line="276" w:lineRule="auto"/>
                    <w:jc w:val="center"/>
                    <w:rPr>
                      <w:b/>
                      <w:sz w:val="21"/>
                      <w:szCs w:val="21"/>
                    </w:rPr>
                  </w:pPr>
                </w:p>
              </w:tc>
              <w:tc>
                <w:tcPr>
                  <w:tcW w:w="692" w:type="pct"/>
                  <w:noWrap/>
                  <w:vAlign w:val="center"/>
                </w:tcPr>
                <w:p w14:paraId="1FC39BA7">
                  <w:pPr>
                    <w:spacing w:line="276" w:lineRule="auto"/>
                    <w:jc w:val="center"/>
                    <w:rPr>
                      <w:b/>
                      <w:sz w:val="21"/>
                      <w:szCs w:val="21"/>
                    </w:rPr>
                  </w:pPr>
                  <w:r>
                    <w:rPr>
                      <w:b/>
                      <w:sz w:val="21"/>
                      <w:szCs w:val="21"/>
                    </w:rPr>
                    <w:t>产生浓度（mg/L）</w:t>
                  </w:r>
                </w:p>
              </w:tc>
              <w:tc>
                <w:tcPr>
                  <w:tcW w:w="581" w:type="pct"/>
                  <w:noWrap/>
                  <w:vAlign w:val="center"/>
                </w:tcPr>
                <w:p w14:paraId="28127066">
                  <w:pPr>
                    <w:spacing w:line="276" w:lineRule="auto"/>
                    <w:jc w:val="center"/>
                    <w:rPr>
                      <w:b/>
                      <w:sz w:val="21"/>
                      <w:szCs w:val="21"/>
                    </w:rPr>
                  </w:pPr>
                  <w:r>
                    <w:rPr>
                      <w:b/>
                      <w:sz w:val="21"/>
                      <w:szCs w:val="21"/>
                    </w:rPr>
                    <w:t>产生量</w:t>
                  </w:r>
                </w:p>
                <w:p w14:paraId="0973CB13">
                  <w:pPr>
                    <w:spacing w:line="276" w:lineRule="auto"/>
                    <w:jc w:val="center"/>
                    <w:rPr>
                      <w:b/>
                      <w:sz w:val="21"/>
                      <w:szCs w:val="21"/>
                    </w:rPr>
                  </w:pPr>
                  <w:r>
                    <w:rPr>
                      <w:b/>
                      <w:sz w:val="21"/>
                      <w:szCs w:val="21"/>
                    </w:rPr>
                    <w:t>（t/a）</w:t>
                  </w:r>
                </w:p>
              </w:tc>
              <w:tc>
                <w:tcPr>
                  <w:tcW w:w="1242" w:type="pct"/>
                  <w:vMerge w:val="continue"/>
                  <w:noWrap/>
                  <w:vAlign w:val="center"/>
                </w:tcPr>
                <w:p w14:paraId="0B57925A">
                  <w:pPr>
                    <w:spacing w:line="276" w:lineRule="auto"/>
                    <w:jc w:val="center"/>
                    <w:rPr>
                      <w:b/>
                      <w:sz w:val="21"/>
                      <w:szCs w:val="21"/>
                    </w:rPr>
                  </w:pPr>
                </w:p>
              </w:tc>
              <w:tc>
                <w:tcPr>
                  <w:tcW w:w="710" w:type="pct"/>
                  <w:noWrap/>
                  <w:vAlign w:val="center"/>
                </w:tcPr>
                <w:p w14:paraId="3ACE8525">
                  <w:pPr>
                    <w:spacing w:line="276" w:lineRule="auto"/>
                    <w:jc w:val="center"/>
                    <w:rPr>
                      <w:b/>
                      <w:sz w:val="21"/>
                      <w:szCs w:val="21"/>
                    </w:rPr>
                  </w:pPr>
                  <w:r>
                    <w:rPr>
                      <w:rFonts w:hint="eastAsia"/>
                      <w:b/>
                      <w:sz w:val="21"/>
                      <w:szCs w:val="21"/>
                    </w:rPr>
                    <w:t>接管</w:t>
                  </w:r>
                  <w:r>
                    <w:rPr>
                      <w:b/>
                      <w:sz w:val="21"/>
                      <w:szCs w:val="21"/>
                    </w:rPr>
                    <w:t>浓度（mg/L）</w:t>
                  </w:r>
                </w:p>
              </w:tc>
              <w:tc>
                <w:tcPr>
                  <w:tcW w:w="555" w:type="pct"/>
                  <w:noWrap/>
                  <w:vAlign w:val="center"/>
                </w:tcPr>
                <w:p w14:paraId="076C4BA0">
                  <w:pPr>
                    <w:spacing w:line="276" w:lineRule="auto"/>
                    <w:jc w:val="center"/>
                    <w:rPr>
                      <w:b/>
                      <w:sz w:val="21"/>
                      <w:szCs w:val="21"/>
                    </w:rPr>
                  </w:pPr>
                  <w:r>
                    <w:rPr>
                      <w:rFonts w:hint="eastAsia"/>
                      <w:b/>
                      <w:sz w:val="21"/>
                      <w:szCs w:val="21"/>
                    </w:rPr>
                    <w:t>接管</w:t>
                  </w:r>
                  <w:r>
                    <w:rPr>
                      <w:b/>
                      <w:sz w:val="21"/>
                      <w:szCs w:val="21"/>
                    </w:rPr>
                    <w:t>量（t/a）</w:t>
                  </w:r>
                </w:p>
              </w:tc>
            </w:tr>
            <w:tr w14:paraId="410D55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3" w:type="pct"/>
                  <w:vMerge w:val="restart"/>
                  <w:noWrap/>
                  <w:vAlign w:val="center"/>
                </w:tcPr>
                <w:p w14:paraId="4AB4CA8F">
                  <w:pPr>
                    <w:spacing w:line="276" w:lineRule="auto"/>
                    <w:jc w:val="center"/>
                    <w:rPr>
                      <w:bCs/>
                      <w:sz w:val="21"/>
                      <w:szCs w:val="21"/>
                    </w:rPr>
                  </w:pPr>
                  <w:r>
                    <w:rPr>
                      <w:bCs/>
                      <w:sz w:val="21"/>
                      <w:szCs w:val="21"/>
                    </w:rPr>
                    <w:t>生活污水</w:t>
                  </w:r>
                  <w:r>
                    <w:rPr>
                      <w:rFonts w:hint="eastAsia"/>
                      <w:bCs/>
                      <w:sz w:val="21"/>
                      <w:szCs w:val="21"/>
                    </w:rPr>
                    <w:t>1.53</w:t>
                  </w:r>
                  <w:r>
                    <w:rPr>
                      <w:bCs/>
                      <w:sz w:val="21"/>
                      <w:szCs w:val="21"/>
                    </w:rPr>
                    <w:t>m</w:t>
                  </w:r>
                  <w:r>
                    <w:rPr>
                      <w:bCs/>
                      <w:sz w:val="21"/>
                      <w:szCs w:val="21"/>
                      <w:vertAlign w:val="superscript"/>
                    </w:rPr>
                    <w:t>3</w:t>
                  </w:r>
                  <w:r>
                    <w:rPr>
                      <w:bCs/>
                      <w:sz w:val="21"/>
                      <w:szCs w:val="21"/>
                    </w:rPr>
                    <w:t>/d</w:t>
                  </w:r>
                  <w:r>
                    <w:rPr>
                      <w:rFonts w:hint="eastAsia"/>
                      <w:bCs/>
                      <w:sz w:val="21"/>
                      <w:szCs w:val="21"/>
                    </w:rPr>
                    <w:t>（477.36</w:t>
                  </w:r>
                  <w:r>
                    <w:rPr>
                      <w:bCs/>
                      <w:sz w:val="21"/>
                      <w:szCs w:val="21"/>
                    </w:rPr>
                    <w:t>m</w:t>
                  </w:r>
                  <w:r>
                    <w:rPr>
                      <w:bCs/>
                      <w:sz w:val="21"/>
                      <w:szCs w:val="21"/>
                      <w:vertAlign w:val="superscript"/>
                    </w:rPr>
                    <w:t>3</w:t>
                  </w:r>
                  <w:r>
                    <w:rPr>
                      <w:bCs/>
                      <w:sz w:val="21"/>
                      <w:szCs w:val="21"/>
                    </w:rPr>
                    <w:t>/a</w:t>
                  </w:r>
                  <w:r>
                    <w:rPr>
                      <w:rFonts w:hint="eastAsia"/>
                      <w:bCs/>
                      <w:sz w:val="21"/>
                      <w:szCs w:val="21"/>
                    </w:rPr>
                    <w:t>）</w:t>
                  </w:r>
                </w:p>
              </w:tc>
              <w:tc>
                <w:tcPr>
                  <w:tcW w:w="684" w:type="pct"/>
                  <w:noWrap/>
                  <w:vAlign w:val="center"/>
                </w:tcPr>
                <w:p w14:paraId="2892126E">
                  <w:pPr>
                    <w:spacing w:line="276" w:lineRule="auto"/>
                    <w:jc w:val="center"/>
                    <w:rPr>
                      <w:bCs/>
                      <w:sz w:val="21"/>
                      <w:szCs w:val="21"/>
                    </w:rPr>
                  </w:pPr>
                  <w:r>
                    <w:rPr>
                      <w:bCs/>
                      <w:sz w:val="21"/>
                      <w:szCs w:val="21"/>
                    </w:rPr>
                    <w:t>COD</w:t>
                  </w:r>
                </w:p>
              </w:tc>
              <w:tc>
                <w:tcPr>
                  <w:tcW w:w="692" w:type="pct"/>
                  <w:noWrap/>
                  <w:vAlign w:val="center"/>
                </w:tcPr>
                <w:p w14:paraId="47C9D399">
                  <w:pPr>
                    <w:spacing w:line="276" w:lineRule="auto"/>
                    <w:jc w:val="center"/>
                    <w:rPr>
                      <w:rFonts w:hint="default" w:eastAsia="宋体"/>
                      <w:bCs/>
                      <w:sz w:val="21"/>
                      <w:szCs w:val="21"/>
                      <w:lang w:val="en-US" w:eastAsia="zh-CN"/>
                    </w:rPr>
                  </w:pPr>
                  <w:r>
                    <w:rPr>
                      <w:rFonts w:hint="eastAsia"/>
                      <w:bCs/>
                      <w:sz w:val="21"/>
                      <w:szCs w:val="21"/>
                      <w:lang w:val="en-US" w:eastAsia="zh-CN"/>
                    </w:rPr>
                    <w:t>252.75</w:t>
                  </w:r>
                </w:p>
              </w:tc>
              <w:tc>
                <w:tcPr>
                  <w:tcW w:w="581" w:type="pct"/>
                  <w:noWrap/>
                  <w:vAlign w:val="center"/>
                </w:tcPr>
                <w:p w14:paraId="43AC8F7A">
                  <w:pPr>
                    <w:spacing w:line="276" w:lineRule="auto"/>
                    <w:jc w:val="center"/>
                    <w:rPr>
                      <w:rFonts w:hint="default" w:eastAsia="宋体"/>
                      <w:bCs/>
                      <w:sz w:val="21"/>
                      <w:szCs w:val="21"/>
                      <w:lang w:val="en-US" w:eastAsia="zh-CN"/>
                    </w:rPr>
                  </w:pPr>
                  <w:r>
                    <w:rPr>
                      <w:rFonts w:hint="eastAsia"/>
                      <w:bCs/>
                      <w:sz w:val="21"/>
                      <w:szCs w:val="21"/>
                      <w:lang w:val="en-US" w:eastAsia="zh-CN"/>
                    </w:rPr>
                    <w:t>0.121</w:t>
                  </w:r>
                </w:p>
              </w:tc>
              <w:tc>
                <w:tcPr>
                  <w:tcW w:w="1242" w:type="pct"/>
                  <w:vMerge w:val="restart"/>
                  <w:noWrap/>
                  <w:vAlign w:val="center"/>
                </w:tcPr>
                <w:p w14:paraId="7CD93C2B">
                  <w:pPr>
                    <w:spacing w:line="276" w:lineRule="auto"/>
                    <w:jc w:val="center"/>
                    <w:rPr>
                      <w:bCs/>
                      <w:sz w:val="21"/>
                      <w:szCs w:val="21"/>
                    </w:rPr>
                  </w:pPr>
                  <w:r>
                    <w:rPr>
                      <w:bCs/>
                      <w:sz w:val="21"/>
                      <w:szCs w:val="21"/>
                    </w:rPr>
                    <w:t>生活污水经化粪池处理后满足</w:t>
                  </w:r>
                  <w:r>
                    <w:rPr>
                      <w:rFonts w:hint="eastAsia"/>
                      <w:bCs/>
                      <w:sz w:val="21"/>
                      <w:szCs w:val="21"/>
                    </w:rPr>
                    <w:t>淮南经济技术开发区工业污水处理厂接管限值</w:t>
                  </w:r>
                  <w:r>
                    <w:rPr>
                      <w:bCs/>
                      <w:sz w:val="21"/>
                      <w:szCs w:val="21"/>
                    </w:rPr>
                    <w:t>后排入市政污水管网，最终进入</w:t>
                  </w:r>
                  <w:r>
                    <w:rPr>
                      <w:rFonts w:hint="eastAsia"/>
                      <w:bCs/>
                      <w:sz w:val="21"/>
                      <w:szCs w:val="21"/>
                    </w:rPr>
                    <w:t>淮南经济技术开发区工业污水处理厂处理</w:t>
                  </w:r>
                </w:p>
              </w:tc>
              <w:tc>
                <w:tcPr>
                  <w:tcW w:w="710" w:type="pct"/>
                  <w:noWrap/>
                  <w:vAlign w:val="center"/>
                </w:tcPr>
                <w:p w14:paraId="353A3DE2">
                  <w:pPr>
                    <w:spacing w:line="276" w:lineRule="auto"/>
                    <w:jc w:val="center"/>
                    <w:rPr>
                      <w:rFonts w:hint="default" w:eastAsia="宋体"/>
                      <w:bCs/>
                      <w:sz w:val="21"/>
                      <w:szCs w:val="21"/>
                      <w:lang w:val="en-US" w:eastAsia="zh-CN"/>
                    </w:rPr>
                  </w:pPr>
                  <w:r>
                    <w:rPr>
                      <w:rFonts w:hint="eastAsia"/>
                      <w:bCs/>
                      <w:sz w:val="21"/>
                      <w:szCs w:val="21"/>
                      <w:lang w:val="en-US" w:eastAsia="zh-CN"/>
                    </w:rPr>
                    <w:t>360</w:t>
                  </w:r>
                </w:p>
              </w:tc>
              <w:tc>
                <w:tcPr>
                  <w:tcW w:w="873" w:type="dxa"/>
                  <w:noWrap/>
                  <w:vAlign w:val="center"/>
                </w:tcPr>
                <w:p w14:paraId="0899B76C">
                  <w:pPr>
                    <w:spacing w:line="276" w:lineRule="auto"/>
                    <w:jc w:val="center"/>
                    <w:rPr>
                      <w:bCs/>
                      <w:sz w:val="21"/>
                      <w:szCs w:val="21"/>
                    </w:rPr>
                  </w:pPr>
                  <w:r>
                    <w:rPr>
                      <w:rFonts w:hint="eastAsia"/>
                      <w:bCs/>
                      <w:sz w:val="21"/>
                      <w:szCs w:val="21"/>
                      <w:lang w:val="en-US" w:eastAsia="zh-CN"/>
                    </w:rPr>
                    <w:t>0.121</w:t>
                  </w:r>
                </w:p>
              </w:tc>
            </w:tr>
            <w:tr w14:paraId="7DC57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3" w:type="pct"/>
                  <w:vMerge w:val="continue"/>
                  <w:noWrap/>
                  <w:vAlign w:val="center"/>
                </w:tcPr>
                <w:p w14:paraId="51D27B0F">
                  <w:pPr>
                    <w:spacing w:line="276" w:lineRule="auto"/>
                    <w:jc w:val="center"/>
                    <w:rPr>
                      <w:bCs/>
                      <w:sz w:val="21"/>
                      <w:szCs w:val="21"/>
                    </w:rPr>
                  </w:pPr>
                </w:p>
              </w:tc>
              <w:tc>
                <w:tcPr>
                  <w:tcW w:w="684" w:type="pct"/>
                  <w:noWrap/>
                  <w:vAlign w:val="center"/>
                </w:tcPr>
                <w:p w14:paraId="2B1796C4">
                  <w:pPr>
                    <w:spacing w:line="276" w:lineRule="auto"/>
                    <w:jc w:val="center"/>
                    <w:rPr>
                      <w:bCs/>
                      <w:sz w:val="21"/>
                      <w:szCs w:val="21"/>
                    </w:rPr>
                  </w:pPr>
                  <w:r>
                    <w:rPr>
                      <w:bCs/>
                      <w:sz w:val="21"/>
                      <w:szCs w:val="21"/>
                    </w:rPr>
                    <w:t>BOD</w:t>
                  </w:r>
                  <w:r>
                    <w:rPr>
                      <w:bCs/>
                      <w:sz w:val="21"/>
                      <w:szCs w:val="21"/>
                      <w:vertAlign w:val="subscript"/>
                    </w:rPr>
                    <w:t>5</w:t>
                  </w:r>
                </w:p>
              </w:tc>
              <w:tc>
                <w:tcPr>
                  <w:tcW w:w="692" w:type="pct"/>
                  <w:noWrap/>
                  <w:vAlign w:val="center"/>
                </w:tcPr>
                <w:p w14:paraId="76F6CD67">
                  <w:pPr>
                    <w:spacing w:line="276" w:lineRule="auto"/>
                    <w:jc w:val="center"/>
                    <w:rPr>
                      <w:rFonts w:hint="default" w:eastAsia="宋体"/>
                      <w:bCs/>
                      <w:sz w:val="21"/>
                      <w:szCs w:val="21"/>
                      <w:lang w:val="en-US" w:eastAsia="zh-CN"/>
                    </w:rPr>
                  </w:pPr>
                  <w:r>
                    <w:rPr>
                      <w:rFonts w:hint="eastAsia"/>
                      <w:bCs/>
                      <w:sz w:val="21"/>
                      <w:szCs w:val="21"/>
                      <w:lang w:val="en-US" w:eastAsia="zh-CN"/>
                    </w:rPr>
                    <w:t>100.625</w:t>
                  </w:r>
                </w:p>
              </w:tc>
              <w:tc>
                <w:tcPr>
                  <w:tcW w:w="581" w:type="pct"/>
                  <w:noWrap/>
                  <w:vAlign w:val="center"/>
                </w:tcPr>
                <w:p w14:paraId="664F114A">
                  <w:pPr>
                    <w:spacing w:line="276" w:lineRule="auto"/>
                    <w:jc w:val="center"/>
                    <w:rPr>
                      <w:rFonts w:hint="default" w:eastAsia="宋体"/>
                      <w:bCs/>
                      <w:sz w:val="21"/>
                      <w:szCs w:val="21"/>
                      <w:lang w:val="en-US" w:eastAsia="zh-CN"/>
                    </w:rPr>
                  </w:pPr>
                  <w:r>
                    <w:rPr>
                      <w:rFonts w:hint="eastAsia"/>
                      <w:bCs/>
                      <w:sz w:val="21"/>
                      <w:szCs w:val="21"/>
                      <w:lang w:val="en-US" w:eastAsia="zh-CN"/>
                    </w:rPr>
                    <w:t>0.048</w:t>
                  </w:r>
                </w:p>
              </w:tc>
              <w:tc>
                <w:tcPr>
                  <w:tcW w:w="1242" w:type="pct"/>
                  <w:vMerge w:val="continue"/>
                  <w:noWrap/>
                  <w:vAlign w:val="center"/>
                </w:tcPr>
                <w:p w14:paraId="5FF39208">
                  <w:pPr>
                    <w:spacing w:line="276" w:lineRule="auto"/>
                    <w:jc w:val="center"/>
                    <w:rPr>
                      <w:bCs/>
                      <w:sz w:val="21"/>
                      <w:szCs w:val="21"/>
                    </w:rPr>
                  </w:pPr>
                </w:p>
              </w:tc>
              <w:tc>
                <w:tcPr>
                  <w:tcW w:w="710" w:type="pct"/>
                  <w:noWrap/>
                  <w:vAlign w:val="center"/>
                </w:tcPr>
                <w:p w14:paraId="25F3B6D1">
                  <w:pPr>
                    <w:spacing w:line="276" w:lineRule="auto"/>
                    <w:jc w:val="center"/>
                    <w:rPr>
                      <w:rFonts w:hint="default" w:eastAsia="宋体"/>
                      <w:bCs/>
                      <w:sz w:val="21"/>
                      <w:szCs w:val="21"/>
                      <w:lang w:val="en-US" w:eastAsia="zh-CN"/>
                    </w:rPr>
                  </w:pPr>
                  <w:r>
                    <w:rPr>
                      <w:rFonts w:hint="eastAsia"/>
                      <w:bCs/>
                      <w:sz w:val="21"/>
                      <w:szCs w:val="21"/>
                      <w:lang w:val="en-US" w:eastAsia="zh-CN"/>
                    </w:rPr>
                    <w:t>80</w:t>
                  </w:r>
                </w:p>
              </w:tc>
              <w:tc>
                <w:tcPr>
                  <w:tcW w:w="873" w:type="dxa"/>
                  <w:noWrap/>
                  <w:vAlign w:val="center"/>
                </w:tcPr>
                <w:p w14:paraId="5DECFCD2">
                  <w:pPr>
                    <w:spacing w:line="276" w:lineRule="auto"/>
                    <w:jc w:val="center"/>
                    <w:rPr>
                      <w:bCs/>
                      <w:sz w:val="21"/>
                      <w:szCs w:val="21"/>
                    </w:rPr>
                  </w:pPr>
                  <w:r>
                    <w:rPr>
                      <w:rFonts w:hint="eastAsia"/>
                      <w:bCs/>
                      <w:sz w:val="21"/>
                      <w:szCs w:val="21"/>
                      <w:lang w:val="en-US" w:eastAsia="zh-CN"/>
                    </w:rPr>
                    <w:t>0.048</w:t>
                  </w:r>
                </w:p>
              </w:tc>
            </w:tr>
            <w:tr w14:paraId="19654E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3" w:type="pct"/>
                  <w:vMerge w:val="continue"/>
                  <w:noWrap/>
                  <w:vAlign w:val="center"/>
                </w:tcPr>
                <w:p w14:paraId="06F3A557">
                  <w:pPr>
                    <w:spacing w:line="276" w:lineRule="auto"/>
                    <w:jc w:val="center"/>
                    <w:rPr>
                      <w:bCs/>
                      <w:sz w:val="21"/>
                      <w:szCs w:val="21"/>
                    </w:rPr>
                  </w:pPr>
                </w:p>
              </w:tc>
              <w:tc>
                <w:tcPr>
                  <w:tcW w:w="684" w:type="pct"/>
                  <w:noWrap/>
                  <w:vAlign w:val="center"/>
                </w:tcPr>
                <w:p w14:paraId="6FC422E8">
                  <w:pPr>
                    <w:spacing w:line="276" w:lineRule="auto"/>
                    <w:jc w:val="center"/>
                    <w:rPr>
                      <w:bCs/>
                      <w:sz w:val="21"/>
                      <w:szCs w:val="21"/>
                    </w:rPr>
                  </w:pPr>
                  <w:r>
                    <w:rPr>
                      <w:bCs/>
                      <w:sz w:val="21"/>
                      <w:szCs w:val="21"/>
                    </w:rPr>
                    <w:t>SS</w:t>
                  </w:r>
                </w:p>
              </w:tc>
              <w:tc>
                <w:tcPr>
                  <w:tcW w:w="692" w:type="pct"/>
                  <w:noWrap/>
                  <w:vAlign w:val="center"/>
                </w:tcPr>
                <w:p w14:paraId="5760C82F">
                  <w:pPr>
                    <w:spacing w:line="276" w:lineRule="auto"/>
                    <w:jc w:val="center"/>
                    <w:rPr>
                      <w:rFonts w:hint="default" w:eastAsia="宋体"/>
                      <w:bCs/>
                      <w:sz w:val="21"/>
                      <w:szCs w:val="21"/>
                      <w:lang w:val="en-US" w:eastAsia="zh-CN"/>
                    </w:rPr>
                  </w:pPr>
                  <w:r>
                    <w:rPr>
                      <w:rFonts w:hint="eastAsia"/>
                      <w:bCs/>
                      <w:sz w:val="21"/>
                      <w:szCs w:val="21"/>
                      <w:lang w:val="en-US" w:eastAsia="zh-CN"/>
                    </w:rPr>
                    <w:t>14</w:t>
                  </w:r>
                </w:p>
              </w:tc>
              <w:tc>
                <w:tcPr>
                  <w:tcW w:w="581" w:type="pct"/>
                  <w:noWrap/>
                  <w:vAlign w:val="center"/>
                </w:tcPr>
                <w:p w14:paraId="203065D4">
                  <w:pPr>
                    <w:spacing w:line="276" w:lineRule="auto"/>
                    <w:jc w:val="center"/>
                    <w:rPr>
                      <w:rFonts w:hint="default" w:eastAsia="宋体"/>
                      <w:bCs/>
                      <w:sz w:val="21"/>
                      <w:szCs w:val="21"/>
                      <w:lang w:val="en-US" w:eastAsia="zh-CN"/>
                    </w:rPr>
                  </w:pPr>
                  <w:r>
                    <w:rPr>
                      <w:rFonts w:hint="eastAsia"/>
                      <w:bCs/>
                      <w:sz w:val="21"/>
                      <w:szCs w:val="21"/>
                      <w:lang w:val="en-US" w:eastAsia="zh-CN"/>
                    </w:rPr>
                    <w:t>0.007</w:t>
                  </w:r>
                </w:p>
              </w:tc>
              <w:tc>
                <w:tcPr>
                  <w:tcW w:w="1242" w:type="pct"/>
                  <w:vMerge w:val="continue"/>
                  <w:noWrap/>
                  <w:vAlign w:val="center"/>
                </w:tcPr>
                <w:p w14:paraId="2EBBF5B2">
                  <w:pPr>
                    <w:spacing w:line="276" w:lineRule="auto"/>
                    <w:jc w:val="center"/>
                    <w:rPr>
                      <w:bCs/>
                      <w:sz w:val="21"/>
                      <w:szCs w:val="21"/>
                    </w:rPr>
                  </w:pPr>
                </w:p>
              </w:tc>
              <w:tc>
                <w:tcPr>
                  <w:tcW w:w="710" w:type="pct"/>
                  <w:noWrap/>
                  <w:vAlign w:val="center"/>
                </w:tcPr>
                <w:p w14:paraId="38C137BA">
                  <w:pPr>
                    <w:spacing w:line="276" w:lineRule="auto"/>
                    <w:jc w:val="center"/>
                    <w:rPr>
                      <w:rFonts w:hint="default" w:eastAsia="宋体"/>
                      <w:bCs/>
                      <w:sz w:val="21"/>
                      <w:szCs w:val="21"/>
                      <w:lang w:val="en-US" w:eastAsia="zh-CN"/>
                    </w:rPr>
                  </w:pPr>
                  <w:r>
                    <w:rPr>
                      <w:rFonts w:hint="eastAsia"/>
                      <w:bCs/>
                      <w:sz w:val="21"/>
                      <w:szCs w:val="21"/>
                      <w:lang w:val="en-US" w:eastAsia="zh-CN"/>
                    </w:rPr>
                    <w:t>200</w:t>
                  </w:r>
                </w:p>
              </w:tc>
              <w:tc>
                <w:tcPr>
                  <w:tcW w:w="873" w:type="dxa"/>
                  <w:noWrap/>
                  <w:vAlign w:val="center"/>
                </w:tcPr>
                <w:p w14:paraId="5EDDF7FD">
                  <w:pPr>
                    <w:spacing w:line="276" w:lineRule="auto"/>
                    <w:jc w:val="center"/>
                    <w:rPr>
                      <w:bCs/>
                      <w:sz w:val="21"/>
                      <w:szCs w:val="21"/>
                    </w:rPr>
                  </w:pPr>
                  <w:r>
                    <w:rPr>
                      <w:rFonts w:hint="eastAsia"/>
                      <w:bCs/>
                      <w:sz w:val="21"/>
                      <w:szCs w:val="21"/>
                      <w:lang w:val="en-US" w:eastAsia="zh-CN"/>
                    </w:rPr>
                    <w:t>0.007</w:t>
                  </w:r>
                </w:p>
              </w:tc>
            </w:tr>
            <w:tr w14:paraId="6277A9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3" w:type="pct"/>
                  <w:vMerge w:val="continue"/>
                  <w:noWrap/>
                  <w:vAlign w:val="center"/>
                </w:tcPr>
                <w:p w14:paraId="5EFCA7A5">
                  <w:pPr>
                    <w:spacing w:line="276" w:lineRule="auto"/>
                    <w:jc w:val="center"/>
                    <w:rPr>
                      <w:bCs/>
                      <w:sz w:val="21"/>
                      <w:szCs w:val="21"/>
                    </w:rPr>
                  </w:pPr>
                </w:p>
              </w:tc>
              <w:tc>
                <w:tcPr>
                  <w:tcW w:w="684" w:type="pct"/>
                  <w:noWrap/>
                  <w:vAlign w:val="center"/>
                </w:tcPr>
                <w:p w14:paraId="73920EE5">
                  <w:pPr>
                    <w:spacing w:line="276" w:lineRule="auto"/>
                    <w:jc w:val="center"/>
                    <w:rPr>
                      <w:bCs/>
                      <w:sz w:val="21"/>
                      <w:szCs w:val="21"/>
                    </w:rPr>
                  </w:pPr>
                  <w:r>
                    <w:rPr>
                      <w:bCs/>
                      <w:sz w:val="21"/>
                      <w:szCs w:val="21"/>
                    </w:rPr>
                    <w:t>NH</w:t>
                  </w:r>
                  <w:r>
                    <w:rPr>
                      <w:bCs/>
                      <w:sz w:val="21"/>
                      <w:szCs w:val="21"/>
                      <w:vertAlign w:val="subscript"/>
                    </w:rPr>
                    <w:t>3</w:t>
                  </w:r>
                  <w:r>
                    <w:rPr>
                      <w:rFonts w:hint="eastAsia"/>
                      <w:bCs/>
                      <w:sz w:val="21"/>
                      <w:szCs w:val="21"/>
                    </w:rPr>
                    <w:t>-</w:t>
                  </w:r>
                  <w:r>
                    <w:rPr>
                      <w:bCs/>
                      <w:sz w:val="21"/>
                      <w:szCs w:val="21"/>
                    </w:rPr>
                    <w:t>N</w:t>
                  </w:r>
                </w:p>
              </w:tc>
              <w:tc>
                <w:tcPr>
                  <w:tcW w:w="692" w:type="pct"/>
                  <w:noWrap/>
                  <w:vAlign w:val="center"/>
                </w:tcPr>
                <w:p w14:paraId="5ACBE68E">
                  <w:pPr>
                    <w:spacing w:line="276" w:lineRule="auto"/>
                    <w:jc w:val="center"/>
                    <w:rPr>
                      <w:rFonts w:hint="default" w:eastAsia="宋体"/>
                      <w:bCs/>
                      <w:sz w:val="21"/>
                      <w:szCs w:val="21"/>
                      <w:lang w:val="en-US" w:eastAsia="zh-CN"/>
                    </w:rPr>
                  </w:pPr>
                  <w:r>
                    <w:rPr>
                      <w:rFonts w:hint="eastAsia"/>
                      <w:bCs/>
                      <w:sz w:val="21"/>
                      <w:szCs w:val="21"/>
                      <w:lang w:val="en-US" w:eastAsia="zh-CN"/>
                    </w:rPr>
                    <w:t>25.25</w:t>
                  </w:r>
                </w:p>
              </w:tc>
              <w:tc>
                <w:tcPr>
                  <w:tcW w:w="581" w:type="pct"/>
                  <w:noWrap/>
                  <w:vAlign w:val="center"/>
                </w:tcPr>
                <w:p w14:paraId="2928D42D">
                  <w:pPr>
                    <w:spacing w:line="276" w:lineRule="auto"/>
                    <w:jc w:val="center"/>
                    <w:rPr>
                      <w:rFonts w:hint="default" w:eastAsia="宋体"/>
                      <w:bCs/>
                      <w:sz w:val="21"/>
                      <w:szCs w:val="21"/>
                      <w:lang w:val="en-US" w:eastAsia="zh-CN"/>
                    </w:rPr>
                  </w:pPr>
                  <w:r>
                    <w:rPr>
                      <w:rFonts w:hint="eastAsia"/>
                      <w:bCs/>
                      <w:sz w:val="21"/>
                      <w:szCs w:val="21"/>
                      <w:lang w:val="en-US" w:eastAsia="zh-CN"/>
                    </w:rPr>
                    <w:t>0.012</w:t>
                  </w:r>
                </w:p>
              </w:tc>
              <w:tc>
                <w:tcPr>
                  <w:tcW w:w="1242" w:type="pct"/>
                  <w:vMerge w:val="continue"/>
                  <w:noWrap/>
                  <w:vAlign w:val="center"/>
                </w:tcPr>
                <w:p w14:paraId="63680A8A">
                  <w:pPr>
                    <w:spacing w:line="276" w:lineRule="auto"/>
                    <w:jc w:val="center"/>
                    <w:rPr>
                      <w:bCs/>
                      <w:sz w:val="21"/>
                      <w:szCs w:val="21"/>
                    </w:rPr>
                  </w:pPr>
                </w:p>
              </w:tc>
              <w:tc>
                <w:tcPr>
                  <w:tcW w:w="710" w:type="pct"/>
                  <w:noWrap/>
                  <w:vAlign w:val="center"/>
                </w:tcPr>
                <w:p w14:paraId="51E114D8">
                  <w:pPr>
                    <w:spacing w:line="276" w:lineRule="auto"/>
                    <w:jc w:val="center"/>
                    <w:rPr>
                      <w:rFonts w:hint="default" w:eastAsia="宋体"/>
                      <w:bCs/>
                      <w:sz w:val="21"/>
                      <w:szCs w:val="21"/>
                      <w:lang w:val="en-US" w:eastAsia="zh-CN"/>
                    </w:rPr>
                  </w:pPr>
                  <w:r>
                    <w:rPr>
                      <w:rFonts w:hint="eastAsia"/>
                      <w:bCs/>
                      <w:sz w:val="21"/>
                      <w:szCs w:val="21"/>
                      <w:lang w:val="en-US" w:eastAsia="zh-CN"/>
                    </w:rPr>
                    <w:t>35</w:t>
                  </w:r>
                </w:p>
              </w:tc>
              <w:tc>
                <w:tcPr>
                  <w:tcW w:w="873" w:type="dxa"/>
                  <w:noWrap/>
                  <w:vAlign w:val="center"/>
                </w:tcPr>
                <w:p w14:paraId="14B75544">
                  <w:pPr>
                    <w:spacing w:line="276" w:lineRule="auto"/>
                    <w:jc w:val="center"/>
                    <w:rPr>
                      <w:bCs/>
                      <w:sz w:val="21"/>
                      <w:szCs w:val="21"/>
                    </w:rPr>
                  </w:pPr>
                  <w:r>
                    <w:rPr>
                      <w:rFonts w:hint="eastAsia"/>
                      <w:bCs/>
                      <w:sz w:val="21"/>
                      <w:szCs w:val="21"/>
                      <w:lang w:val="en-US" w:eastAsia="zh-CN"/>
                    </w:rPr>
                    <w:t>0.012</w:t>
                  </w:r>
                </w:p>
              </w:tc>
            </w:tr>
          </w:tbl>
          <w:p w14:paraId="19D593FD">
            <w:pPr>
              <w:spacing w:line="360" w:lineRule="auto"/>
              <w:rPr>
                <w:color w:val="FF0000"/>
              </w:rPr>
            </w:pPr>
          </w:p>
        </w:tc>
      </w:tr>
    </w:tbl>
    <w:p w14:paraId="0A43DA80">
      <w:pPr>
        <w:rPr>
          <w:color w:val="FF0000"/>
        </w:rPr>
        <w:sectPr>
          <w:pgSz w:w="11906" w:h="16838"/>
          <w:pgMar w:top="1440" w:right="1800" w:bottom="1440" w:left="1800" w:header="851" w:footer="992" w:gutter="0"/>
          <w:cols w:space="425" w:num="1"/>
          <w:docGrid w:type="lines" w:linePitch="312" w:charSpace="0"/>
        </w:sect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BDD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212EE89">
            <w:pPr>
              <w:spacing w:line="360" w:lineRule="auto"/>
              <w:jc w:val="center"/>
              <w:rPr>
                <w:rFonts w:cs="宋体"/>
                <w:bCs/>
              </w:rPr>
            </w:pPr>
            <w:r>
              <w:rPr>
                <w:rFonts w:hint="eastAsia" w:cs="宋体"/>
                <w:bCs/>
              </w:rPr>
              <w:t>运营</w:t>
            </w:r>
          </w:p>
          <w:p w14:paraId="0B235EA3">
            <w:pPr>
              <w:spacing w:line="360" w:lineRule="auto"/>
              <w:jc w:val="center"/>
              <w:rPr>
                <w:rFonts w:cs="宋体"/>
                <w:bCs/>
              </w:rPr>
            </w:pPr>
            <w:r>
              <w:rPr>
                <w:rFonts w:hint="eastAsia" w:cs="宋体"/>
                <w:bCs/>
              </w:rPr>
              <w:t>期环</w:t>
            </w:r>
          </w:p>
          <w:p w14:paraId="2138F251">
            <w:pPr>
              <w:spacing w:line="360" w:lineRule="auto"/>
              <w:jc w:val="center"/>
              <w:rPr>
                <w:rFonts w:cs="宋体"/>
                <w:bCs/>
              </w:rPr>
            </w:pPr>
            <w:r>
              <w:rPr>
                <w:rFonts w:hint="eastAsia" w:cs="宋体"/>
                <w:bCs/>
              </w:rPr>
              <w:t>境影</w:t>
            </w:r>
          </w:p>
          <w:p w14:paraId="043BFC70">
            <w:pPr>
              <w:spacing w:line="360" w:lineRule="auto"/>
              <w:jc w:val="center"/>
              <w:rPr>
                <w:rFonts w:cs="宋体"/>
                <w:bCs/>
              </w:rPr>
            </w:pPr>
            <w:r>
              <w:rPr>
                <w:rFonts w:hint="eastAsia" w:cs="宋体"/>
                <w:bCs/>
              </w:rPr>
              <w:t>响和</w:t>
            </w:r>
          </w:p>
          <w:p w14:paraId="7CA33271">
            <w:pPr>
              <w:spacing w:line="360" w:lineRule="auto"/>
              <w:jc w:val="center"/>
              <w:rPr>
                <w:rFonts w:cs="宋体"/>
                <w:bCs/>
              </w:rPr>
            </w:pPr>
            <w:r>
              <w:rPr>
                <w:rFonts w:hint="eastAsia" w:cs="宋体"/>
                <w:bCs/>
              </w:rPr>
              <w:t>保护</w:t>
            </w:r>
          </w:p>
          <w:p w14:paraId="3E43B9A3">
            <w:pPr>
              <w:rPr>
                <w:color w:val="FF0000"/>
              </w:rPr>
            </w:pPr>
            <w:r>
              <w:rPr>
                <w:rFonts w:hint="eastAsia" w:cs="宋体"/>
                <w:bCs/>
              </w:rPr>
              <w:t>措施</w:t>
            </w:r>
          </w:p>
        </w:tc>
        <w:tc>
          <w:tcPr>
            <w:tcW w:w="7988" w:type="dxa"/>
            <w:vAlign w:val="center"/>
          </w:tcPr>
          <w:p w14:paraId="19E94C6E">
            <w:pPr>
              <w:spacing w:line="360" w:lineRule="auto"/>
              <w:ind w:firstLine="482" w:firstLineChars="200"/>
              <w:rPr>
                <w:b/>
              </w:rPr>
            </w:pPr>
            <w:r>
              <w:rPr>
                <w:rFonts w:hint="eastAsia"/>
                <w:b/>
              </w:rPr>
              <w:t>2.运营期水环境保护措施</w:t>
            </w:r>
          </w:p>
          <w:p w14:paraId="33A0CE02">
            <w:pPr>
              <w:spacing w:line="360" w:lineRule="auto"/>
              <w:ind w:firstLine="482" w:firstLineChars="200"/>
              <w:rPr>
                <w:bCs/>
              </w:rPr>
            </w:pPr>
            <w:r>
              <w:rPr>
                <w:rFonts w:hint="eastAsia"/>
                <w:b/>
              </w:rPr>
              <w:t>（1）生活污水环境保护措施</w:t>
            </w:r>
          </w:p>
          <w:p w14:paraId="15F8F85F">
            <w:pPr>
              <w:spacing w:line="360" w:lineRule="auto"/>
              <w:ind w:firstLine="480" w:firstLineChars="200"/>
              <w:rPr>
                <w:rFonts w:hAnsi="宋体"/>
                <w:bCs/>
                <w:color w:val="FF0000"/>
              </w:rPr>
            </w:pPr>
            <w:r>
              <w:rPr>
                <w:rFonts w:hint="eastAsia" w:hAnsi="宋体"/>
                <w:bCs/>
              </w:rPr>
              <w:t>根据《建设项目环境影响报告表编制技术指南（污染影响类）（试行）》要求，本项目废水排入淮南经济技术开发区工业污水处理厂，属于间接排放，主要调查水污染控制和水环境影响减缓措施及对依托污水处理设施的环境可行性进行调查。</w:t>
            </w:r>
          </w:p>
          <w:p w14:paraId="277A5EE3">
            <w:pPr>
              <w:spacing w:line="360" w:lineRule="auto"/>
              <w:ind w:firstLine="482" w:firstLineChars="200"/>
              <w:rPr>
                <w:rFonts w:hAnsi="宋体"/>
                <w:bCs/>
              </w:rPr>
            </w:pPr>
            <w:r>
              <w:rPr>
                <w:rFonts w:hint="eastAsia" w:hAnsi="宋体"/>
                <w:b/>
              </w:rPr>
              <w:t>1）生活污水处理措施可行性分析</w:t>
            </w:r>
          </w:p>
          <w:p w14:paraId="0B7A46FF">
            <w:pPr>
              <w:spacing w:line="360" w:lineRule="auto"/>
              <w:ind w:firstLine="480" w:firstLineChars="200"/>
              <w:rPr>
                <w:rFonts w:hAnsi="宋体"/>
                <w:bCs/>
              </w:rPr>
            </w:pPr>
            <w:r>
              <w:rPr>
                <w:rFonts w:hint="eastAsia" w:hAnsi="宋体"/>
                <w:bCs/>
              </w:rPr>
              <w:t>根据生活污水产污源强，生活污水排放浓度满足淮南经济技术开发区工业污水处理厂接管限值。项目废水处理措施可行。</w:t>
            </w:r>
          </w:p>
          <w:p w14:paraId="21BAA6E0">
            <w:pPr>
              <w:spacing w:line="360" w:lineRule="auto"/>
              <w:jc w:val="center"/>
              <w:rPr>
                <w:rFonts w:eastAsia="黑体"/>
              </w:rPr>
            </w:pPr>
            <w:r>
              <w:rPr>
                <w:rFonts w:eastAsia="黑体"/>
              </w:rPr>
              <w:t>表</w:t>
            </w:r>
            <w:r>
              <w:rPr>
                <w:rFonts w:hint="eastAsia" w:eastAsia="黑体"/>
              </w:rPr>
              <w:t>4-</w:t>
            </w:r>
            <w:r>
              <w:rPr>
                <w:rFonts w:hint="eastAsia" w:eastAsia="黑体"/>
                <w:lang w:val="en-US" w:eastAsia="zh-CN"/>
              </w:rPr>
              <w:t>3</w:t>
            </w:r>
            <w:r>
              <w:rPr>
                <w:rFonts w:hint="eastAsia" w:eastAsia="黑体"/>
              </w:rPr>
              <w:t xml:space="preserve">  废水排放口（间接）基本情况</w:t>
            </w:r>
            <w:r>
              <w:rPr>
                <w:rFonts w:eastAsia="黑体"/>
              </w:rPr>
              <w:t>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910"/>
              <w:gridCol w:w="1010"/>
              <w:gridCol w:w="1059"/>
              <w:gridCol w:w="720"/>
              <w:gridCol w:w="555"/>
              <w:gridCol w:w="720"/>
              <w:gridCol w:w="749"/>
              <w:gridCol w:w="944"/>
              <w:gridCol w:w="673"/>
            </w:tblGrid>
            <w:tr w14:paraId="545DCE8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77" w:type="pct"/>
                  <w:vMerge w:val="restart"/>
                  <w:noWrap/>
                  <w:vAlign w:val="center"/>
                </w:tcPr>
                <w:p w14:paraId="4181759F">
                  <w:pPr>
                    <w:spacing w:line="276" w:lineRule="auto"/>
                    <w:jc w:val="center"/>
                    <w:rPr>
                      <w:b/>
                      <w:sz w:val="21"/>
                      <w:szCs w:val="21"/>
                    </w:rPr>
                  </w:pPr>
                  <w:r>
                    <w:rPr>
                      <w:b/>
                      <w:sz w:val="21"/>
                      <w:szCs w:val="21"/>
                    </w:rPr>
                    <w:t>序号</w:t>
                  </w:r>
                </w:p>
              </w:tc>
              <w:tc>
                <w:tcPr>
                  <w:tcW w:w="585" w:type="pct"/>
                  <w:vMerge w:val="restart"/>
                  <w:noWrap/>
                  <w:vAlign w:val="center"/>
                </w:tcPr>
                <w:p w14:paraId="7E955D6B">
                  <w:pPr>
                    <w:spacing w:line="276" w:lineRule="auto"/>
                    <w:jc w:val="center"/>
                    <w:rPr>
                      <w:b/>
                      <w:sz w:val="21"/>
                      <w:szCs w:val="21"/>
                    </w:rPr>
                  </w:pPr>
                  <w:r>
                    <w:rPr>
                      <w:b/>
                      <w:sz w:val="21"/>
                      <w:szCs w:val="21"/>
                    </w:rPr>
                    <w:t>排放口编号</w:t>
                  </w:r>
                </w:p>
              </w:tc>
              <w:tc>
                <w:tcPr>
                  <w:tcW w:w="1331" w:type="pct"/>
                  <w:gridSpan w:val="2"/>
                  <w:noWrap/>
                  <w:vAlign w:val="center"/>
                </w:tcPr>
                <w:p w14:paraId="022AEA73">
                  <w:pPr>
                    <w:spacing w:line="276" w:lineRule="auto"/>
                    <w:jc w:val="center"/>
                    <w:rPr>
                      <w:b/>
                      <w:sz w:val="21"/>
                      <w:szCs w:val="21"/>
                    </w:rPr>
                  </w:pPr>
                  <w:r>
                    <w:rPr>
                      <w:b/>
                      <w:sz w:val="21"/>
                      <w:szCs w:val="21"/>
                    </w:rPr>
                    <w:t>排放口坐标</w:t>
                  </w:r>
                </w:p>
              </w:tc>
              <w:tc>
                <w:tcPr>
                  <w:tcW w:w="463" w:type="pct"/>
                  <w:vMerge w:val="restart"/>
                  <w:noWrap/>
                  <w:vAlign w:val="center"/>
                </w:tcPr>
                <w:p w14:paraId="69D72E70">
                  <w:pPr>
                    <w:spacing w:line="276" w:lineRule="auto"/>
                    <w:jc w:val="center"/>
                    <w:rPr>
                      <w:b/>
                      <w:sz w:val="21"/>
                      <w:szCs w:val="21"/>
                    </w:rPr>
                  </w:pPr>
                  <w:r>
                    <w:rPr>
                      <w:b/>
                      <w:sz w:val="21"/>
                      <w:szCs w:val="21"/>
                    </w:rPr>
                    <w:t>排放去向</w:t>
                  </w:r>
                </w:p>
              </w:tc>
              <w:tc>
                <w:tcPr>
                  <w:tcW w:w="357" w:type="pct"/>
                  <w:vMerge w:val="restart"/>
                  <w:noWrap/>
                  <w:vAlign w:val="center"/>
                </w:tcPr>
                <w:p w14:paraId="4669E252">
                  <w:pPr>
                    <w:spacing w:line="276" w:lineRule="auto"/>
                    <w:jc w:val="center"/>
                    <w:rPr>
                      <w:b/>
                      <w:sz w:val="21"/>
                      <w:szCs w:val="21"/>
                    </w:rPr>
                  </w:pPr>
                  <w:r>
                    <w:rPr>
                      <w:b/>
                      <w:sz w:val="21"/>
                      <w:szCs w:val="21"/>
                    </w:rPr>
                    <w:t>排放规律</w:t>
                  </w:r>
                </w:p>
              </w:tc>
              <w:tc>
                <w:tcPr>
                  <w:tcW w:w="463" w:type="pct"/>
                  <w:vMerge w:val="restart"/>
                  <w:noWrap/>
                  <w:vAlign w:val="center"/>
                </w:tcPr>
                <w:p w14:paraId="11C774EC">
                  <w:pPr>
                    <w:spacing w:line="276" w:lineRule="auto"/>
                    <w:jc w:val="center"/>
                    <w:rPr>
                      <w:b/>
                      <w:sz w:val="21"/>
                      <w:szCs w:val="21"/>
                    </w:rPr>
                  </w:pPr>
                  <w:r>
                    <w:rPr>
                      <w:b/>
                      <w:sz w:val="21"/>
                      <w:szCs w:val="21"/>
                    </w:rPr>
                    <w:t>间歇排放时段</w:t>
                  </w:r>
                </w:p>
              </w:tc>
              <w:tc>
                <w:tcPr>
                  <w:tcW w:w="1522" w:type="pct"/>
                  <w:gridSpan w:val="3"/>
                  <w:noWrap/>
                  <w:vAlign w:val="center"/>
                </w:tcPr>
                <w:p w14:paraId="5E04A03E">
                  <w:pPr>
                    <w:spacing w:line="276" w:lineRule="auto"/>
                    <w:jc w:val="center"/>
                    <w:rPr>
                      <w:b/>
                      <w:sz w:val="21"/>
                      <w:szCs w:val="21"/>
                    </w:rPr>
                  </w:pPr>
                  <w:r>
                    <w:rPr>
                      <w:b/>
                      <w:sz w:val="21"/>
                      <w:szCs w:val="21"/>
                    </w:rPr>
                    <w:t>受纳污水处理厂信息</w:t>
                  </w:r>
                </w:p>
              </w:tc>
            </w:tr>
            <w:tr w14:paraId="239EE620">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77" w:type="pct"/>
                  <w:vMerge w:val="continue"/>
                  <w:noWrap/>
                  <w:vAlign w:val="center"/>
                </w:tcPr>
                <w:p w14:paraId="4C880DB7">
                  <w:pPr>
                    <w:spacing w:line="276" w:lineRule="auto"/>
                    <w:jc w:val="center"/>
                    <w:rPr>
                      <w:b/>
                      <w:sz w:val="21"/>
                      <w:szCs w:val="21"/>
                    </w:rPr>
                  </w:pPr>
                </w:p>
              </w:tc>
              <w:tc>
                <w:tcPr>
                  <w:tcW w:w="585" w:type="pct"/>
                  <w:vMerge w:val="continue"/>
                  <w:noWrap/>
                  <w:vAlign w:val="center"/>
                </w:tcPr>
                <w:p w14:paraId="51B54225">
                  <w:pPr>
                    <w:spacing w:line="276" w:lineRule="auto"/>
                    <w:jc w:val="center"/>
                    <w:rPr>
                      <w:b/>
                      <w:sz w:val="21"/>
                      <w:szCs w:val="21"/>
                    </w:rPr>
                  </w:pPr>
                </w:p>
              </w:tc>
              <w:tc>
                <w:tcPr>
                  <w:tcW w:w="650" w:type="pct"/>
                  <w:noWrap/>
                  <w:vAlign w:val="center"/>
                </w:tcPr>
                <w:p w14:paraId="002FB3E4">
                  <w:pPr>
                    <w:spacing w:line="276" w:lineRule="auto"/>
                    <w:jc w:val="center"/>
                    <w:rPr>
                      <w:b/>
                      <w:sz w:val="21"/>
                      <w:szCs w:val="21"/>
                    </w:rPr>
                  </w:pPr>
                  <w:r>
                    <w:rPr>
                      <w:b/>
                      <w:sz w:val="21"/>
                      <w:szCs w:val="21"/>
                    </w:rPr>
                    <w:t>经度</w:t>
                  </w:r>
                </w:p>
              </w:tc>
              <w:tc>
                <w:tcPr>
                  <w:tcW w:w="681" w:type="pct"/>
                  <w:noWrap/>
                  <w:vAlign w:val="center"/>
                </w:tcPr>
                <w:p w14:paraId="6921C782">
                  <w:pPr>
                    <w:spacing w:line="276" w:lineRule="auto"/>
                    <w:jc w:val="center"/>
                    <w:rPr>
                      <w:b/>
                      <w:sz w:val="21"/>
                      <w:szCs w:val="21"/>
                    </w:rPr>
                  </w:pPr>
                  <w:r>
                    <w:rPr>
                      <w:b/>
                      <w:sz w:val="21"/>
                      <w:szCs w:val="21"/>
                    </w:rPr>
                    <w:t>纬度</w:t>
                  </w:r>
                </w:p>
              </w:tc>
              <w:tc>
                <w:tcPr>
                  <w:tcW w:w="463" w:type="pct"/>
                  <w:vMerge w:val="continue"/>
                  <w:noWrap/>
                  <w:vAlign w:val="center"/>
                </w:tcPr>
                <w:p w14:paraId="0D17A432">
                  <w:pPr>
                    <w:spacing w:line="276" w:lineRule="auto"/>
                    <w:jc w:val="center"/>
                    <w:rPr>
                      <w:b/>
                      <w:sz w:val="21"/>
                      <w:szCs w:val="21"/>
                    </w:rPr>
                  </w:pPr>
                </w:p>
              </w:tc>
              <w:tc>
                <w:tcPr>
                  <w:tcW w:w="357" w:type="pct"/>
                  <w:vMerge w:val="continue"/>
                  <w:noWrap/>
                  <w:vAlign w:val="center"/>
                </w:tcPr>
                <w:p w14:paraId="756B5AE5">
                  <w:pPr>
                    <w:spacing w:line="276" w:lineRule="auto"/>
                    <w:jc w:val="center"/>
                    <w:rPr>
                      <w:b/>
                      <w:sz w:val="21"/>
                      <w:szCs w:val="21"/>
                    </w:rPr>
                  </w:pPr>
                </w:p>
              </w:tc>
              <w:tc>
                <w:tcPr>
                  <w:tcW w:w="463" w:type="pct"/>
                  <w:vMerge w:val="continue"/>
                  <w:noWrap/>
                  <w:vAlign w:val="center"/>
                </w:tcPr>
                <w:p w14:paraId="7CD69EA1">
                  <w:pPr>
                    <w:spacing w:line="276" w:lineRule="auto"/>
                    <w:jc w:val="center"/>
                    <w:rPr>
                      <w:b/>
                      <w:sz w:val="21"/>
                      <w:szCs w:val="21"/>
                    </w:rPr>
                  </w:pPr>
                </w:p>
              </w:tc>
              <w:tc>
                <w:tcPr>
                  <w:tcW w:w="482" w:type="pct"/>
                  <w:noWrap/>
                  <w:vAlign w:val="center"/>
                </w:tcPr>
                <w:p w14:paraId="3B1BEA44">
                  <w:pPr>
                    <w:spacing w:line="276" w:lineRule="auto"/>
                    <w:jc w:val="center"/>
                    <w:rPr>
                      <w:b/>
                      <w:sz w:val="21"/>
                      <w:szCs w:val="21"/>
                    </w:rPr>
                  </w:pPr>
                  <w:r>
                    <w:rPr>
                      <w:b/>
                      <w:sz w:val="21"/>
                      <w:szCs w:val="21"/>
                    </w:rPr>
                    <w:t>名称</w:t>
                  </w:r>
                </w:p>
              </w:tc>
              <w:tc>
                <w:tcPr>
                  <w:tcW w:w="607" w:type="pct"/>
                  <w:noWrap/>
                  <w:vAlign w:val="center"/>
                </w:tcPr>
                <w:p w14:paraId="285E7717">
                  <w:pPr>
                    <w:spacing w:line="276" w:lineRule="auto"/>
                    <w:jc w:val="center"/>
                    <w:rPr>
                      <w:b/>
                      <w:sz w:val="21"/>
                      <w:szCs w:val="21"/>
                    </w:rPr>
                  </w:pPr>
                  <w:r>
                    <w:rPr>
                      <w:b/>
                      <w:sz w:val="21"/>
                      <w:szCs w:val="21"/>
                    </w:rPr>
                    <w:t>污染物种类</w:t>
                  </w:r>
                </w:p>
              </w:tc>
              <w:tc>
                <w:tcPr>
                  <w:tcW w:w="431" w:type="pct"/>
                  <w:noWrap/>
                  <w:vAlign w:val="center"/>
                </w:tcPr>
                <w:p w14:paraId="5C6C97D8">
                  <w:pPr>
                    <w:spacing w:line="276" w:lineRule="auto"/>
                    <w:jc w:val="center"/>
                    <w:rPr>
                      <w:b/>
                      <w:sz w:val="21"/>
                      <w:szCs w:val="21"/>
                    </w:rPr>
                  </w:pPr>
                  <w:r>
                    <w:rPr>
                      <w:b/>
                      <w:sz w:val="21"/>
                      <w:szCs w:val="21"/>
                    </w:rPr>
                    <w:t>出水标准</w:t>
                  </w:r>
                </w:p>
              </w:tc>
            </w:tr>
            <w:tr w14:paraId="1AF71CC1">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77" w:type="pct"/>
                  <w:vMerge w:val="restart"/>
                  <w:noWrap/>
                  <w:vAlign w:val="center"/>
                </w:tcPr>
                <w:p w14:paraId="18F96DB0">
                  <w:pPr>
                    <w:spacing w:line="276" w:lineRule="auto"/>
                    <w:jc w:val="center"/>
                    <w:rPr>
                      <w:bCs/>
                      <w:sz w:val="21"/>
                      <w:szCs w:val="21"/>
                    </w:rPr>
                  </w:pPr>
                  <w:r>
                    <w:rPr>
                      <w:bCs/>
                      <w:sz w:val="21"/>
                      <w:szCs w:val="21"/>
                    </w:rPr>
                    <w:t>1</w:t>
                  </w:r>
                </w:p>
              </w:tc>
              <w:tc>
                <w:tcPr>
                  <w:tcW w:w="585" w:type="pct"/>
                  <w:vMerge w:val="restart"/>
                  <w:noWrap/>
                  <w:vAlign w:val="center"/>
                </w:tcPr>
                <w:p w14:paraId="605A0ABA">
                  <w:pPr>
                    <w:spacing w:line="276" w:lineRule="auto"/>
                    <w:jc w:val="center"/>
                    <w:rPr>
                      <w:bCs/>
                      <w:sz w:val="21"/>
                      <w:szCs w:val="21"/>
                    </w:rPr>
                  </w:pPr>
                  <w:r>
                    <w:rPr>
                      <w:bCs/>
                      <w:sz w:val="21"/>
                      <w:szCs w:val="21"/>
                    </w:rPr>
                    <w:t>DW001</w:t>
                  </w:r>
                </w:p>
              </w:tc>
              <w:tc>
                <w:tcPr>
                  <w:tcW w:w="650" w:type="pct"/>
                  <w:vMerge w:val="restart"/>
                  <w:noWrap/>
                  <w:vAlign w:val="center"/>
                </w:tcPr>
                <w:p w14:paraId="23566D23">
                  <w:pPr>
                    <w:spacing w:line="276" w:lineRule="auto"/>
                    <w:jc w:val="center"/>
                    <w:rPr>
                      <w:bCs/>
                      <w:sz w:val="21"/>
                      <w:szCs w:val="21"/>
                    </w:rPr>
                  </w:pPr>
                  <w:r>
                    <w:rPr>
                      <w:bCs/>
                      <w:sz w:val="21"/>
                      <w:szCs w:val="21"/>
                    </w:rPr>
                    <w:t>E117°5′34.727″</w:t>
                  </w:r>
                </w:p>
              </w:tc>
              <w:tc>
                <w:tcPr>
                  <w:tcW w:w="681" w:type="pct"/>
                  <w:vMerge w:val="restart"/>
                  <w:noWrap/>
                  <w:vAlign w:val="center"/>
                </w:tcPr>
                <w:p w14:paraId="7E6E5E87">
                  <w:pPr>
                    <w:spacing w:line="276" w:lineRule="auto"/>
                    <w:jc w:val="center"/>
                    <w:rPr>
                      <w:bCs/>
                      <w:sz w:val="21"/>
                      <w:szCs w:val="21"/>
                    </w:rPr>
                  </w:pPr>
                  <w:r>
                    <w:rPr>
                      <w:bCs/>
                      <w:sz w:val="21"/>
                      <w:szCs w:val="21"/>
                    </w:rPr>
                    <w:t>N</w:t>
                  </w:r>
                  <w:r>
                    <w:rPr>
                      <w:rFonts w:hint="eastAsia"/>
                      <w:bCs/>
                      <w:sz w:val="21"/>
                      <w:szCs w:val="21"/>
                    </w:rPr>
                    <w:t>32</w:t>
                  </w:r>
                  <w:r>
                    <w:rPr>
                      <w:bCs/>
                      <w:sz w:val="21"/>
                      <w:szCs w:val="21"/>
                    </w:rPr>
                    <w:t>°</w:t>
                  </w:r>
                  <w:r>
                    <w:rPr>
                      <w:rFonts w:hint="eastAsia"/>
                      <w:bCs/>
                      <w:sz w:val="21"/>
                      <w:szCs w:val="21"/>
                    </w:rPr>
                    <w:t>37</w:t>
                  </w:r>
                  <w:r>
                    <w:rPr>
                      <w:bCs/>
                      <w:sz w:val="21"/>
                      <w:szCs w:val="21"/>
                    </w:rPr>
                    <w:t>′</w:t>
                  </w:r>
                  <w:r>
                    <w:rPr>
                      <w:rFonts w:hint="eastAsia"/>
                      <w:bCs/>
                      <w:sz w:val="21"/>
                      <w:szCs w:val="21"/>
                    </w:rPr>
                    <w:t>52.348</w:t>
                  </w:r>
                  <w:r>
                    <w:rPr>
                      <w:bCs/>
                      <w:sz w:val="21"/>
                      <w:szCs w:val="21"/>
                    </w:rPr>
                    <w:t>″</w:t>
                  </w:r>
                </w:p>
              </w:tc>
              <w:tc>
                <w:tcPr>
                  <w:tcW w:w="463" w:type="pct"/>
                  <w:vMerge w:val="restart"/>
                  <w:noWrap/>
                  <w:vAlign w:val="center"/>
                </w:tcPr>
                <w:p w14:paraId="60ED8AE4">
                  <w:pPr>
                    <w:spacing w:line="276" w:lineRule="auto"/>
                    <w:jc w:val="center"/>
                    <w:rPr>
                      <w:bCs/>
                      <w:sz w:val="21"/>
                      <w:szCs w:val="21"/>
                    </w:rPr>
                  </w:pPr>
                  <w:r>
                    <w:rPr>
                      <w:rFonts w:hint="eastAsia"/>
                      <w:bCs/>
                      <w:sz w:val="21"/>
                      <w:szCs w:val="21"/>
                    </w:rPr>
                    <w:t>淮南经济技术开发区工业污水处理厂</w:t>
                  </w:r>
                </w:p>
              </w:tc>
              <w:tc>
                <w:tcPr>
                  <w:tcW w:w="357" w:type="pct"/>
                  <w:vMerge w:val="restart"/>
                  <w:noWrap/>
                  <w:vAlign w:val="center"/>
                </w:tcPr>
                <w:p w14:paraId="41AAE0AA">
                  <w:pPr>
                    <w:spacing w:line="276" w:lineRule="auto"/>
                    <w:jc w:val="center"/>
                    <w:rPr>
                      <w:bCs/>
                      <w:sz w:val="21"/>
                      <w:szCs w:val="21"/>
                    </w:rPr>
                  </w:pPr>
                  <w:r>
                    <w:rPr>
                      <w:bCs/>
                      <w:sz w:val="21"/>
                      <w:szCs w:val="21"/>
                    </w:rPr>
                    <w:t>间歇排放</w:t>
                  </w:r>
                </w:p>
              </w:tc>
              <w:tc>
                <w:tcPr>
                  <w:tcW w:w="463" w:type="pct"/>
                  <w:vMerge w:val="restart"/>
                  <w:noWrap/>
                  <w:vAlign w:val="center"/>
                </w:tcPr>
                <w:p w14:paraId="496BD15F">
                  <w:pPr>
                    <w:spacing w:line="276" w:lineRule="auto"/>
                    <w:jc w:val="center"/>
                    <w:rPr>
                      <w:bCs/>
                      <w:sz w:val="21"/>
                      <w:szCs w:val="21"/>
                    </w:rPr>
                  </w:pPr>
                  <w:r>
                    <w:rPr>
                      <w:bCs/>
                      <w:sz w:val="21"/>
                      <w:szCs w:val="21"/>
                    </w:rPr>
                    <w:t>/</w:t>
                  </w:r>
                </w:p>
              </w:tc>
              <w:tc>
                <w:tcPr>
                  <w:tcW w:w="482" w:type="pct"/>
                  <w:vMerge w:val="restart"/>
                  <w:noWrap/>
                  <w:vAlign w:val="center"/>
                </w:tcPr>
                <w:p w14:paraId="0DB8BE45">
                  <w:pPr>
                    <w:spacing w:line="276" w:lineRule="auto"/>
                    <w:jc w:val="center"/>
                    <w:rPr>
                      <w:bCs/>
                      <w:sz w:val="21"/>
                      <w:szCs w:val="21"/>
                    </w:rPr>
                  </w:pPr>
                  <w:r>
                    <w:rPr>
                      <w:rFonts w:hint="eastAsia"/>
                      <w:bCs/>
                      <w:sz w:val="21"/>
                      <w:szCs w:val="21"/>
                    </w:rPr>
                    <w:t>淮南经济技术开发区工业污水处理厂</w:t>
                  </w:r>
                </w:p>
              </w:tc>
              <w:tc>
                <w:tcPr>
                  <w:tcW w:w="607" w:type="pct"/>
                  <w:noWrap/>
                  <w:vAlign w:val="center"/>
                </w:tcPr>
                <w:p w14:paraId="120F063A">
                  <w:pPr>
                    <w:spacing w:line="276" w:lineRule="auto"/>
                    <w:jc w:val="center"/>
                    <w:rPr>
                      <w:bCs/>
                      <w:sz w:val="21"/>
                      <w:szCs w:val="21"/>
                    </w:rPr>
                  </w:pPr>
                  <w:r>
                    <w:rPr>
                      <w:bCs/>
                      <w:sz w:val="21"/>
                      <w:szCs w:val="21"/>
                    </w:rPr>
                    <w:t>pH</w:t>
                  </w:r>
                </w:p>
              </w:tc>
              <w:tc>
                <w:tcPr>
                  <w:tcW w:w="431" w:type="pct"/>
                  <w:noWrap/>
                  <w:vAlign w:val="center"/>
                </w:tcPr>
                <w:p w14:paraId="4F89EE96">
                  <w:pPr>
                    <w:spacing w:line="276" w:lineRule="auto"/>
                    <w:jc w:val="center"/>
                    <w:rPr>
                      <w:bCs/>
                      <w:sz w:val="21"/>
                      <w:szCs w:val="21"/>
                    </w:rPr>
                  </w:pPr>
                  <w:r>
                    <w:rPr>
                      <w:bCs/>
                      <w:sz w:val="21"/>
                      <w:szCs w:val="21"/>
                    </w:rPr>
                    <w:t>6~9</w:t>
                  </w:r>
                </w:p>
              </w:tc>
            </w:tr>
            <w:tr w14:paraId="3BE4AE5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77" w:type="pct"/>
                  <w:vMerge w:val="continue"/>
                  <w:noWrap/>
                  <w:vAlign w:val="center"/>
                </w:tcPr>
                <w:p w14:paraId="131AE289">
                  <w:pPr>
                    <w:spacing w:line="276" w:lineRule="auto"/>
                    <w:jc w:val="center"/>
                    <w:rPr>
                      <w:bCs/>
                      <w:sz w:val="21"/>
                      <w:szCs w:val="21"/>
                    </w:rPr>
                  </w:pPr>
                </w:p>
              </w:tc>
              <w:tc>
                <w:tcPr>
                  <w:tcW w:w="585" w:type="pct"/>
                  <w:vMerge w:val="continue"/>
                  <w:noWrap/>
                  <w:vAlign w:val="center"/>
                </w:tcPr>
                <w:p w14:paraId="511501F2">
                  <w:pPr>
                    <w:spacing w:line="276" w:lineRule="auto"/>
                    <w:jc w:val="center"/>
                    <w:rPr>
                      <w:bCs/>
                      <w:sz w:val="21"/>
                      <w:szCs w:val="21"/>
                    </w:rPr>
                  </w:pPr>
                </w:p>
              </w:tc>
              <w:tc>
                <w:tcPr>
                  <w:tcW w:w="650" w:type="pct"/>
                  <w:vMerge w:val="continue"/>
                  <w:noWrap/>
                  <w:vAlign w:val="center"/>
                </w:tcPr>
                <w:p w14:paraId="3B298584">
                  <w:pPr>
                    <w:spacing w:line="276" w:lineRule="auto"/>
                    <w:jc w:val="center"/>
                    <w:rPr>
                      <w:bCs/>
                      <w:sz w:val="21"/>
                      <w:szCs w:val="21"/>
                    </w:rPr>
                  </w:pPr>
                </w:p>
              </w:tc>
              <w:tc>
                <w:tcPr>
                  <w:tcW w:w="681" w:type="pct"/>
                  <w:vMerge w:val="continue"/>
                  <w:noWrap/>
                  <w:vAlign w:val="center"/>
                </w:tcPr>
                <w:p w14:paraId="0F6B3651">
                  <w:pPr>
                    <w:spacing w:line="276" w:lineRule="auto"/>
                    <w:jc w:val="center"/>
                    <w:rPr>
                      <w:bCs/>
                      <w:sz w:val="21"/>
                      <w:szCs w:val="21"/>
                    </w:rPr>
                  </w:pPr>
                </w:p>
              </w:tc>
              <w:tc>
                <w:tcPr>
                  <w:tcW w:w="463" w:type="pct"/>
                  <w:vMerge w:val="continue"/>
                  <w:noWrap/>
                  <w:vAlign w:val="center"/>
                </w:tcPr>
                <w:p w14:paraId="15B6F70B">
                  <w:pPr>
                    <w:spacing w:line="276" w:lineRule="auto"/>
                    <w:jc w:val="center"/>
                    <w:rPr>
                      <w:bCs/>
                      <w:sz w:val="21"/>
                      <w:szCs w:val="21"/>
                    </w:rPr>
                  </w:pPr>
                </w:p>
              </w:tc>
              <w:tc>
                <w:tcPr>
                  <w:tcW w:w="357" w:type="pct"/>
                  <w:vMerge w:val="continue"/>
                  <w:noWrap/>
                  <w:vAlign w:val="center"/>
                </w:tcPr>
                <w:p w14:paraId="3F19DB76">
                  <w:pPr>
                    <w:spacing w:line="276" w:lineRule="auto"/>
                    <w:jc w:val="center"/>
                    <w:rPr>
                      <w:bCs/>
                      <w:sz w:val="21"/>
                      <w:szCs w:val="21"/>
                    </w:rPr>
                  </w:pPr>
                </w:p>
              </w:tc>
              <w:tc>
                <w:tcPr>
                  <w:tcW w:w="463" w:type="pct"/>
                  <w:vMerge w:val="continue"/>
                  <w:noWrap/>
                  <w:vAlign w:val="center"/>
                </w:tcPr>
                <w:p w14:paraId="739421F5">
                  <w:pPr>
                    <w:spacing w:line="276" w:lineRule="auto"/>
                    <w:jc w:val="center"/>
                    <w:rPr>
                      <w:bCs/>
                      <w:sz w:val="21"/>
                      <w:szCs w:val="21"/>
                    </w:rPr>
                  </w:pPr>
                </w:p>
              </w:tc>
              <w:tc>
                <w:tcPr>
                  <w:tcW w:w="482" w:type="pct"/>
                  <w:vMerge w:val="continue"/>
                  <w:noWrap/>
                  <w:vAlign w:val="center"/>
                </w:tcPr>
                <w:p w14:paraId="3481D933">
                  <w:pPr>
                    <w:spacing w:line="276" w:lineRule="auto"/>
                    <w:jc w:val="center"/>
                    <w:rPr>
                      <w:bCs/>
                      <w:sz w:val="21"/>
                      <w:szCs w:val="21"/>
                    </w:rPr>
                  </w:pPr>
                </w:p>
              </w:tc>
              <w:tc>
                <w:tcPr>
                  <w:tcW w:w="607" w:type="pct"/>
                  <w:noWrap/>
                  <w:vAlign w:val="center"/>
                </w:tcPr>
                <w:p w14:paraId="09532BD0">
                  <w:pPr>
                    <w:spacing w:line="276" w:lineRule="auto"/>
                    <w:jc w:val="center"/>
                    <w:rPr>
                      <w:bCs/>
                      <w:sz w:val="21"/>
                      <w:szCs w:val="21"/>
                    </w:rPr>
                  </w:pPr>
                  <w:r>
                    <w:rPr>
                      <w:bCs/>
                      <w:sz w:val="21"/>
                      <w:szCs w:val="21"/>
                    </w:rPr>
                    <w:t>COD</w:t>
                  </w:r>
                </w:p>
              </w:tc>
              <w:tc>
                <w:tcPr>
                  <w:tcW w:w="431" w:type="pct"/>
                  <w:noWrap/>
                  <w:vAlign w:val="center"/>
                </w:tcPr>
                <w:p w14:paraId="22DB9FDB">
                  <w:pPr>
                    <w:spacing w:line="276" w:lineRule="auto"/>
                    <w:jc w:val="center"/>
                    <w:rPr>
                      <w:bCs/>
                      <w:sz w:val="21"/>
                      <w:szCs w:val="21"/>
                    </w:rPr>
                  </w:pPr>
                  <w:r>
                    <w:rPr>
                      <w:bCs/>
                      <w:sz w:val="21"/>
                      <w:szCs w:val="21"/>
                    </w:rPr>
                    <w:t>50</w:t>
                  </w:r>
                </w:p>
              </w:tc>
            </w:tr>
            <w:tr w14:paraId="667F64A2">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77" w:type="pct"/>
                  <w:vMerge w:val="continue"/>
                  <w:noWrap/>
                  <w:vAlign w:val="center"/>
                </w:tcPr>
                <w:p w14:paraId="003E6883">
                  <w:pPr>
                    <w:spacing w:line="276" w:lineRule="auto"/>
                    <w:jc w:val="center"/>
                    <w:rPr>
                      <w:bCs/>
                      <w:sz w:val="21"/>
                      <w:szCs w:val="21"/>
                    </w:rPr>
                  </w:pPr>
                </w:p>
              </w:tc>
              <w:tc>
                <w:tcPr>
                  <w:tcW w:w="585" w:type="pct"/>
                  <w:vMerge w:val="continue"/>
                  <w:noWrap/>
                  <w:vAlign w:val="center"/>
                </w:tcPr>
                <w:p w14:paraId="1118FC55">
                  <w:pPr>
                    <w:spacing w:line="276" w:lineRule="auto"/>
                    <w:jc w:val="center"/>
                    <w:rPr>
                      <w:bCs/>
                      <w:sz w:val="21"/>
                      <w:szCs w:val="21"/>
                    </w:rPr>
                  </w:pPr>
                </w:p>
              </w:tc>
              <w:tc>
                <w:tcPr>
                  <w:tcW w:w="650" w:type="pct"/>
                  <w:vMerge w:val="continue"/>
                  <w:noWrap/>
                  <w:vAlign w:val="center"/>
                </w:tcPr>
                <w:p w14:paraId="51D2E948">
                  <w:pPr>
                    <w:spacing w:line="276" w:lineRule="auto"/>
                    <w:jc w:val="center"/>
                    <w:rPr>
                      <w:bCs/>
                      <w:sz w:val="21"/>
                      <w:szCs w:val="21"/>
                    </w:rPr>
                  </w:pPr>
                </w:p>
              </w:tc>
              <w:tc>
                <w:tcPr>
                  <w:tcW w:w="681" w:type="pct"/>
                  <w:vMerge w:val="continue"/>
                  <w:noWrap/>
                  <w:vAlign w:val="center"/>
                </w:tcPr>
                <w:p w14:paraId="080FFC01">
                  <w:pPr>
                    <w:spacing w:line="276" w:lineRule="auto"/>
                    <w:jc w:val="center"/>
                    <w:rPr>
                      <w:bCs/>
                      <w:sz w:val="21"/>
                      <w:szCs w:val="21"/>
                    </w:rPr>
                  </w:pPr>
                </w:p>
              </w:tc>
              <w:tc>
                <w:tcPr>
                  <w:tcW w:w="463" w:type="pct"/>
                  <w:vMerge w:val="continue"/>
                  <w:noWrap/>
                  <w:vAlign w:val="center"/>
                </w:tcPr>
                <w:p w14:paraId="02E00D62">
                  <w:pPr>
                    <w:spacing w:line="276" w:lineRule="auto"/>
                    <w:jc w:val="center"/>
                    <w:rPr>
                      <w:bCs/>
                      <w:sz w:val="21"/>
                      <w:szCs w:val="21"/>
                    </w:rPr>
                  </w:pPr>
                </w:p>
              </w:tc>
              <w:tc>
                <w:tcPr>
                  <w:tcW w:w="357" w:type="pct"/>
                  <w:vMerge w:val="continue"/>
                  <w:noWrap/>
                  <w:vAlign w:val="center"/>
                </w:tcPr>
                <w:p w14:paraId="1D2A9464">
                  <w:pPr>
                    <w:spacing w:line="276" w:lineRule="auto"/>
                    <w:jc w:val="center"/>
                    <w:rPr>
                      <w:bCs/>
                      <w:sz w:val="21"/>
                      <w:szCs w:val="21"/>
                    </w:rPr>
                  </w:pPr>
                </w:p>
              </w:tc>
              <w:tc>
                <w:tcPr>
                  <w:tcW w:w="463" w:type="pct"/>
                  <w:vMerge w:val="continue"/>
                  <w:noWrap/>
                  <w:vAlign w:val="center"/>
                </w:tcPr>
                <w:p w14:paraId="0BAE41FC">
                  <w:pPr>
                    <w:spacing w:line="276" w:lineRule="auto"/>
                    <w:jc w:val="center"/>
                    <w:rPr>
                      <w:bCs/>
                      <w:sz w:val="21"/>
                      <w:szCs w:val="21"/>
                    </w:rPr>
                  </w:pPr>
                </w:p>
              </w:tc>
              <w:tc>
                <w:tcPr>
                  <w:tcW w:w="482" w:type="pct"/>
                  <w:vMerge w:val="continue"/>
                  <w:noWrap/>
                  <w:vAlign w:val="center"/>
                </w:tcPr>
                <w:p w14:paraId="54C85F3F">
                  <w:pPr>
                    <w:spacing w:line="276" w:lineRule="auto"/>
                    <w:jc w:val="center"/>
                    <w:rPr>
                      <w:bCs/>
                      <w:sz w:val="21"/>
                      <w:szCs w:val="21"/>
                    </w:rPr>
                  </w:pPr>
                </w:p>
              </w:tc>
              <w:tc>
                <w:tcPr>
                  <w:tcW w:w="607" w:type="pct"/>
                  <w:noWrap/>
                  <w:vAlign w:val="center"/>
                </w:tcPr>
                <w:p w14:paraId="1388BA65">
                  <w:pPr>
                    <w:spacing w:line="276" w:lineRule="auto"/>
                    <w:jc w:val="center"/>
                    <w:rPr>
                      <w:bCs/>
                      <w:sz w:val="21"/>
                      <w:szCs w:val="21"/>
                    </w:rPr>
                  </w:pPr>
                  <w:r>
                    <w:rPr>
                      <w:bCs/>
                      <w:sz w:val="21"/>
                      <w:szCs w:val="21"/>
                    </w:rPr>
                    <w:t>BOD</w:t>
                  </w:r>
                  <w:r>
                    <w:rPr>
                      <w:bCs/>
                      <w:sz w:val="21"/>
                      <w:szCs w:val="21"/>
                      <w:vertAlign w:val="subscript"/>
                    </w:rPr>
                    <w:t>5</w:t>
                  </w:r>
                </w:p>
              </w:tc>
              <w:tc>
                <w:tcPr>
                  <w:tcW w:w="431" w:type="pct"/>
                  <w:noWrap/>
                  <w:vAlign w:val="center"/>
                </w:tcPr>
                <w:p w14:paraId="2E8ACCCD">
                  <w:pPr>
                    <w:spacing w:line="276" w:lineRule="auto"/>
                    <w:jc w:val="center"/>
                    <w:rPr>
                      <w:bCs/>
                      <w:sz w:val="21"/>
                      <w:szCs w:val="21"/>
                    </w:rPr>
                  </w:pPr>
                  <w:r>
                    <w:rPr>
                      <w:bCs/>
                      <w:sz w:val="21"/>
                      <w:szCs w:val="21"/>
                    </w:rPr>
                    <w:t>10</w:t>
                  </w:r>
                </w:p>
              </w:tc>
            </w:tr>
            <w:tr w14:paraId="5772A608">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77" w:type="pct"/>
                  <w:vMerge w:val="continue"/>
                  <w:noWrap/>
                  <w:vAlign w:val="center"/>
                </w:tcPr>
                <w:p w14:paraId="6BB2490E">
                  <w:pPr>
                    <w:spacing w:line="276" w:lineRule="auto"/>
                    <w:jc w:val="center"/>
                    <w:rPr>
                      <w:bCs/>
                      <w:sz w:val="21"/>
                      <w:szCs w:val="21"/>
                    </w:rPr>
                  </w:pPr>
                </w:p>
              </w:tc>
              <w:tc>
                <w:tcPr>
                  <w:tcW w:w="585" w:type="pct"/>
                  <w:vMerge w:val="continue"/>
                  <w:noWrap/>
                  <w:vAlign w:val="center"/>
                </w:tcPr>
                <w:p w14:paraId="45DF39BE">
                  <w:pPr>
                    <w:spacing w:line="276" w:lineRule="auto"/>
                    <w:jc w:val="center"/>
                    <w:rPr>
                      <w:bCs/>
                      <w:sz w:val="21"/>
                      <w:szCs w:val="21"/>
                    </w:rPr>
                  </w:pPr>
                </w:p>
              </w:tc>
              <w:tc>
                <w:tcPr>
                  <w:tcW w:w="650" w:type="pct"/>
                  <w:vMerge w:val="continue"/>
                  <w:noWrap/>
                  <w:vAlign w:val="center"/>
                </w:tcPr>
                <w:p w14:paraId="14477113">
                  <w:pPr>
                    <w:spacing w:line="276" w:lineRule="auto"/>
                    <w:jc w:val="center"/>
                    <w:rPr>
                      <w:bCs/>
                      <w:sz w:val="21"/>
                      <w:szCs w:val="21"/>
                    </w:rPr>
                  </w:pPr>
                </w:p>
              </w:tc>
              <w:tc>
                <w:tcPr>
                  <w:tcW w:w="681" w:type="pct"/>
                  <w:vMerge w:val="continue"/>
                  <w:noWrap/>
                  <w:vAlign w:val="center"/>
                </w:tcPr>
                <w:p w14:paraId="2B85F7DB">
                  <w:pPr>
                    <w:spacing w:line="276" w:lineRule="auto"/>
                    <w:jc w:val="center"/>
                    <w:rPr>
                      <w:bCs/>
                      <w:sz w:val="21"/>
                      <w:szCs w:val="21"/>
                    </w:rPr>
                  </w:pPr>
                </w:p>
              </w:tc>
              <w:tc>
                <w:tcPr>
                  <w:tcW w:w="463" w:type="pct"/>
                  <w:vMerge w:val="continue"/>
                  <w:noWrap/>
                  <w:vAlign w:val="center"/>
                </w:tcPr>
                <w:p w14:paraId="5925A81A">
                  <w:pPr>
                    <w:spacing w:line="276" w:lineRule="auto"/>
                    <w:jc w:val="center"/>
                    <w:rPr>
                      <w:bCs/>
                      <w:sz w:val="21"/>
                      <w:szCs w:val="21"/>
                    </w:rPr>
                  </w:pPr>
                </w:p>
              </w:tc>
              <w:tc>
                <w:tcPr>
                  <w:tcW w:w="357" w:type="pct"/>
                  <w:vMerge w:val="continue"/>
                  <w:noWrap/>
                  <w:vAlign w:val="center"/>
                </w:tcPr>
                <w:p w14:paraId="5FC45109">
                  <w:pPr>
                    <w:spacing w:line="276" w:lineRule="auto"/>
                    <w:jc w:val="center"/>
                    <w:rPr>
                      <w:bCs/>
                      <w:sz w:val="21"/>
                      <w:szCs w:val="21"/>
                    </w:rPr>
                  </w:pPr>
                </w:p>
              </w:tc>
              <w:tc>
                <w:tcPr>
                  <w:tcW w:w="463" w:type="pct"/>
                  <w:vMerge w:val="continue"/>
                  <w:noWrap/>
                  <w:vAlign w:val="center"/>
                </w:tcPr>
                <w:p w14:paraId="30747B40">
                  <w:pPr>
                    <w:spacing w:line="276" w:lineRule="auto"/>
                    <w:jc w:val="center"/>
                    <w:rPr>
                      <w:bCs/>
                      <w:sz w:val="21"/>
                      <w:szCs w:val="21"/>
                    </w:rPr>
                  </w:pPr>
                </w:p>
              </w:tc>
              <w:tc>
                <w:tcPr>
                  <w:tcW w:w="482" w:type="pct"/>
                  <w:vMerge w:val="continue"/>
                  <w:noWrap/>
                  <w:vAlign w:val="center"/>
                </w:tcPr>
                <w:p w14:paraId="24350451">
                  <w:pPr>
                    <w:spacing w:line="276" w:lineRule="auto"/>
                    <w:jc w:val="center"/>
                    <w:rPr>
                      <w:bCs/>
                      <w:sz w:val="21"/>
                      <w:szCs w:val="21"/>
                    </w:rPr>
                  </w:pPr>
                </w:p>
              </w:tc>
              <w:tc>
                <w:tcPr>
                  <w:tcW w:w="607" w:type="pct"/>
                  <w:noWrap/>
                  <w:vAlign w:val="center"/>
                </w:tcPr>
                <w:p w14:paraId="3CD5E4ED">
                  <w:pPr>
                    <w:spacing w:line="276" w:lineRule="auto"/>
                    <w:jc w:val="center"/>
                    <w:rPr>
                      <w:bCs/>
                      <w:sz w:val="21"/>
                      <w:szCs w:val="21"/>
                    </w:rPr>
                  </w:pPr>
                  <w:r>
                    <w:rPr>
                      <w:bCs/>
                      <w:sz w:val="21"/>
                      <w:szCs w:val="21"/>
                    </w:rPr>
                    <w:t>SS</w:t>
                  </w:r>
                </w:p>
              </w:tc>
              <w:tc>
                <w:tcPr>
                  <w:tcW w:w="431" w:type="pct"/>
                  <w:noWrap/>
                  <w:vAlign w:val="center"/>
                </w:tcPr>
                <w:p w14:paraId="5B69B8CF">
                  <w:pPr>
                    <w:spacing w:line="276" w:lineRule="auto"/>
                    <w:jc w:val="center"/>
                    <w:rPr>
                      <w:bCs/>
                      <w:sz w:val="21"/>
                      <w:szCs w:val="21"/>
                    </w:rPr>
                  </w:pPr>
                  <w:r>
                    <w:rPr>
                      <w:bCs/>
                      <w:sz w:val="21"/>
                      <w:szCs w:val="21"/>
                    </w:rPr>
                    <w:t>10</w:t>
                  </w:r>
                </w:p>
              </w:tc>
            </w:tr>
            <w:tr w14:paraId="5BBBFFA2">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277" w:type="pct"/>
                  <w:vMerge w:val="continue"/>
                  <w:noWrap/>
                  <w:vAlign w:val="center"/>
                </w:tcPr>
                <w:p w14:paraId="283B4EB8">
                  <w:pPr>
                    <w:spacing w:line="276" w:lineRule="auto"/>
                    <w:jc w:val="center"/>
                    <w:rPr>
                      <w:bCs/>
                      <w:sz w:val="21"/>
                      <w:szCs w:val="21"/>
                    </w:rPr>
                  </w:pPr>
                </w:p>
              </w:tc>
              <w:tc>
                <w:tcPr>
                  <w:tcW w:w="585" w:type="pct"/>
                  <w:vMerge w:val="continue"/>
                  <w:noWrap/>
                  <w:vAlign w:val="center"/>
                </w:tcPr>
                <w:p w14:paraId="32677686">
                  <w:pPr>
                    <w:spacing w:line="276" w:lineRule="auto"/>
                    <w:jc w:val="center"/>
                    <w:rPr>
                      <w:bCs/>
                      <w:sz w:val="21"/>
                      <w:szCs w:val="21"/>
                    </w:rPr>
                  </w:pPr>
                </w:p>
              </w:tc>
              <w:tc>
                <w:tcPr>
                  <w:tcW w:w="650" w:type="pct"/>
                  <w:vMerge w:val="continue"/>
                  <w:noWrap/>
                  <w:vAlign w:val="center"/>
                </w:tcPr>
                <w:p w14:paraId="554AD519">
                  <w:pPr>
                    <w:spacing w:line="276" w:lineRule="auto"/>
                    <w:jc w:val="center"/>
                    <w:rPr>
                      <w:bCs/>
                      <w:sz w:val="21"/>
                      <w:szCs w:val="21"/>
                    </w:rPr>
                  </w:pPr>
                </w:p>
              </w:tc>
              <w:tc>
                <w:tcPr>
                  <w:tcW w:w="681" w:type="pct"/>
                  <w:vMerge w:val="continue"/>
                  <w:noWrap/>
                  <w:vAlign w:val="center"/>
                </w:tcPr>
                <w:p w14:paraId="79C1C38C">
                  <w:pPr>
                    <w:spacing w:line="276" w:lineRule="auto"/>
                    <w:jc w:val="center"/>
                    <w:rPr>
                      <w:bCs/>
                      <w:sz w:val="21"/>
                      <w:szCs w:val="21"/>
                    </w:rPr>
                  </w:pPr>
                </w:p>
              </w:tc>
              <w:tc>
                <w:tcPr>
                  <w:tcW w:w="463" w:type="pct"/>
                  <w:vMerge w:val="continue"/>
                  <w:noWrap/>
                  <w:vAlign w:val="center"/>
                </w:tcPr>
                <w:p w14:paraId="220F7D19">
                  <w:pPr>
                    <w:spacing w:line="276" w:lineRule="auto"/>
                    <w:jc w:val="center"/>
                    <w:rPr>
                      <w:bCs/>
                      <w:sz w:val="21"/>
                      <w:szCs w:val="21"/>
                    </w:rPr>
                  </w:pPr>
                </w:p>
              </w:tc>
              <w:tc>
                <w:tcPr>
                  <w:tcW w:w="357" w:type="pct"/>
                  <w:vMerge w:val="continue"/>
                  <w:noWrap/>
                  <w:vAlign w:val="center"/>
                </w:tcPr>
                <w:p w14:paraId="50516EF9">
                  <w:pPr>
                    <w:spacing w:line="276" w:lineRule="auto"/>
                    <w:jc w:val="center"/>
                    <w:rPr>
                      <w:bCs/>
                      <w:sz w:val="21"/>
                      <w:szCs w:val="21"/>
                    </w:rPr>
                  </w:pPr>
                </w:p>
              </w:tc>
              <w:tc>
                <w:tcPr>
                  <w:tcW w:w="463" w:type="pct"/>
                  <w:vMerge w:val="continue"/>
                  <w:noWrap/>
                  <w:vAlign w:val="center"/>
                </w:tcPr>
                <w:p w14:paraId="05664DC3">
                  <w:pPr>
                    <w:spacing w:line="276" w:lineRule="auto"/>
                    <w:jc w:val="center"/>
                    <w:rPr>
                      <w:bCs/>
                      <w:sz w:val="21"/>
                      <w:szCs w:val="21"/>
                    </w:rPr>
                  </w:pPr>
                </w:p>
              </w:tc>
              <w:tc>
                <w:tcPr>
                  <w:tcW w:w="482" w:type="pct"/>
                  <w:vMerge w:val="continue"/>
                  <w:noWrap/>
                  <w:vAlign w:val="center"/>
                </w:tcPr>
                <w:p w14:paraId="63E42312">
                  <w:pPr>
                    <w:spacing w:line="276" w:lineRule="auto"/>
                    <w:jc w:val="center"/>
                    <w:rPr>
                      <w:bCs/>
                      <w:sz w:val="21"/>
                      <w:szCs w:val="21"/>
                    </w:rPr>
                  </w:pPr>
                </w:p>
              </w:tc>
              <w:tc>
                <w:tcPr>
                  <w:tcW w:w="607" w:type="pct"/>
                  <w:noWrap/>
                  <w:vAlign w:val="center"/>
                </w:tcPr>
                <w:p w14:paraId="6F3E0835">
                  <w:pPr>
                    <w:spacing w:line="276" w:lineRule="auto"/>
                    <w:jc w:val="center"/>
                    <w:rPr>
                      <w:bCs/>
                      <w:sz w:val="21"/>
                      <w:szCs w:val="21"/>
                    </w:rPr>
                  </w:pPr>
                  <w:r>
                    <w:rPr>
                      <w:bCs/>
                      <w:sz w:val="21"/>
                      <w:szCs w:val="21"/>
                    </w:rPr>
                    <w:t>NH</w:t>
                  </w:r>
                  <w:r>
                    <w:rPr>
                      <w:bCs/>
                      <w:sz w:val="21"/>
                      <w:szCs w:val="21"/>
                      <w:vertAlign w:val="subscript"/>
                    </w:rPr>
                    <w:t>3</w:t>
                  </w:r>
                  <w:r>
                    <w:rPr>
                      <w:bCs/>
                      <w:sz w:val="21"/>
                      <w:szCs w:val="21"/>
                    </w:rPr>
                    <w:t>-N</w:t>
                  </w:r>
                </w:p>
              </w:tc>
              <w:tc>
                <w:tcPr>
                  <w:tcW w:w="431" w:type="pct"/>
                  <w:noWrap/>
                  <w:vAlign w:val="center"/>
                </w:tcPr>
                <w:p w14:paraId="525D3D1B">
                  <w:pPr>
                    <w:spacing w:line="276" w:lineRule="auto"/>
                    <w:jc w:val="center"/>
                    <w:rPr>
                      <w:bCs/>
                      <w:sz w:val="21"/>
                      <w:szCs w:val="21"/>
                    </w:rPr>
                  </w:pPr>
                  <w:r>
                    <w:rPr>
                      <w:bCs/>
                      <w:sz w:val="21"/>
                      <w:szCs w:val="21"/>
                    </w:rPr>
                    <w:t>5</w:t>
                  </w:r>
                </w:p>
              </w:tc>
            </w:tr>
          </w:tbl>
          <w:p w14:paraId="619DE135">
            <w:pPr>
              <w:spacing w:line="360" w:lineRule="auto"/>
              <w:ind w:firstLine="482" w:firstLineChars="200"/>
              <w:rPr>
                <w:rFonts w:hAnsi="宋体"/>
                <w:b/>
              </w:rPr>
            </w:pPr>
            <w:r>
              <w:rPr>
                <w:rFonts w:hint="eastAsia" w:hAnsi="宋体"/>
                <w:b/>
              </w:rPr>
              <w:t>2）污水依托淮南经济技术开发区工业污水处理厂处理可行性分析</w:t>
            </w:r>
          </w:p>
          <w:p w14:paraId="7CF1D554">
            <w:pPr>
              <w:spacing w:line="360" w:lineRule="auto"/>
              <w:ind w:firstLine="482" w:firstLineChars="200"/>
              <w:rPr>
                <w:rFonts w:hAnsi="宋体"/>
                <w:bCs/>
              </w:rPr>
            </w:pPr>
            <w:r>
              <w:rPr>
                <w:rFonts w:hint="eastAsia" w:hAnsi="宋体"/>
                <w:b/>
              </w:rPr>
              <w:t>①淮南经济技术开发区工业污水处理厂</w:t>
            </w:r>
            <w:r>
              <w:rPr>
                <w:rFonts w:hAnsi="宋体"/>
                <w:b/>
              </w:rPr>
              <w:t>概括</w:t>
            </w:r>
          </w:p>
          <w:p w14:paraId="5D4B31C8">
            <w:pPr>
              <w:spacing w:line="360" w:lineRule="auto"/>
              <w:ind w:firstLine="480" w:firstLineChars="200"/>
              <w:rPr>
                <w:rFonts w:hAnsi="宋体"/>
                <w:bCs/>
              </w:rPr>
            </w:pPr>
            <w:r>
              <w:rPr>
                <w:rFonts w:hint="eastAsia" w:hAnsi="宋体"/>
                <w:bCs/>
              </w:rPr>
              <w:t>淮南</w:t>
            </w:r>
            <w:r>
              <w:rPr>
                <w:rFonts w:hAnsi="宋体"/>
                <w:bCs/>
              </w:rPr>
              <w:t>经济技术开发区工业污水处理厂位于长宁路北路、华兴路东侧、吉安路南侧</w:t>
            </w:r>
            <w:r>
              <w:rPr>
                <w:rFonts w:hint="eastAsia" w:hAnsi="宋体"/>
                <w:bCs/>
              </w:rPr>
              <w:t>。</w:t>
            </w:r>
            <w:r>
              <w:rPr>
                <w:rFonts w:hAnsi="宋体"/>
                <w:bCs/>
              </w:rPr>
              <w:t>处理工艺采用综合处理工艺，</w:t>
            </w:r>
            <w:r>
              <w:rPr>
                <w:rFonts w:hint="eastAsia" w:hAnsi="宋体"/>
                <w:bCs/>
              </w:rPr>
              <w:t>包括水解酸化、Bardenpho生化反应、芬顿氧化、混凝沉淀、过滤和消毒等步骤，确保出水质量达到《城镇污水处理厂污染物排放标准》（GB18918-2002）的一级A标准。</w:t>
            </w:r>
          </w:p>
          <w:p w14:paraId="0975A2F4">
            <w:pPr>
              <w:spacing w:line="360" w:lineRule="auto"/>
              <w:ind w:firstLine="482" w:firstLineChars="200"/>
              <w:rPr>
                <w:rFonts w:hAnsi="宋体"/>
                <w:bCs/>
              </w:rPr>
            </w:pPr>
            <w:r>
              <w:rPr>
                <w:rFonts w:hint="eastAsia" w:hAnsi="宋体"/>
                <w:b/>
              </w:rPr>
              <w:t>②</w:t>
            </w:r>
            <w:r>
              <w:rPr>
                <w:rFonts w:hAnsi="宋体"/>
                <w:b/>
              </w:rPr>
              <w:t>污水处理厂收水范围</w:t>
            </w:r>
          </w:p>
          <w:p w14:paraId="3AF3385F">
            <w:pPr>
              <w:spacing w:line="360" w:lineRule="auto"/>
              <w:ind w:firstLine="480" w:firstLineChars="200"/>
              <w:rPr>
                <w:rFonts w:hAnsi="宋体"/>
                <w:bCs/>
              </w:rPr>
            </w:pPr>
            <w:r>
              <w:rPr>
                <w:rFonts w:hAnsi="宋体"/>
                <w:bCs/>
              </w:rPr>
              <w:t>本项目位于安徽省淮南市</w:t>
            </w:r>
            <w:r>
              <w:rPr>
                <w:rFonts w:hint="eastAsia" w:hAnsi="宋体"/>
                <w:bCs/>
              </w:rPr>
              <w:t>经济技术</w:t>
            </w:r>
            <w:r>
              <w:rPr>
                <w:rFonts w:hAnsi="宋体"/>
                <w:bCs/>
              </w:rPr>
              <w:t>开发区，距离</w:t>
            </w:r>
            <w:r>
              <w:rPr>
                <w:rFonts w:hint="eastAsia" w:hAnsi="宋体"/>
                <w:bCs/>
              </w:rPr>
              <w:t>淮南</w:t>
            </w:r>
            <w:r>
              <w:rPr>
                <w:rFonts w:hAnsi="宋体"/>
                <w:bCs/>
              </w:rPr>
              <w:t>经济技术开发区工业污水处理厂直线距离</w:t>
            </w:r>
            <w:r>
              <w:rPr>
                <w:rFonts w:hint="eastAsia" w:hAnsi="宋体"/>
                <w:bCs/>
              </w:rPr>
              <w:t>2.4km，位于该</w:t>
            </w:r>
            <w:r>
              <w:rPr>
                <w:rFonts w:hAnsi="宋体"/>
                <w:bCs/>
              </w:rPr>
              <w:t>污水处理厂收水范围之内，本项目所排</w:t>
            </w:r>
            <w:r>
              <w:rPr>
                <w:rFonts w:hint="eastAsia" w:hAnsi="宋体"/>
                <w:bCs/>
              </w:rPr>
              <w:t>污水</w:t>
            </w:r>
            <w:r>
              <w:rPr>
                <w:rFonts w:hAnsi="宋体"/>
                <w:bCs/>
              </w:rPr>
              <w:t>水质成分简单。因此从收水范围角度，本项目污水可以接管。</w:t>
            </w:r>
          </w:p>
          <w:p w14:paraId="0247FA6B">
            <w:pPr>
              <w:spacing w:line="360" w:lineRule="auto"/>
              <w:ind w:firstLine="482" w:firstLineChars="200"/>
              <w:rPr>
                <w:rFonts w:hAnsi="宋体"/>
                <w:bCs/>
              </w:rPr>
            </w:pPr>
            <w:r>
              <w:rPr>
                <w:rFonts w:hint="eastAsia" w:hAnsi="宋体"/>
                <w:b/>
              </w:rPr>
              <w:t>③</w:t>
            </w:r>
            <w:r>
              <w:rPr>
                <w:rFonts w:hAnsi="宋体"/>
                <w:b/>
              </w:rPr>
              <w:t>处理规模</w:t>
            </w:r>
          </w:p>
          <w:p w14:paraId="0FBDADF3">
            <w:pPr>
              <w:spacing w:line="360" w:lineRule="auto"/>
              <w:ind w:firstLine="480" w:firstLineChars="200"/>
              <w:rPr>
                <w:rFonts w:hAnsi="宋体"/>
                <w:bCs/>
              </w:rPr>
            </w:pPr>
            <w:r>
              <w:rPr>
                <w:rFonts w:hAnsi="宋体"/>
                <w:bCs/>
              </w:rPr>
              <w:t>本项目新增排入</w:t>
            </w:r>
            <w:r>
              <w:rPr>
                <w:rFonts w:hint="eastAsia" w:hAnsi="宋体"/>
                <w:bCs/>
              </w:rPr>
              <w:t>淮南</w:t>
            </w:r>
            <w:r>
              <w:rPr>
                <w:rFonts w:hAnsi="宋体"/>
                <w:bCs/>
              </w:rPr>
              <w:t>经济技术开发区工业污水处理厂总量约</w:t>
            </w:r>
            <w:r>
              <w:rPr>
                <w:rFonts w:hint="eastAsia" w:hAnsi="宋体"/>
                <w:bCs/>
              </w:rPr>
              <w:t>1.53</w:t>
            </w:r>
            <w:r>
              <w:rPr>
                <w:rFonts w:hAnsi="宋体"/>
                <w:bCs/>
              </w:rPr>
              <w:t>m</w:t>
            </w:r>
            <w:r>
              <w:rPr>
                <w:rFonts w:hAnsi="宋体"/>
                <w:bCs/>
                <w:vertAlign w:val="superscript"/>
              </w:rPr>
              <w:t>3</w:t>
            </w:r>
            <w:r>
              <w:rPr>
                <w:rFonts w:hAnsi="宋体"/>
                <w:bCs/>
              </w:rPr>
              <w:t>/d，根据调查，</w:t>
            </w:r>
            <w:r>
              <w:rPr>
                <w:rFonts w:hint="eastAsia" w:hAnsi="宋体"/>
                <w:bCs/>
              </w:rPr>
              <w:t>淮南</w:t>
            </w:r>
            <w:r>
              <w:rPr>
                <w:rFonts w:hAnsi="宋体"/>
                <w:bCs/>
              </w:rPr>
              <w:t>经济技术开发区工业污水处理厂总设计处理能力为</w:t>
            </w:r>
            <w:r>
              <w:rPr>
                <w:rFonts w:hint="eastAsia" w:hAnsi="宋体"/>
                <w:bCs/>
              </w:rPr>
              <w:t>3万</w:t>
            </w:r>
            <w:r>
              <w:rPr>
                <w:rFonts w:hAnsi="宋体"/>
                <w:bCs/>
              </w:rPr>
              <w:t>m</w:t>
            </w:r>
            <w:r>
              <w:rPr>
                <w:rFonts w:hAnsi="宋体"/>
                <w:bCs/>
                <w:vertAlign w:val="superscript"/>
              </w:rPr>
              <w:t>3</w:t>
            </w:r>
            <w:r>
              <w:rPr>
                <w:rFonts w:hAnsi="宋体"/>
                <w:bCs/>
              </w:rPr>
              <w:t>/d</w:t>
            </w:r>
            <w:r>
              <w:rPr>
                <w:rFonts w:hint="eastAsia" w:hAnsi="宋体"/>
                <w:bCs/>
              </w:rPr>
              <w:t>，本项目废水排放量仅占其处理能力的0.0051%，</w:t>
            </w:r>
            <w:r>
              <w:rPr>
                <w:rFonts w:hAnsi="宋体"/>
                <w:bCs/>
              </w:rPr>
              <w:t>不会对</w:t>
            </w:r>
            <w:r>
              <w:rPr>
                <w:rFonts w:hint="eastAsia" w:hAnsi="宋体"/>
                <w:bCs/>
              </w:rPr>
              <w:t>淮南</w:t>
            </w:r>
            <w:r>
              <w:rPr>
                <w:rFonts w:hAnsi="宋体"/>
                <w:bCs/>
              </w:rPr>
              <w:t>经济技术开发区工业污水处理厂的处理能力产生</w:t>
            </w:r>
            <w:r>
              <w:rPr>
                <w:rFonts w:hint="eastAsia" w:hAnsi="宋体"/>
                <w:bCs/>
              </w:rPr>
              <w:t>冲击性</w:t>
            </w:r>
            <w:r>
              <w:rPr>
                <w:rFonts w:hAnsi="宋体"/>
                <w:bCs/>
              </w:rPr>
              <w:t>影响。因此，</w:t>
            </w:r>
            <w:r>
              <w:rPr>
                <w:rFonts w:hint="eastAsia" w:hAnsi="宋体"/>
                <w:bCs/>
              </w:rPr>
              <w:t>淮南</w:t>
            </w:r>
            <w:r>
              <w:rPr>
                <w:rFonts w:hAnsi="宋体"/>
                <w:bCs/>
              </w:rPr>
              <w:t>经济技术开发区工业污水处理厂在设计规模上可以接纳本项目产生的废水。</w:t>
            </w:r>
          </w:p>
          <w:p w14:paraId="70745ECE">
            <w:pPr>
              <w:spacing w:line="360" w:lineRule="auto"/>
              <w:rPr>
                <w:rFonts w:hAnsi="宋体"/>
                <w:bCs/>
                <w:color w:val="FF0000"/>
              </w:rPr>
            </w:pPr>
            <w:r>
              <w:rPr>
                <w:rFonts w:hint="eastAsia" w:eastAsia="黑体"/>
              </w:rPr>
              <w:t>表4-</w:t>
            </w:r>
            <w:r>
              <w:rPr>
                <w:rFonts w:hint="eastAsia" w:eastAsia="黑体"/>
                <w:lang w:val="en-US" w:eastAsia="zh-CN"/>
              </w:rPr>
              <w:t>4</w:t>
            </w:r>
            <w:r>
              <w:rPr>
                <w:rFonts w:hint="eastAsia" w:eastAsia="黑体"/>
              </w:rPr>
              <w:t xml:space="preserve">  淮南</w:t>
            </w:r>
            <w:r>
              <w:rPr>
                <w:rFonts w:eastAsia="黑体"/>
              </w:rPr>
              <w:t>经济技术开发区工业污水处理厂</w:t>
            </w:r>
            <w:r>
              <w:rPr>
                <w:rFonts w:hint="eastAsia" w:eastAsia="黑体"/>
              </w:rPr>
              <w:t>进水、出水指标  单位：mg/L</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96"/>
              <w:gridCol w:w="1295"/>
              <w:gridCol w:w="1295"/>
              <w:gridCol w:w="1295"/>
              <w:gridCol w:w="1295"/>
              <w:gridCol w:w="1296"/>
            </w:tblGrid>
            <w:tr w14:paraId="5F48C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33" w:type="pct"/>
                  <w:tcBorders>
                    <w:top w:val="single" w:color="000000" w:sz="12" w:space="0"/>
                    <w:bottom w:val="single" w:color="auto" w:sz="4" w:space="0"/>
                    <w:right w:val="single" w:color="auto" w:sz="4" w:space="0"/>
                  </w:tcBorders>
                  <w:shd w:val="clear" w:color="auto" w:fill="auto"/>
                  <w:vAlign w:val="center"/>
                </w:tcPr>
                <w:p w14:paraId="2F08E447">
                  <w:pPr>
                    <w:spacing w:line="276" w:lineRule="auto"/>
                    <w:jc w:val="center"/>
                    <w:rPr>
                      <w:b/>
                      <w:sz w:val="21"/>
                      <w:szCs w:val="21"/>
                    </w:rPr>
                  </w:pPr>
                  <w:r>
                    <w:rPr>
                      <w:rFonts w:hint="eastAsia"/>
                      <w:b/>
                      <w:sz w:val="21"/>
                      <w:szCs w:val="21"/>
                    </w:rPr>
                    <w:t>指标</w:t>
                  </w:r>
                </w:p>
              </w:tc>
              <w:tc>
                <w:tcPr>
                  <w:tcW w:w="833" w:type="pct"/>
                  <w:tcBorders>
                    <w:top w:val="single" w:color="000000" w:sz="12" w:space="0"/>
                    <w:left w:val="single" w:color="auto" w:sz="4" w:space="0"/>
                    <w:bottom w:val="single" w:color="auto" w:sz="4" w:space="0"/>
                    <w:right w:val="single" w:color="auto" w:sz="4" w:space="0"/>
                  </w:tcBorders>
                  <w:vAlign w:val="center"/>
                </w:tcPr>
                <w:p w14:paraId="0DDC1694">
                  <w:pPr>
                    <w:spacing w:line="276" w:lineRule="auto"/>
                    <w:jc w:val="center"/>
                    <w:rPr>
                      <w:b/>
                      <w:sz w:val="21"/>
                      <w:szCs w:val="21"/>
                    </w:rPr>
                  </w:pPr>
                  <w:r>
                    <w:rPr>
                      <w:rFonts w:hint="eastAsia"/>
                      <w:b/>
                      <w:sz w:val="21"/>
                      <w:szCs w:val="21"/>
                    </w:rPr>
                    <w:t>pH</w:t>
                  </w:r>
                </w:p>
              </w:tc>
              <w:tc>
                <w:tcPr>
                  <w:tcW w:w="833" w:type="pct"/>
                  <w:tcBorders>
                    <w:top w:val="single" w:color="000000" w:sz="12" w:space="0"/>
                    <w:left w:val="single" w:color="auto" w:sz="4" w:space="0"/>
                    <w:bottom w:val="single" w:color="auto" w:sz="4" w:space="0"/>
                    <w:right w:val="single" w:color="auto" w:sz="4" w:space="0"/>
                  </w:tcBorders>
                  <w:shd w:val="clear" w:color="auto" w:fill="auto"/>
                  <w:vAlign w:val="center"/>
                </w:tcPr>
                <w:p w14:paraId="0975DAD2">
                  <w:pPr>
                    <w:spacing w:line="276" w:lineRule="auto"/>
                    <w:jc w:val="center"/>
                    <w:rPr>
                      <w:b/>
                      <w:sz w:val="21"/>
                      <w:szCs w:val="21"/>
                    </w:rPr>
                  </w:pPr>
                  <w:r>
                    <w:rPr>
                      <w:rFonts w:hint="eastAsia"/>
                      <w:b/>
                      <w:sz w:val="21"/>
                      <w:szCs w:val="21"/>
                    </w:rPr>
                    <w:t>COD</w:t>
                  </w:r>
                </w:p>
              </w:tc>
              <w:tc>
                <w:tcPr>
                  <w:tcW w:w="833" w:type="pct"/>
                  <w:tcBorders>
                    <w:top w:val="single" w:color="000000" w:sz="12" w:space="0"/>
                    <w:left w:val="single" w:color="auto" w:sz="4" w:space="0"/>
                    <w:bottom w:val="single" w:color="auto" w:sz="4" w:space="0"/>
                    <w:right w:val="single" w:color="auto" w:sz="4" w:space="0"/>
                  </w:tcBorders>
                  <w:shd w:val="clear" w:color="auto" w:fill="auto"/>
                  <w:vAlign w:val="center"/>
                </w:tcPr>
                <w:p w14:paraId="561CA6BB">
                  <w:pPr>
                    <w:spacing w:line="276" w:lineRule="auto"/>
                    <w:jc w:val="center"/>
                    <w:rPr>
                      <w:b/>
                      <w:sz w:val="21"/>
                      <w:szCs w:val="21"/>
                    </w:rPr>
                  </w:pPr>
                  <w:r>
                    <w:rPr>
                      <w:rFonts w:hint="eastAsia"/>
                      <w:b/>
                      <w:sz w:val="21"/>
                      <w:szCs w:val="21"/>
                    </w:rPr>
                    <w:t>BOD</w:t>
                  </w:r>
                  <w:r>
                    <w:rPr>
                      <w:rFonts w:hint="eastAsia"/>
                      <w:b/>
                      <w:sz w:val="21"/>
                      <w:szCs w:val="21"/>
                      <w:vertAlign w:val="subscript"/>
                    </w:rPr>
                    <w:t>5</w:t>
                  </w:r>
                </w:p>
              </w:tc>
              <w:tc>
                <w:tcPr>
                  <w:tcW w:w="833" w:type="pct"/>
                  <w:tcBorders>
                    <w:top w:val="single" w:color="000000" w:sz="12" w:space="0"/>
                    <w:left w:val="single" w:color="auto" w:sz="4" w:space="0"/>
                    <w:bottom w:val="single" w:color="auto" w:sz="4" w:space="0"/>
                    <w:right w:val="single" w:color="auto" w:sz="4" w:space="0"/>
                  </w:tcBorders>
                  <w:shd w:val="clear" w:color="auto" w:fill="auto"/>
                  <w:vAlign w:val="center"/>
                </w:tcPr>
                <w:p w14:paraId="6EBC2ADB">
                  <w:pPr>
                    <w:spacing w:line="276" w:lineRule="auto"/>
                    <w:jc w:val="center"/>
                    <w:rPr>
                      <w:b/>
                      <w:sz w:val="21"/>
                      <w:szCs w:val="21"/>
                    </w:rPr>
                  </w:pPr>
                  <w:r>
                    <w:rPr>
                      <w:rFonts w:hint="eastAsia"/>
                      <w:b/>
                      <w:sz w:val="21"/>
                      <w:szCs w:val="21"/>
                    </w:rPr>
                    <w:t>SS</w:t>
                  </w:r>
                </w:p>
              </w:tc>
              <w:tc>
                <w:tcPr>
                  <w:tcW w:w="834" w:type="pct"/>
                  <w:tcBorders>
                    <w:top w:val="single" w:color="000000" w:sz="12" w:space="0"/>
                    <w:left w:val="single" w:color="auto" w:sz="4" w:space="0"/>
                    <w:bottom w:val="single" w:color="auto" w:sz="4" w:space="0"/>
                  </w:tcBorders>
                  <w:shd w:val="clear" w:color="auto" w:fill="auto"/>
                  <w:vAlign w:val="center"/>
                </w:tcPr>
                <w:p w14:paraId="1B5BB0BB">
                  <w:pPr>
                    <w:spacing w:line="276" w:lineRule="auto"/>
                    <w:jc w:val="center"/>
                    <w:rPr>
                      <w:b/>
                      <w:sz w:val="21"/>
                      <w:szCs w:val="21"/>
                    </w:rPr>
                  </w:pPr>
                  <w:r>
                    <w:rPr>
                      <w:rFonts w:hint="eastAsia"/>
                      <w:b/>
                      <w:sz w:val="21"/>
                      <w:szCs w:val="21"/>
                    </w:rPr>
                    <w:t>NH</w:t>
                  </w:r>
                  <w:r>
                    <w:rPr>
                      <w:rFonts w:hint="eastAsia"/>
                      <w:b/>
                      <w:sz w:val="21"/>
                      <w:szCs w:val="21"/>
                      <w:vertAlign w:val="subscript"/>
                    </w:rPr>
                    <w:t>3</w:t>
                  </w:r>
                  <w:r>
                    <w:rPr>
                      <w:rFonts w:hint="eastAsia"/>
                      <w:b/>
                      <w:sz w:val="21"/>
                      <w:szCs w:val="21"/>
                    </w:rPr>
                    <w:t>-N</w:t>
                  </w:r>
                </w:p>
              </w:tc>
            </w:tr>
            <w:tr w14:paraId="255664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33" w:type="pct"/>
                  <w:tcBorders>
                    <w:top w:val="single" w:color="auto" w:sz="4" w:space="0"/>
                    <w:bottom w:val="single" w:color="000000" w:sz="4" w:space="0"/>
                    <w:right w:val="single" w:color="auto" w:sz="4" w:space="0"/>
                  </w:tcBorders>
                  <w:shd w:val="clear" w:color="auto" w:fill="auto"/>
                  <w:vAlign w:val="center"/>
                </w:tcPr>
                <w:p w14:paraId="7E6C4E93">
                  <w:pPr>
                    <w:spacing w:line="276" w:lineRule="auto"/>
                    <w:jc w:val="center"/>
                    <w:rPr>
                      <w:bCs/>
                      <w:sz w:val="21"/>
                      <w:szCs w:val="21"/>
                    </w:rPr>
                  </w:pPr>
                  <w:r>
                    <w:rPr>
                      <w:rFonts w:hint="eastAsia"/>
                      <w:bCs/>
                      <w:sz w:val="21"/>
                      <w:szCs w:val="21"/>
                    </w:rPr>
                    <w:t>进水</w:t>
                  </w:r>
                </w:p>
              </w:tc>
              <w:tc>
                <w:tcPr>
                  <w:tcW w:w="833" w:type="pct"/>
                  <w:tcBorders>
                    <w:top w:val="single" w:color="auto" w:sz="4" w:space="0"/>
                    <w:left w:val="single" w:color="auto" w:sz="4" w:space="0"/>
                    <w:bottom w:val="single" w:color="000000" w:sz="4" w:space="0"/>
                    <w:right w:val="single" w:color="auto" w:sz="4" w:space="0"/>
                  </w:tcBorders>
                  <w:vAlign w:val="center"/>
                </w:tcPr>
                <w:p w14:paraId="08C97B71">
                  <w:pPr>
                    <w:spacing w:line="276" w:lineRule="auto"/>
                    <w:jc w:val="center"/>
                    <w:rPr>
                      <w:bCs/>
                      <w:sz w:val="21"/>
                      <w:szCs w:val="21"/>
                    </w:rPr>
                  </w:pPr>
                  <w:r>
                    <w:rPr>
                      <w:bCs/>
                      <w:sz w:val="21"/>
                      <w:szCs w:val="21"/>
                    </w:rPr>
                    <w:t>≤6~9</w:t>
                  </w:r>
                </w:p>
              </w:tc>
              <w:tc>
                <w:tcPr>
                  <w:tcW w:w="833" w:type="pct"/>
                  <w:tcBorders>
                    <w:top w:val="single" w:color="auto" w:sz="4" w:space="0"/>
                    <w:left w:val="single" w:color="auto" w:sz="4" w:space="0"/>
                    <w:bottom w:val="single" w:color="000000" w:sz="4" w:space="0"/>
                    <w:right w:val="single" w:color="auto" w:sz="4" w:space="0"/>
                  </w:tcBorders>
                  <w:shd w:val="clear" w:color="auto" w:fill="auto"/>
                  <w:vAlign w:val="center"/>
                </w:tcPr>
                <w:p w14:paraId="7CA62A5C">
                  <w:pPr>
                    <w:spacing w:line="276" w:lineRule="auto"/>
                    <w:jc w:val="center"/>
                    <w:rPr>
                      <w:bCs/>
                      <w:sz w:val="21"/>
                      <w:szCs w:val="21"/>
                    </w:rPr>
                  </w:pPr>
                  <w:r>
                    <w:rPr>
                      <w:rFonts w:hint="eastAsia"/>
                      <w:bCs/>
                      <w:sz w:val="21"/>
                      <w:szCs w:val="21"/>
                    </w:rPr>
                    <w:t>500</w:t>
                  </w:r>
                </w:p>
              </w:tc>
              <w:tc>
                <w:tcPr>
                  <w:tcW w:w="833" w:type="pct"/>
                  <w:tcBorders>
                    <w:top w:val="single" w:color="auto" w:sz="4" w:space="0"/>
                    <w:left w:val="single" w:color="auto" w:sz="4" w:space="0"/>
                    <w:bottom w:val="single" w:color="000000" w:sz="4" w:space="0"/>
                    <w:right w:val="single" w:color="auto" w:sz="4" w:space="0"/>
                  </w:tcBorders>
                  <w:shd w:val="clear" w:color="auto" w:fill="auto"/>
                  <w:vAlign w:val="center"/>
                </w:tcPr>
                <w:p w14:paraId="4AE8A806">
                  <w:pPr>
                    <w:spacing w:line="276" w:lineRule="auto"/>
                    <w:jc w:val="center"/>
                    <w:rPr>
                      <w:bCs/>
                      <w:sz w:val="21"/>
                      <w:szCs w:val="21"/>
                    </w:rPr>
                  </w:pPr>
                  <w:r>
                    <w:rPr>
                      <w:rFonts w:hint="eastAsia"/>
                      <w:bCs/>
                      <w:sz w:val="21"/>
                      <w:szCs w:val="21"/>
                    </w:rPr>
                    <w:t>350</w:t>
                  </w:r>
                </w:p>
              </w:tc>
              <w:tc>
                <w:tcPr>
                  <w:tcW w:w="833" w:type="pct"/>
                  <w:tcBorders>
                    <w:top w:val="single" w:color="auto" w:sz="4" w:space="0"/>
                    <w:left w:val="single" w:color="auto" w:sz="4" w:space="0"/>
                    <w:bottom w:val="single" w:color="000000" w:sz="4" w:space="0"/>
                    <w:right w:val="single" w:color="auto" w:sz="4" w:space="0"/>
                  </w:tcBorders>
                  <w:shd w:val="clear" w:color="auto" w:fill="auto"/>
                  <w:vAlign w:val="center"/>
                </w:tcPr>
                <w:p w14:paraId="137399E7">
                  <w:pPr>
                    <w:spacing w:line="276" w:lineRule="auto"/>
                    <w:jc w:val="center"/>
                    <w:rPr>
                      <w:bCs/>
                      <w:sz w:val="21"/>
                      <w:szCs w:val="21"/>
                    </w:rPr>
                  </w:pPr>
                  <w:r>
                    <w:rPr>
                      <w:rFonts w:hint="eastAsia"/>
                      <w:bCs/>
                      <w:sz w:val="21"/>
                      <w:szCs w:val="21"/>
                    </w:rPr>
                    <w:t>400</w:t>
                  </w:r>
                </w:p>
              </w:tc>
              <w:tc>
                <w:tcPr>
                  <w:tcW w:w="834" w:type="pct"/>
                  <w:tcBorders>
                    <w:top w:val="single" w:color="auto" w:sz="4" w:space="0"/>
                    <w:left w:val="single" w:color="auto" w:sz="4" w:space="0"/>
                    <w:bottom w:val="single" w:color="000000" w:sz="4" w:space="0"/>
                  </w:tcBorders>
                  <w:shd w:val="clear" w:color="auto" w:fill="auto"/>
                  <w:vAlign w:val="center"/>
                </w:tcPr>
                <w:p w14:paraId="2A96C5E9">
                  <w:pPr>
                    <w:spacing w:line="276" w:lineRule="auto"/>
                    <w:jc w:val="center"/>
                    <w:rPr>
                      <w:bCs/>
                      <w:sz w:val="21"/>
                      <w:szCs w:val="21"/>
                    </w:rPr>
                  </w:pPr>
                  <w:r>
                    <w:rPr>
                      <w:rFonts w:hint="eastAsia"/>
                      <w:bCs/>
                      <w:sz w:val="21"/>
                      <w:szCs w:val="21"/>
                    </w:rPr>
                    <w:t>45</w:t>
                  </w:r>
                </w:p>
              </w:tc>
            </w:tr>
            <w:tr w14:paraId="0638E9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33" w:type="pct"/>
                  <w:tcBorders>
                    <w:top w:val="single" w:color="000000" w:sz="4" w:space="0"/>
                  </w:tcBorders>
                  <w:shd w:val="clear" w:color="auto" w:fill="auto"/>
                  <w:vAlign w:val="center"/>
                </w:tcPr>
                <w:p w14:paraId="12DC13B6">
                  <w:pPr>
                    <w:spacing w:line="276" w:lineRule="auto"/>
                    <w:jc w:val="center"/>
                    <w:rPr>
                      <w:bCs/>
                      <w:sz w:val="21"/>
                      <w:szCs w:val="21"/>
                    </w:rPr>
                  </w:pPr>
                  <w:r>
                    <w:rPr>
                      <w:rFonts w:hint="eastAsia"/>
                      <w:bCs/>
                      <w:sz w:val="21"/>
                      <w:szCs w:val="21"/>
                    </w:rPr>
                    <w:t>出水</w:t>
                  </w:r>
                </w:p>
              </w:tc>
              <w:tc>
                <w:tcPr>
                  <w:tcW w:w="833" w:type="pct"/>
                  <w:tcBorders>
                    <w:top w:val="single" w:color="000000" w:sz="4" w:space="0"/>
                  </w:tcBorders>
                  <w:vAlign w:val="center"/>
                </w:tcPr>
                <w:p w14:paraId="24227AB1">
                  <w:pPr>
                    <w:spacing w:line="276" w:lineRule="auto"/>
                    <w:jc w:val="center"/>
                    <w:rPr>
                      <w:bCs/>
                      <w:sz w:val="21"/>
                      <w:szCs w:val="21"/>
                    </w:rPr>
                  </w:pPr>
                  <w:r>
                    <w:rPr>
                      <w:bCs/>
                      <w:sz w:val="21"/>
                      <w:szCs w:val="21"/>
                    </w:rPr>
                    <w:t>≤6~9</w:t>
                  </w:r>
                </w:p>
              </w:tc>
              <w:tc>
                <w:tcPr>
                  <w:tcW w:w="833" w:type="pct"/>
                  <w:tcBorders>
                    <w:top w:val="single" w:color="000000" w:sz="4" w:space="0"/>
                  </w:tcBorders>
                  <w:shd w:val="clear" w:color="auto" w:fill="auto"/>
                  <w:vAlign w:val="center"/>
                </w:tcPr>
                <w:p w14:paraId="7A559604">
                  <w:pPr>
                    <w:spacing w:line="276" w:lineRule="auto"/>
                    <w:jc w:val="center"/>
                    <w:rPr>
                      <w:bCs/>
                      <w:sz w:val="21"/>
                      <w:szCs w:val="21"/>
                    </w:rPr>
                  </w:pPr>
                  <w:r>
                    <w:rPr>
                      <w:rFonts w:hint="eastAsia"/>
                      <w:bCs/>
                      <w:sz w:val="21"/>
                      <w:szCs w:val="21"/>
                    </w:rPr>
                    <w:t>50</w:t>
                  </w:r>
                </w:p>
              </w:tc>
              <w:tc>
                <w:tcPr>
                  <w:tcW w:w="833" w:type="pct"/>
                  <w:tcBorders>
                    <w:top w:val="single" w:color="000000" w:sz="4" w:space="0"/>
                  </w:tcBorders>
                  <w:shd w:val="clear" w:color="auto" w:fill="auto"/>
                  <w:vAlign w:val="center"/>
                </w:tcPr>
                <w:p w14:paraId="45F9462B">
                  <w:pPr>
                    <w:spacing w:line="276" w:lineRule="auto"/>
                    <w:jc w:val="center"/>
                    <w:rPr>
                      <w:bCs/>
                      <w:sz w:val="21"/>
                      <w:szCs w:val="21"/>
                    </w:rPr>
                  </w:pPr>
                  <w:r>
                    <w:rPr>
                      <w:rFonts w:hint="eastAsia"/>
                      <w:bCs/>
                      <w:sz w:val="21"/>
                      <w:szCs w:val="21"/>
                    </w:rPr>
                    <w:t>10</w:t>
                  </w:r>
                </w:p>
              </w:tc>
              <w:tc>
                <w:tcPr>
                  <w:tcW w:w="833" w:type="pct"/>
                  <w:tcBorders>
                    <w:top w:val="single" w:color="000000" w:sz="4" w:space="0"/>
                  </w:tcBorders>
                  <w:shd w:val="clear" w:color="auto" w:fill="auto"/>
                  <w:vAlign w:val="center"/>
                </w:tcPr>
                <w:p w14:paraId="7E0A1951">
                  <w:pPr>
                    <w:spacing w:line="276" w:lineRule="auto"/>
                    <w:jc w:val="center"/>
                    <w:rPr>
                      <w:bCs/>
                      <w:sz w:val="21"/>
                      <w:szCs w:val="21"/>
                    </w:rPr>
                  </w:pPr>
                  <w:r>
                    <w:rPr>
                      <w:rFonts w:hint="eastAsia"/>
                      <w:bCs/>
                      <w:sz w:val="21"/>
                      <w:szCs w:val="21"/>
                    </w:rPr>
                    <w:t>10</w:t>
                  </w:r>
                </w:p>
              </w:tc>
              <w:tc>
                <w:tcPr>
                  <w:tcW w:w="834" w:type="pct"/>
                  <w:tcBorders>
                    <w:top w:val="single" w:color="000000" w:sz="4" w:space="0"/>
                  </w:tcBorders>
                  <w:shd w:val="clear" w:color="auto" w:fill="auto"/>
                  <w:vAlign w:val="center"/>
                </w:tcPr>
                <w:p w14:paraId="70E307F3">
                  <w:pPr>
                    <w:spacing w:line="276" w:lineRule="auto"/>
                    <w:jc w:val="center"/>
                    <w:rPr>
                      <w:bCs/>
                      <w:sz w:val="21"/>
                      <w:szCs w:val="21"/>
                    </w:rPr>
                  </w:pPr>
                  <w:r>
                    <w:rPr>
                      <w:rFonts w:hint="eastAsia"/>
                      <w:bCs/>
                      <w:sz w:val="21"/>
                      <w:szCs w:val="21"/>
                    </w:rPr>
                    <w:t>5（8）</w:t>
                  </w:r>
                </w:p>
              </w:tc>
            </w:tr>
          </w:tbl>
          <w:p w14:paraId="0C5A9186">
            <w:pPr>
              <w:spacing w:line="360" w:lineRule="auto"/>
              <w:ind w:firstLine="482" w:firstLineChars="200"/>
              <w:rPr>
                <w:rFonts w:hAnsi="宋体"/>
                <w:bCs/>
                <w:color w:val="FF0000"/>
              </w:rPr>
            </w:pPr>
            <w:r>
              <w:rPr>
                <w:rFonts w:hint="eastAsia" w:hAnsi="宋体"/>
                <w:b/>
              </w:rPr>
              <w:t>3.监测要求</w:t>
            </w:r>
          </w:p>
          <w:p w14:paraId="675EDAA7">
            <w:pPr>
              <w:spacing w:line="360" w:lineRule="auto"/>
              <w:ind w:firstLine="480" w:firstLineChars="200"/>
              <w:rPr>
                <w:rFonts w:hAnsi="黑体" w:eastAsia="黑体"/>
                <w:color w:val="FF0000"/>
              </w:rPr>
            </w:pPr>
            <w:r>
              <w:rPr>
                <w:rFonts w:hint="eastAsia" w:hAnsi="宋体"/>
                <w:bCs/>
              </w:rPr>
              <w:t>本项目仅有生活污水产生，故</w:t>
            </w:r>
            <w:r>
              <w:rPr>
                <w:rFonts w:hAnsi="宋体"/>
                <w:bCs/>
              </w:rPr>
              <w:t>根据</w:t>
            </w:r>
            <w:r>
              <w:rPr>
                <w:rFonts w:hint="eastAsia" w:hAnsi="宋体"/>
                <w:bCs/>
              </w:rPr>
              <w:t>《排污许可证申请与核发技术规范 总则》（HJ942-2018）</w:t>
            </w:r>
            <w:r>
              <w:rPr>
                <w:rFonts w:hAnsi="宋体"/>
                <w:bCs/>
              </w:rPr>
              <w:t>中的</w:t>
            </w:r>
            <w:r>
              <w:rPr>
                <w:rFonts w:hint="eastAsia" w:hAnsi="宋体"/>
                <w:bCs/>
              </w:rPr>
              <w:t>相关要求“单独排入城镇集中污水处理设施的生活污水仅说明排放去向”，因此，不作监测计划。</w:t>
            </w:r>
          </w:p>
          <w:p w14:paraId="127A060F">
            <w:pPr>
              <w:spacing w:line="360" w:lineRule="auto"/>
              <w:ind w:firstLine="482" w:firstLineChars="200"/>
              <w:rPr>
                <w:b/>
                <w:color w:val="FF0000"/>
              </w:rPr>
            </w:pPr>
            <w:r>
              <w:rPr>
                <w:rFonts w:hint="eastAsia"/>
                <w:b/>
              </w:rPr>
              <w:t>三、运营期噪声环境影响和保护措施</w:t>
            </w:r>
          </w:p>
          <w:p w14:paraId="1EEA5FC0">
            <w:pPr>
              <w:spacing w:line="360" w:lineRule="auto"/>
              <w:ind w:firstLine="482" w:firstLineChars="200"/>
              <w:rPr>
                <w:rFonts w:hAnsi="宋体"/>
                <w:color w:val="FF0000"/>
              </w:rPr>
            </w:pPr>
            <w:r>
              <w:rPr>
                <w:rFonts w:hAnsi="宋体"/>
                <w:b/>
                <w:bCs/>
              </w:rPr>
              <w:t>1</w:t>
            </w:r>
            <w:r>
              <w:rPr>
                <w:rFonts w:hint="eastAsia" w:hAnsi="宋体"/>
                <w:b/>
                <w:bCs/>
              </w:rPr>
              <w:t>.</w:t>
            </w:r>
            <w:r>
              <w:rPr>
                <w:rFonts w:hAnsi="宋体"/>
                <w:b/>
                <w:bCs/>
              </w:rPr>
              <w:t>运营期声环境影响分析</w:t>
            </w:r>
          </w:p>
          <w:p w14:paraId="294D467D">
            <w:pPr>
              <w:spacing w:line="360" w:lineRule="auto"/>
              <w:ind w:firstLine="480" w:firstLineChars="200"/>
              <w:rPr>
                <w:rFonts w:hAnsi="宋体"/>
                <w:color w:val="FF0000"/>
              </w:rPr>
            </w:pPr>
            <w:r>
              <w:rPr>
                <w:rFonts w:hAnsi="宋体"/>
              </w:rPr>
              <w:t>本项目营运期</w:t>
            </w:r>
            <w:r>
              <w:rPr>
                <w:rFonts w:hint="eastAsia" w:hAnsi="宋体"/>
              </w:rPr>
              <w:t>室内</w:t>
            </w:r>
            <w:r>
              <w:rPr>
                <w:rFonts w:hAnsi="宋体"/>
              </w:rPr>
              <w:t>噪声主要为</w:t>
            </w:r>
            <w:r>
              <w:rPr>
                <w:rFonts w:hint="eastAsia" w:hAnsi="宋体"/>
              </w:rPr>
              <w:t>切管机</w:t>
            </w:r>
            <w:r>
              <w:rPr>
                <w:rFonts w:hAnsi="宋体"/>
              </w:rPr>
              <w:t>、</w:t>
            </w:r>
            <w:r>
              <w:rPr>
                <w:rFonts w:hint="eastAsia" w:hAnsi="宋体"/>
              </w:rPr>
              <w:t>切割机</w:t>
            </w:r>
            <w:r>
              <w:rPr>
                <w:rFonts w:hAnsi="宋体"/>
              </w:rPr>
              <w:t>、</w:t>
            </w:r>
            <w:r>
              <w:rPr>
                <w:rFonts w:hint="eastAsia" w:hAnsi="宋体"/>
              </w:rPr>
              <w:t>液压机</w:t>
            </w:r>
            <w:r>
              <w:rPr>
                <w:rFonts w:hAnsi="宋体"/>
              </w:rPr>
              <w:t>、</w:t>
            </w:r>
            <w:r>
              <w:rPr>
                <w:rFonts w:hint="eastAsia" w:hAnsi="宋体"/>
              </w:rPr>
              <w:t>自动抛丸机</w:t>
            </w:r>
            <w:r>
              <w:rPr>
                <w:rFonts w:hAnsi="宋体"/>
              </w:rPr>
              <w:t>、</w:t>
            </w:r>
            <w:r>
              <w:rPr>
                <w:rFonts w:hint="eastAsia" w:hAnsi="宋体"/>
              </w:rPr>
              <w:t>硫化机、空压机</w:t>
            </w:r>
            <w:r>
              <w:rPr>
                <w:rFonts w:hAnsi="宋体"/>
              </w:rPr>
              <w:t>等</w:t>
            </w:r>
            <w:r>
              <w:rPr>
                <w:rFonts w:hint="eastAsia" w:hAnsi="宋体"/>
              </w:rPr>
              <w:t>高噪声设备</w:t>
            </w:r>
            <w:r>
              <w:rPr>
                <w:rFonts w:hAnsi="宋体"/>
              </w:rPr>
              <w:t>运行时产生的机械噪声，噪声级参照《污染源源强核算技术指南</w:t>
            </w:r>
            <w:r>
              <w:rPr>
                <w:rFonts w:hint="eastAsia" w:hAnsi="宋体"/>
              </w:rPr>
              <w:t>汽车制造</w:t>
            </w:r>
            <w:r>
              <w:rPr>
                <w:rFonts w:hAnsi="宋体"/>
              </w:rPr>
              <w:t>》（HJ</w:t>
            </w:r>
            <w:r>
              <w:rPr>
                <w:rFonts w:hint="eastAsia" w:hAnsi="宋体"/>
              </w:rPr>
              <w:t>1097-2020</w:t>
            </w:r>
            <w:r>
              <w:rPr>
                <w:rFonts w:hAnsi="宋体"/>
              </w:rPr>
              <w:t>）中</w:t>
            </w:r>
            <w:r>
              <w:rPr>
                <w:rFonts w:hint="eastAsia" w:hAnsi="宋体"/>
              </w:rPr>
              <w:t>汽车制造噪声源强</w:t>
            </w:r>
            <w:r>
              <w:rPr>
                <w:rFonts w:hAnsi="宋体"/>
              </w:rPr>
              <w:t>，各设备噪声为</w:t>
            </w:r>
            <w:r>
              <w:rPr>
                <w:rFonts w:hint="eastAsia"/>
              </w:rPr>
              <w:t>75</w:t>
            </w:r>
            <w:r>
              <w:t>~</w:t>
            </w:r>
            <w:r>
              <w:rPr>
                <w:rFonts w:hint="eastAsia"/>
              </w:rPr>
              <w:t>90</w:t>
            </w:r>
            <w:r>
              <w:t>dB</w:t>
            </w:r>
            <w:r>
              <w:rPr>
                <w:rFonts w:hint="eastAsia"/>
              </w:rPr>
              <w:t>（</w:t>
            </w:r>
            <w:r>
              <w:t>A</w:t>
            </w:r>
            <w:r>
              <w:rPr>
                <w:rFonts w:hint="eastAsia"/>
              </w:rPr>
              <w:t>）</w:t>
            </w:r>
            <w:r>
              <w:rPr>
                <w:rFonts w:hint="eastAsia" w:hAnsi="宋体"/>
              </w:rPr>
              <w:t>，</w:t>
            </w:r>
            <w:r>
              <w:rPr>
                <w:rFonts w:hAnsi="宋体"/>
              </w:rPr>
              <w:t>根据《污染源源强核算技术指南</w:t>
            </w:r>
            <w:r>
              <w:rPr>
                <w:rFonts w:hint="eastAsia" w:hAnsi="宋体"/>
              </w:rPr>
              <w:t>汽车制造</w:t>
            </w:r>
            <w:r>
              <w:rPr>
                <w:rFonts w:hAnsi="宋体"/>
              </w:rPr>
              <w:t>》，厂房隔声降噪效果为</w:t>
            </w:r>
            <w:r>
              <w:rPr>
                <w:rFonts w:hint="eastAsia" w:hAnsi="宋体"/>
              </w:rPr>
              <w:t>10~15dB（A），本项目6#厂房为钢结构厂房，隔声降噪效果取15dB（A）。项目室外噪声污染源主要为风机运行噪声。项目采用减振、隔声措施后，能有效减低噪声环境影响。本项目</w:t>
            </w:r>
            <w:r>
              <w:rPr>
                <w:rFonts w:hAnsi="宋体"/>
              </w:rPr>
              <w:t>噪声源强可见下表。</w:t>
            </w:r>
          </w:p>
          <w:p w14:paraId="7546606A">
            <w:pPr>
              <w:spacing w:line="360" w:lineRule="auto"/>
              <w:jc w:val="center"/>
              <w:rPr>
                <w:color w:val="FF0000"/>
              </w:rPr>
            </w:pPr>
            <w:r>
              <w:rPr>
                <w:rFonts w:hint="eastAsia" w:eastAsia="黑体"/>
              </w:rPr>
              <w:t>表4-</w:t>
            </w:r>
            <w:r>
              <w:rPr>
                <w:rFonts w:hint="eastAsia" w:eastAsia="黑体"/>
                <w:lang w:val="en-US" w:eastAsia="zh-CN"/>
              </w:rPr>
              <w:t>5</w:t>
            </w:r>
            <w:r>
              <w:rPr>
                <w:rFonts w:hint="eastAsia" w:eastAsia="黑体"/>
              </w:rPr>
              <w:t xml:space="preserve">  工业企业噪声源强调查清单（室外声源）</w:t>
            </w:r>
          </w:p>
          <w:tbl>
            <w:tblPr>
              <w:tblStyle w:val="16"/>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031"/>
              <w:gridCol w:w="759"/>
              <w:gridCol w:w="759"/>
              <w:gridCol w:w="762"/>
              <w:gridCol w:w="1394"/>
              <w:gridCol w:w="1483"/>
              <w:gridCol w:w="1048"/>
            </w:tblGrid>
            <w:tr w14:paraId="2C8627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44" w:type="pct"/>
                  <w:vMerge w:val="restart"/>
                  <w:noWrap/>
                  <w:vAlign w:val="center"/>
                </w:tcPr>
                <w:p w14:paraId="0ED027FE">
                  <w:pPr>
                    <w:spacing w:line="276" w:lineRule="auto"/>
                    <w:jc w:val="center"/>
                    <w:rPr>
                      <w:b/>
                      <w:sz w:val="21"/>
                      <w:szCs w:val="21"/>
                    </w:rPr>
                  </w:pPr>
                  <w:r>
                    <w:rPr>
                      <w:rFonts w:hint="eastAsia"/>
                      <w:b/>
                      <w:sz w:val="21"/>
                      <w:szCs w:val="21"/>
                    </w:rPr>
                    <w:t>序号</w:t>
                  </w:r>
                </w:p>
              </w:tc>
              <w:tc>
                <w:tcPr>
                  <w:tcW w:w="663" w:type="pct"/>
                  <w:vMerge w:val="restart"/>
                  <w:noWrap/>
                  <w:vAlign w:val="center"/>
                </w:tcPr>
                <w:p w14:paraId="00B811C7">
                  <w:pPr>
                    <w:spacing w:line="276" w:lineRule="auto"/>
                    <w:jc w:val="center"/>
                    <w:rPr>
                      <w:b/>
                      <w:sz w:val="21"/>
                      <w:szCs w:val="21"/>
                    </w:rPr>
                  </w:pPr>
                  <w:r>
                    <w:rPr>
                      <w:rFonts w:hint="eastAsia"/>
                      <w:b/>
                      <w:sz w:val="21"/>
                      <w:szCs w:val="21"/>
                    </w:rPr>
                    <w:t>声源</w:t>
                  </w:r>
                </w:p>
                <w:p w14:paraId="0750B730">
                  <w:pPr>
                    <w:spacing w:line="276" w:lineRule="auto"/>
                    <w:jc w:val="center"/>
                    <w:rPr>
                      <w:b/>
                      <w:sz w:val="21"/>
                      <w:szCs w:val="21"/>
                    </w:rPr>
                  </w:pPr>
                  <w:r>
                    <w:rPr>
                      <w:rFonts w:hint="eastAsia"/>
                      <w:b/>
                      <w:sz w:val="21"/>
                      <w:szCs w:val="21"/>
                    </w:rPr>
                    <w:t>名称</w:t>
                  </w:r>
                </w:p>
              </w:tc>
              <w:tc>
                <w:tcPr>
                  <w:tcW w:w="1466" w:type="pct"/>
                  <w:gridSpan w:val="3"/>
                  <w:noWrap/>
                  <w:vAlign w:val="center"/>
                </w:tcPr>
                <w:p w14:paraId="5B473D6C">
                  <w:pPr>
                    <w:spacing w:line="276" w:lineRule="auto"/>
                    <w:jc w:val="center"/>
                    <w:rPr>
                      <w:b/>
                      <w:sz w:val="21"/>
                      <w:szCs w:val="21"/>
                    </w:rPr>
                  </w:pPr>
                  <w:r>
                    <w:rPr>
                      <w:rFonts w:hint="eastAsia"/>
                      <w:b/>
                      <w:sz w:val="21"/>
                      <w:szCs w:val="21"/>
                    </w:rPr>
                    <w:t>空间相对位置/m</w:t>
                  </w:r>
                </w:p>
              </w:tc>
              <w:tc>
                <w:tcPr>
                  <w:tcW w:w="897" w:type="pct"/>
                  <w:noWrap/>
                  <w:vAlign w:val="center"/>
                </w:tcPr>
                <w:p w14:paraId="25AEF141">
                  <w:pPr>
                    <w:spacing w:line="276" w:lineRule="auto"/>
                    <w:jc w:val="center"/>
                    <w:rPr>
                      <w:b/>
                      <w:sz w:val="21"/>
                      <w:szCs w:val="21"/>
                    </w:rPr>
                  </w:pPr>
                  <w:r>
                    <w:rPr>
                      <w:rFonts w:hint="eastAsia"/>
                      <w:b/>
                      <w:sz w:val="21"/>
                      <w:szCs w:val="21"/>
                    </w:rPr>
                    <w:t>声源源强</w:t>
                  </w:r>
                </w:p>
              </w:tc>
              <w:tc>
                <w:tcPr>
                  <w:tcW w:w="954" w:type="pct"/>
                  <w:vMerge w:val="restart"/>
                  <w:noWrap/>
                  <w:vAlign w:val="center"/>
                </w:tcPr>
                <w:p w14:paraId="12F9EA06">
                  <w:pPr>
                    <w:spacing w:line="276" w:lineRule="auto"/>
                    <w:jc w:val="center"/>
                    <w:rPr>
                      <w:b/>
                      <w:sz w:val="21"/>
                      <w:szCs w:val="21"/>
                    </w:rPr>
                  </w:pPr>
                  <w:r>
                    <w:rPr>
                      <w:rFonts w:hint="eastAsia"/>
                      <w:b/>
                      <w:sz w:val="21"/>
                      <w:szCs w:val="21"/>
                    </w:rPr>
                    <w:t>声源控制措施</w:t>
                  </w:r>
                </w:p>
              </w:tc>
              <w:tc>
                <w:tcPr>
                  <w:tcW w:w="674" w:type="pct"/>
                  <w:vMerge w:val="restart"/>
                  <w:noWrap/>
                  <w:vAlign w:val="center"/>
                </w:tcPr>
                <w:p w14:paraId="1CD415EA">
                  <w:pPr>
                    <w:spacing w:line="276" w:lineRule="auto"/>
                    <w:jc w:val="center"/>
                    <w:rPr>
                      <w:b/>
                      <w:sz w:val="21"/>
                      <w:szCs w:val="21"/>
                    </w:rPr>
                  </w:pPr>
                  <w:r>
                    <w:rPr>
                      <w:rFonts w:hint="eastAsia"/>
                      <w:b/>
                      <w:sz w:val="21"/>
                      <w:szCs w:val="21"/>
                    </w:rPr>
                    <w:t>运行</w:t>
                  </w:r>
                </w:p>
                <w:p w14:paraId="6F5E0A4F">
                  <w:pPr>
                    <w:spacing w:line="276" w:lineRule="auto"/>
                    <w:jc w:val="center"/>
                    <w:rPr>
                      <w:b/>
                      <w:sz w:val="21"/>
                      <w:szCs w:val="21"/>
                    </w:rPr>
                  </w:pPr>
                  <w:r>
                    <w:rPr>
                      <w:rFonts w:hint="eastAsia"/>
                      <w:b/>
                      <w:sz w:val="21"/>
                      <w:szCs w:val="21"/>
                    </w:rPr>
                    <w:t>时段</w:t>
                  </w:r>
                </w:p>
              </w:tc>
            </w:tr>
            <w:tr w14:paraId="46716C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44" w:type="pct"/>
                  <w:vMerge w:val="continue"/>
                  <w:noWrap/>
                  <w:vAlign w:val="center"/>
                </w:tcPr>
                <w:p w14:paraId="2E85D1B3">
                  <w:pPr>
                    <w:spacing w:line="276" w:lineRule="auto"/>
                    <w:jc w:val="center"/>
                    <w:rPr>
                      <w:bCs/>
                      <w:sz w:val="21"/>
                      <w:szCs w:val="21"/>
                    </w:rPr>
                  </w:pPr>
                </w:p>
              </w:tc>
              <w:tc>
                <w:tcPr>
                  <w:tcW w:w="663" w:type="pct"/>
                  <w:vMerge w:val="continue"/>
                  <w:noWrap/>
                  <w:vAlign w:val="center"/>
                </w:tcPr>
                <w:p w14:paraId="20940915">
                  <w:pPr>
                    <w:spacing w:line="276" w:lineRule="auto"/>
                    <w:jc w:val="center"/>
                    <w:rPr>
                      <w:bCs/>
                      <w:sz w:val="21"/>
                      <w:szCs w:val="21"/>
                    </w:rPr>
                  </w:pPr>
                </w:p>
              </w:tc>
              <w:tc>
                <w:tcPr>
                  <w:tcW w:w="488" w:type="pct"/>
                  <w:noWrap/>
                  <w:vAlign w:val="center"/>
                </w:tcPr>
                <w:p w14:paraId="724D1F8D">
                  <w:pPr>
                    <w:spacing w:line="276" w:lineRule="auto"/>
                    <w:jc w:val="center"/>
                    <w:rPr>
                      <w:b/>
                      <w:sz w:val="21"/>
                      <w:szCs w:val="21"/>
                    </w:rPr>
                  </w:pPr>
                  <w:r>
                    <w:rPr>
                      <w:rFonts w:hint="eastAsia"/>
                      <w:b/>
                      <w:sz w:val="21"/>
                      <w:szCs w:val="21"/>
                    </w:rPr>
                    <w:t>X</w:t>
                  </w:r>
                </w:p>
              </w:tc>
              <w:tc>
                <w:tcPr>
                  <w:tcW w:w="488" w:type="pct"/>
                  <w:noWrap/>
                  <w:vAlign w:val="center"/>
                </w:tcPr>
                <w:p w14:paraId="311CD5D9">
                  <w:pPr>
                    <w:spacing w:line="276" w:lineRule="auto"/>
                    <w:jc w:val="center"/>
                    <w:rPr>
                      <w:b/>
                      <w:sz w:val="21"/>
                      <w:szCs w:val="21"/>
                    </w:rPr>
                  </w:pPr>
                  <w:r>
                    <w:rPr>
                      <w:rFonts w:hint="eastAsia"/>
                      <w:b/>
                      <w:sz w:val="21"/>
                      <w:szCs w:val="21"/>
                    </w:rPr>
                    <w:t>Y</w:t>
                  </w:r>
                </w:p>
              </w:tc>
              <w:tc>
                <w:tcPr>
                  <w:tcW w:w="489" w:type="pct"/>
                  <w:noWrap/>
                  <w:vAlign w:val="center"/>
                </w:tcPr>
                <w:p w14:paraId="4C6204BA">
                  <w:pPr>
                    <w:spacing w:line="276" w:lineRule="auto"/>
                    <w:jc w:val="center"/>
                    <w:rPr>
                      <w:b/>
                      <w:sz w:val="21"/>
                      <w:szCs w:val="21"/>
                    </w:rPr>
                  </w:pPr>
                  <w:r>
                    <w:rPr>
                      <w:rFonts w:hint="eastAsia"/>
                      <w:b/>
                      <w:sz w:val="21"/>
                      <w:szCs w:val="21"/>
                    </w:rPr>
                    <w:t>Z</w:t>
                  </w:r>
                </w:p>
              </w:tc>
              <w:tc>
                <w:tcPr>
                  <w:tcW w:w="897" w:type="pct"/>
                  <w:noWrap/>
                  <w:vAlign w:val="center"/>
                </w:tcPr>
                <w:p w14:paraId="34D71E78">
                  <w:pPr>
                    <w:spacing w:line="276" w:lineRule="auto"/>
                    <w:jc w:val="center"/>
                    <w:rPr>
                      <w:b/>
                      <w:sz w:val="21"/>
                      <w:szCs w:val="21"/>
                    </w:rPr>
                  </w:pPr>
                  <w:r>
                    <w:rPr>
                      <w:rFonts w:hint="eastAsia"/>
                      <w:b/>
                      <w:sz w:val="21"/>
                      <w:szCs w:val="21"/>
                    </w:rPr>
                    <w:t>1m处声压级/dB（A）</w:t>
                  </w:r>
                </w:p>
              </w:tc>
              <w:tc>
                <w:tcPr>
                  <w:tcW w:w="954" w:type="pct"/>
                  <w:vMerge w:val="continue"/>
                  <w:noWrap/>
                  <w:vAlign w:val="center"/>
                </w:tcPr>
                <w:p w14:paraId="0C680F85">
                  <w:pPr>
                    <w:spacing w:line="276" w:lineRule="auto"/>
                    <w:jc w:val="center"/>
                    <w:rPr>
                      <w:bCs/>
                      <w:sz w:val="21"/>
                      <w:szCs w:val="21"/>
                    </w:rPr>
                  </w:pPr>
                </w:p>
              </w:tc>
              <w:tc>
                <w:tcPr>
                  <w:tcW w:w="674" w:type="pct"/>
                  <w:vMerge w:val="continue"/>
                  <w:noWrap/>
                  <w:vAlign w:val="center"/>
                </w:tcPr>
                <w:p w14:paraId="03292342">
                  <w:pPr>
                    <w:spacing w:line="276" w:lineRule="auto"/>
                    <w:jc w:val="center"/>
                    <w:rPr>
                      <w:bCs/>
                      <w:sz w:val="21"/>
                      <w:szCs w:val="21"/>
                    </w:rPr>
                  </w:pPr>
                </w:p>
              </w:tc>
            </w:tr>
            <w:tr w14:paraId="48D26C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c>
                <w:tcPr>
                  <w:tcW w:w="344" w:type="pct"/>
                  <w:noWrap/>
                  <w:vAlign w:val="center"/>
                </w:tcPr>
                <w:p w14:paraId="52F00D89">
                  <w:pPr>
                    <w:spacing w:line="276" w:lineRule="auto"/>
                    <w:jc w:val="center"/>
                    <w:rPr>
                      <w:bCs/>
                      <w:sz w:val="21"/>
                      <w:szCs w:val="21"/>
                    </w:rPr>
                  </w:pPr>
                  <w:r>
                    <w:rPr>
                      <w:rFonts w:hint="eastAsia"/>
                      <w:bCs/>
                      <w:sz w:val="21"/>
                      <w:szCs w:val="21"/>
                    </w:rPr>
                    <w:t>1</w:t>
                  </w:r>
                </w:p>
              </w:tc>
              <w:tc>
                <w:tcPr>
                  <w:tcW w:w="663" w:type="pct"/>
                  <w:noWrap/>
                  <w:vAlign w:val="center"/>
                </w:tcPr>
                <w:p w14:paraId="569D9CEA">
                  <w:pPr>
                    <w:spacing w:line="276" w:lineRule="auto"/>
                    <w:jc w:val="center"/>
                    <w:rPr>
                      <w:bCs/>
                      <w:sz w:val="21"/>
                      <w:szCs w:val="21"/>
                    </w:rPr>
                  </w:pPr>
                  <w:r>
                    <w:rPr>
                      <w:rFonts w:hint="eastAsia"/>
                      <w:bCs/>
                      <w:sz w:val="21"/>
                      <w:szCs w:val="21"/>
                    </w:rPr>
                    <w:t>风机</w:t>
                  </w:r>
                </w:p>
              </w:tc>
              <w:tc>
                <w:tcPr>
                  <w:tcW w:w="488" w:type="pct"/>
                  <w:noWrap/>
                  <w:vAlign w:val="center"/>
                </w:tcPr>
                <w:p w14:paraId="6599BEDE">
                  <w:pPr>
                    <w:spacing w:line="276" w:lineRule="auto"/>
                    <w:jc w:val="center"/>
                    <w:rPr>
                      <w:bCs/>
                      <w:sz w:val="21"/>
                      <w:szCs w:val="21"/>
                    </w:rPr>
                  </w:pPr>
                  <w:r>
                    <w:rPr>
                      <w:rFonts w:hint="eastAsia"/>
                      <w:bCs/>
                      <w:sz w:val="21"/>
                      <w:szCs w:val="21"/>
                    </w:rPr>
                    <w:t>31</w:t>
                  </w:r>
                </w:p>
              </w:tc>
              <w:tc>
                <w:tcPr>
                  <w:tcW w:w="488" w:type="pct"/>
                  <w:noWrap/>
                  <w:vAlign w:val="center"/>
                </w:tcPr>
                <w:p w14:paraId="5C66AB78">
                  <w:pPr>
                    <w:spacing w:line="276" w:lineRule="auto"/>
                    <w:jc w:val="center"/>
                    <w:rPr>
                      <w:bCs/>
                      <w:sz w:val="21"/>
                      <w:szCs w:val="21"/>
                    </w:rPr>
                  </w:pPr>
                  <w:r>
                    <w:rPr>
                      <w:rFonts w:hint="eastAsia"/>
                      <w:bCs/>
                      <w:sz w:val="21"/>
                      <w:szCs w:val="21"/>
                    </w:rPr>
                    <w:t>50</w:t>
                  </w:r>
                </w:p>
              </w:tc>
              <w:tc>
                <w:tcPr>
                  <w:tcW w:w="489" w:type="pct"/>
                  <w:noWrap/>
                  <w:vAlign w:val="center"/>
                </w:tcPr>
                <w:p w14:paraId="25092B6A">
                  <w:pPr>
                    <w:spacing w:line="276" w:lineRule="auto"/>
                    <w:jc w:val="center"/>
                    <w:rPr>
                      <w:bCs/>
                      <w:sz w:val="21"/>
                      <w:szCs w:val="21"/>
                    </w:rPr>
                  </w:pPr>
                  <w:r>
                    <w:rPr>
                      <w:rFonts w:hint="eastAsia"/>
                      <w:bCs/>
                      <w:sz w:val="21"/>
                      <w:szCs w:val="21"/>
                    </w:rPr>
                    <w:t>1.2</w:t>
                  </w:r>
                </w:p>
              </w:tc>
              <w:tc>
                <w:tcPr>
                  <w:tcW w:w="897" w:type="pct"/>
                  <w:noWrap/>
                  <w:vAlign w:val="center"/>
                </w:tcPr>
                <w:p w14:paraId="0D685342">
                  <w:pPr>
                    <w:spacing w:line="276" w:lineRule="auto"/>
                    <w:jc w:val="center"/>
                    <w:rPr>
                      <w:bCs/>
                      <w:sz w:val="21"/>
                      <w:szCs w:val="21"/>
                    </w:rPr>
                  </w:pPr>
                  <w:r>
                    <w:rPr>
                      <w:rFonts w:hint="eastAsia"/>
                      <w:bCs/>
                      <w:sz w:val="21"/>
                      <w:szCs w:val="21"/>
                    </w:rPr>
                    <w:t>85</w:t>
                  </w:r>
                </w:p>
              </w:tc>
              <w:tc>
                <w:tcPr>
                  <w:tcW w:w="954" w:type="pct"/>
                  <w:vMerge w:val="restart"/>
                  <w:noWrap/>
                  <w:vAlign w:val="center"/>
                </w:tcPr>
                <w:p w14:paraId="4B01CE17">
                  <w:pPr>
                    <w:spacing w:line="276" w:lineRule="auto"/>
                    <w:jc w:val="center"/>
                    <w:rPr>
                      <w:bCs/>
                      <w:sz w:val="21"/>
                      <w:szCs w:val="21"/>
                    </w:rPr>
                  </w:pPr>
                  <w:r>
                    <w:rPr>
                      <w:rFonts w:hint="eastAsia"/>
                      <w:bCs/>
                      <w:sz w:val="21"/>
                      <w:szCs w:val="21"/>
                    </w:rPr>
                    <w:t>减振、消声、加装隔声罩</w:t>
                  </w:r>
                </w:p>
              </w:tc>
              <w:tc>
                <w:tcPr>
                  <w:tcW w:w="674" w:type="pct"/>
                  <w:noWrap/>
                  <w:vAlign w:val="center"/>
                </w:tcPr>
                <w:p w14:paraId="70160666">
                  <w:pPr>
                    <w:spacing w:line="276" w:lineRule="auto"/>
                    <w:jc w:val="center"/>
                    <w:rPr>
                      <w:bCs/>
                      <w:sz w:val="21"/>
                      <w:szCs w:val="21"/>
                    </w:rPr>
                  </w:pPr>
                  <w:r>
                    <w:rPr>
                      <w:rFonts w:hint="eastAsia"/>
                      <w:bCs/>
                      <w:sz w:val="21"/>
                      <w:szCs w:val="21"/>
                    </w:rPr>
                    <w:t>昼间</w:t>
                  </w:r>
                </w:p>
              </w:tc>
            </w:tr>
            <w:tr w14:paraId="1B123D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44" w:type="pct"/>
                  <w:noWrap/>
                  <w:vAlign w:val="center"/>
                </w:tcPr>
                <w:p w14:paraId="54E77A87">
                  <w:pPr>
                    <w:spacing w:line="276" w:lineRule="auto"/>
                    <w:jc w:val="center"/>
                    <w:rPr>
                      <w:bCs/>
                      <w:sz w:val="21"/>
                      <w:szCs w:val="21"/>
                    </w:rPr>
                  </w:pPr>
                  <w:r>
                    <w:rPr>
                      <w:rFonts w:hint="eastAsia"/>
                      <w:bCs/>
                      <w:sz w:val="21"/>
                      <w:szCs w:val="21"/>
                    </w:rPr>
                    <w:t>2</w:t>
                  </w:r>
                </w:p>
              </w:tc>
              <w:tc>
                <w:tcPr>
                  <w:tcW w:w="663" w:type="pct"/>
                  <w:noWrap/>
                  <w:vAlign w:val="center"/>
                </w:tcPr>
                <w:p w14:paraId="159E2892">
                  <w:pPr>
                    <w:spacing w:line="276" w:lineRule="auto"/>
                    <w:jc w:val="center"/>
                    <w:rPr>
                      <w:bCs/>
                      <w:sz w:val="21"/>
                      <w:szCs w:val="21"/>
                    </w:rPr>
                  </w:pPr>
                  <w:r>
                    <w:rPr>
                      <w:rFonts w:hint="eastAsia"/>
                      <w:bCs/>
                      <w:sz w:val="21"/>
                      <w:szCs w:val="21"/>
                    </w:rPr>
                    <w:t>风机</w:t>
                  </w:r>
                </w:p>
              </w:tc>
              <w:tc>
                <w:tcPr>
                  <w:tcW w:w="488" w:type="pct"/>
                  <w:noWrap/>
                  <w:vAlign w:val="center"/>
                </w:tcPr>
                <w:p w14:paraId="4D85A2C8">
                  <w:pPr>
                    <w:spacing w:line="276" w:lineRule="auto"/>
                    <w:jc w:val="center"/>
                    <w:rPr>
                      <w:bCs/>
                      <w:sz w:val="21"/>
                      <w:szCs w:val="21"/>
                    </w:rPr>
                  </w:pPr>
                  <w:r>
                    <w:rPr>
                      <w:rFonts w:hint="eastAsia"/>
                      <w:bCs/>
                      <w:sz w:val="21"/>
                      <w:szCs w:val="21"/>
                    </w:rPr>
                    <w:t>-31</w:t>
                  </w:r>
                </w:p>
              </w:tc>
              <w:tc>
                <w:tcPr>
                  <w:tcW w:w="488" w:type="pct"/>
                  <w:noWrap/>
                  <w:vAlign w:val="center"/>
                </w:tcPr>
                <w:p w14:paraId="1FE76B72">
                  <w:pPr>
                    <w:spacing w:line="276" w:lineRule="auto"/>
                    <w:jc w:val="center"/>
                    <w:rPr>
                      <w:bCs/>
                      <w:sz w:val="21"/>
                      <w:szCs w:val="21"/>
                    </w:rPr>
                  </w:pPr>
                  <w:r>
                    <w:rPr>
                      <w:rFonts w:hint="eastAsia"/>
                      <w:bCs/>
                      <w:sz w:val="21"/>
                      <w:szCs w:val="21"/>
                    </w:rPr>
                    <w:t>-30</w:t>
                  </w:r>
                </w:p>
              </w:tc>
              <w:tc>
                <w:tcPr>
                  <w:tcW w:w="489" w:type="pct"/>
                  <w:noWrap/>
                  <w:vAlign w:val="center"/>
                </w:tcPr>
                <w:p w14:paraId="7ACE49A4">
                  <w:pPr>
                    <w:spacing w:line="276" w:lineRule="auto"/>
                    <w:jc w:val="center"/>
                    <w:rPr>
                      <w:bCs/>
                      <w:sz w:val="21"/>
                      <w:szCs w:val="21"/>
                    </w:rPr>
                  </w:pPr>
                  <w:r>
                    <w:rPr>
                      <w:rFonts w:hint="eastAsia"/>
                      <w:bCs/>
                      <w:sz w:val="21"/>
                      <w:szCs w:val="21"/>
                    </w:rPr>
                    <w:t>1.2</w:t>
                  </w:r>
                </w:p>
              </w:tc>
              <w:tc>
                <w:tcPr>
                  <w:tcW w:w="897" w:type="pct"/>
                  <w:noWrap/>
                  <w:vAlign w:val="center"/>
                </w:tcPr>
                <w:p w14:paraId="31AC955F">
                  <w:pPr>
                    <w:spacing w:line="276" w:lineRule="auto"/>
                    <w:jc w:val="center"/>
                    <w:rPr>
                      <w:bCs/>
                      <w:sz w:val="21"/>
                      <w:szCs w:val="21"/>
                    </w:rPr>
                  </w:pPr>
                  <w:r>
                    <w:rPr>
                      <w:rFonts w:hint="eastAsia"/>
                      <w:bCs/>
                      <w:sz w:val="21"/>
                      <w:szCs w:val="21"/>
                    </w:rPr>
                    <w:t>85</w:t>
                  </w:r>
                </w:p>
              </w:tc>
              <w:tc>
                <w:tcPr>
                  <w:tcW w:w="954" w:type="pct"/>
                  <w:vMerge w:val="continue"/>
                  <w:noWrap/>
                  <w:vAlign w:val="center"/>
                </w:tcPr>
                <w:p w14:paraId="175B604C">
                  <w:pPr>
                    <w:spacing w:line="276" w:lineRule="auto"/>
                    <w:jc w:val="center"/>
                    <w:rPr>
                      <w:bCs/>
                      <w:sz w:val="21"/>
                      <w:szCs w:val="21"/>
                    </w:rPr>
                  </w:pPr>
                </w:p>
              </w:tc>
              <w:tc>
                <w:tcPr>
                  <w:tcW w:w="674" w:type="pct"/>
                  <w:noWrap/>
                  <w:vAlign w:val="center"/>
                </w:tcPr>
                <w:p w14:paraId="255FEBFF">
                  <w:pPr>
                    <w:spacing w:line="276" w:lineRule="auto"/>
                    <w:jc w:val="center"/>
                    <w:rPr>
                      <w:bCs/>
                      <w:sz w:val="21"/>
                      <w:szCs w:val="21"/>
                    </w:rPr>
                  </w:pPr>
                  <w:r>
                    <w:rPr>
                      <w:rFonts w:hint="eastAsia"/>
                      <w:bCs/>
                      <w:sz w:val="21"/>
                      <w:szCs w:val="21"/>
                    </w:rPr>
                    <w:t>昼间</w:t>
                  </w:r>
                </w:p>
              </w:tc>
            </w:tr>
          </w:tbl>
          <w:p w14:paraId="6A0A87CF">
            <w:pPr>
              <w:rPr>
                <w:color w:val="FF0000"/>
              </w:rPr>
            </w:pPr>
            <w:r>
              <w:rPr>
                <w:rFonts w:hint="eastAsia" w:ascii="黑体" w:hAnsi="黑体" w:eastAsia="黑体" w:cs="黑体"/>
                <w:sz w:val="21"/>
                <w:szCs w:val="21"/>
              </w:rPr>
              <w:t>注：本项目空间相对位置坐标以厂区中心点为坐标原点，向东</w:t>
            </w:r>
            <w:r>
              <w:rPr>
                <w:rFonts w:eastAsia="黑体"/>
                <w:sz w:val="21"/>
                <w:szCs w:val="21"/>
              </w:rPr>
              <w:t>为X轴，向北为Y轴</w:t>
            </w:r>
            <w:r>
              <w:rPr>
                <w:rFonts w:hint="eastAsia" w:ascii="黑体" w:hAnsi="黑体" w:eastAsia="黑体" w:cs="黑体"/>
                <w:sz w:val="21"/>
                <w:szCs w:val="21"/>
              </w:rPr>
              <w:t>。</w:t>
            </w:r>
          </w:p>
        </w:tc>
      </w:tr>
    </w:tbl>
    <w:p w14:paraId="3E250BDE">
      <w:pPr>
        <w:rPr>
          <w:color w:val="FF0000"/>
        </w:rPr>
        <w:sectPr>
          <w:pgSz w:w="11906" w:h="16838"/>
          <w:pgMar w:top="1440" w:right="1800" w:bottom="1440" w:left="1800" w:header="851" w:footer="992" w:gutter="0"/>
          <w:cols w:space="425" w:num="1"/>
          <w:docGrid w:type="lines" w:linePitch="312" w:charSpace="0"/>
        </w:sect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14:paraId="30BC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tcPr>
          <w:p w14:paraId="135EC5E6">
            <w:pPr>
              <w:spacing w:line="360" w:lineRule="auto"/>
              <w:jc w:val="center"/>
              <w:rPr>
                <w:rFonts w:hAnsi="黑体" w:eastAsia="黑体"/>
              </w:rPr>
            </w:pPr>
            <w:r>
              <w:rPr>
                <w:rFonts w:hAnsi="黑体" w:eastAsia="黑体"/>
              </w:rPr>
              <w:t>表</w:t>
            </w:r>
            <w:r>
              <w:rPr>
                <w:rFonts w:hint="eastAsia" w:eastAsia="黑体"/>
              </w:rPr>
              <w:t>4-</w:t>
            </w:r>
            <w:r>
              <w:rPr>
                <w:rFonts w:hint="eastAsia" w:eastAsia="黑体"/>
                <w:lang w:val="en-US" w:eastAsia="zh-CN"/>
              </w:rPr>
              <w:t xml:space="preserve">6  </w:t>
            </w:r>
            <w:r>
              <w:rPr>
                <w:rFonts w:hint="eastAsia" w:hAnsi="黑体" w:eastAsia="黑体"/>
              </w:rPr>
              <w:t>工业企业噪声源强调查清单（室内声源）</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73"/>
              <w:gridCol w:w="913"/>
              <w:gridCol w:w="553"/>
              <w:gridCol w:w="586"/>
              <w:gridCol w:w="586"/>
              <w:gridCol w:w="586"/>
              <w:gridCol w:w="586"/>
              <w:gridCol w:w="586"/>
              <w:gridCol w:w="586"/>
              <w:gridCol w:w="589"/>
              <w:gridCol w:w="586"/>
              <w:gridCol w:w="586"/>
              <w:gridCol w:w="586"/>
              <w:gridCol w:w="595"/>
              <w:gridCol w:w="583"/>
              <w:gridCol w:w="782"/>
              <w:gridCol w:w="497"/>
              <w:gridCol w:w="497"/>
              <w:gridCol w:w="497"/>
              <w:gridCol w:w="500"/>
              <w:gridCol w:w="667"/>
            </w:tblGrid>
            <w:tr w14:paraId="0FD533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23C41EBB">
                  <w:pPr>
                    <w:spacing w:line="276" w:lineRule="auto"/>
                    <w:jc w:val="center"/>
                    <w:rPr>
                      <w:b/>
                      <w:sz w:val="21"/>
                      <w:szCs w:val="21"/>
                    </w:rPr>
                  </w:pPr>
                  <w:r>
                    <w:rPr>
                      <w:b/>
                      <w:sz w:val="21"/>
                      <w:szCs w:val="21"/>
                    </w:rPr>
                    <w:t>所在位置</w:t>
                  </w:r>
                </w:p>
              </w:tc>
              <w:tc>
                <w:tcPr>
                  <w:tcW w:w="456" w:type="pct"/>
                  <w:vMerge w:val="restart"/>
                  <w:noWrap/>
                  <w:vAlign w:val="center"/>
                </w:tcPr>
                <w:p w14:paraId="2665D510">
                  <w:pPr>
                    <w:spacing w:line="276" w:lineRule="auto"/>
                    <w:jc w:val="center"/>
                    <w:rPr>
                      <w:b/>
                      <w:sz w:val="21"/>
                      <w:szCs w:val="21"/>
                    </w:rPr>
                  </w:pPr>
                  <w:r>
                    <w:rPr>
                      <w:b/>
                      <w:sz w:val="21"/>
                      <w:szCs w:val="21"/>
                    </w:rPr>
                    <w:t>产噪设备/台数</w:t>
                  </w:r>
                </w:p>
              </w:tc>
              <w:tc>
                <w:tcPr>
                  <w:tcW w:w="327" w:type="pct"/>
                  <w:vMerge w:val="restart"/>
                  <w:noWrap/>
                  <w:vAlign w:val="center"/>
                </w:tcPr>
                <w:p w14:paraId="3CD9F2B8">
                  <w:pPr>
                    <w:spacing w:line="276" w:lineRule="auto"/>
                    <w:jc w:val="center"/>
                    <w:rPr>
                      <w:b/>
                      <w:sz w:val="21"/>
                      <w:szCs w:val="21"/>
                    </w:rPr>
                  </w:pPr>
                  <w:r>
                    <w:rPr>
                      <w:b/>
                      <w:sz w:val="21"/>
                      <w:szCs w:val="21"/>
                    </w:rPr>
                    <w:t>声源</w:t>
                  </w:r>
                </w:p>
                <w:p w14:paraId="7E5BE160">
                  <w:pPr>
                    <w:spacing w:line="276" w:lineRule="auto"/>
                    <w:jc w:val="center"/>
                    <w:rPr>
                      <w:b/>
                      <w:sz w:val="21"/>
                      <w:szCs w:val="21"/>
                    </w:rPr>
                  </w:pPr>
                  <w:r>
                    <w:rPr>
                      <w:b/>
                      <w:sz w:val="21"/>
                      <w:szCs w:val="21"/>
                    </w:rPr>
                    <w:t>源强</w:t>
                  </w:r>
                </w:p>
              </w:tc>
              <w:tc>
                <w:tcPr>
                  <w:tcW w:w="198" w:type="pct"/>
                  <w:vMerge w:val="restart"/>
                  <w:noWrap/>
                  <w:vAlign w:val="center"/>
                </w:tcPr>
                <w:p w14:paraId="2E107F9B">
                  <w:pPr>
                    <w:spacing w:line="276" w:lineRule="auto"/>
                    <w:jc w:val="center"/>
                    <w:rPr>
                      <w:b/>
                      <w:sz w:val="21"/>
                      <w:szCs w:val="21"/>
                    </w:rPr>
                  </w:pPr>
                  <w:r>
                    <w:rPr>
                      <w:b/>
                      <w:sz w:val="21"/>
                      <w:szCs w:val="21"/>
                    </w:rPr>
                    <w:t>声源控制措施</w:t>
                  </w:r>
                </w:p>
              </w:tc>
              <w:tc>
                <w:tcPr>
                  <w:tcW w:w="630" w:type="pct"/>
                  <w:gridSpan w:val="3"/>
                  <w:noWrap/>
                  <w:vAlign w:val="center"/>
                </w:tcPr>
                <w:p w14:paraId="78C6ADE2">
                  <w:pPr>
                    <w:spacing w:line="276" w:lineRule="auto"/>
                    <w:jc w:val="center"/>
                    <w:rPr>
                      <w:b/>
                      <w:sz w:val="21"/>
                      <w:szCs w:val="21"/>
                    </w:rPr>
                  </w:pPr>
                  <w:r>
                    <w:rPr>
                      <w:b/>
                      <w:sz w:val="21"/>
                      <w:szCs w:val="21"/>
                    </w:rPr>
                    <w:t>空间相对位置</w:t>
                  </w:r>
                </w:p>
              </w:tc>
              <w:tc>
                <w:tcPr>
                  <w:tcW w:w="841" w:type="pct"/>
                  <w:gridSpan w:val="4"/>
                  <w:noWrap/>
                  <w:vAlign w:val="center"/>
                </w:tcPr>
                <w:p w14:paraId="7E6484E3">
                  <w:pPr>
                    <w:spacing w:line="276" w:lineRule="auto"/>
                    <w:jc w:val="center"/>
                    <w:rPr>
                      <w:b/>
                      <w:sz w:val="21"/>
                      <w:szCs w:val="21"/>
                    </w:rPr>
                  </w:pPr>
                  <w:r>
                    <w:rPr>
                      <w:b/>
                      <w:sz w:val="21"/>
                      <w:szCs w:val="21"/>
                    </w:rPr>
                    <w:t>距室内边界距离/m</w:t>
                  </w:r>
                </w:p>
              </w:tc>
              <w:tc>
                <w:tcPr>
                  <w:tcW w:w="843" w:type="pct"/>
                  <w:gridSpan w:val="4"/>
                  <w:noWrap/>
                  <w:vAlign w:val="center"/>
                </w:tcPr>
                <w:p w14:paraId="3F0FB591">
                  <w:pPr>
                    <w:spacing w:line="276" w:lineRule="auto"/>
                    <w:jc w:val="center"/>
                    <w:rPr>
                      <w:b/>
                      <w:sz w:val="21"/>
                      <w:szCs w:val="21"/>
                    </w:rPr>
                  </w:pPr>
                  <w:r>
                    <w:rPr>
                      <w:b/>
                      <w:sz w:val="21"/>
                      <w:szCs w:val="21"/>
                    </w:rPr>
                    <w:t>室内边界声级/dB</w:t>
                  </w:r>
                  <w:r>
                    <w:rPr>
                      <w:rFonts w:hint="eastAsia"/>
                      <w:b/>
                      <w:sz w:val="21"/>
                      <w:szCs w:val="21"/>
                    </w:rPr>
                    <w:t>（</w:t>
                  </w:r>
                  <w:r>
                    <w:rPr>
                      <w:b/>
                      <w:sz w:val="21"/>
                      <w:szCs w:val="21"/>
                    </w:rPr>
                    <w:t>A</w:t>
                  </w:r>
                  <w:r>
                    <w:rPr>
                      <w:rFonts w:hint="eastAsia"/>
                      <w:b/>
                      <w:sz w:val="21"/>
                      <w:szCs w:val="21"/>
                    </w:rPr>
                    <w:t>）</w:t>
                  </w:r>
                </w:p>
              </w:tc>
              <w:tc>
                <w:tcPr>
                  <w:tcW w:w="209" w:type="pct"/>
                  <w:vMerge w:val="restart"/>
                  <w:noWrap/>
                  <w:vAlign w:val="center"/>
                </w:tcPr>
                <w:p w14:paraId="156A763B">
                  <w:pPr>
                    <w:spacing w:line="276" w:lineRule="auto"/>
                    <w:jc w:val="center"/>
                    <w:rPr>
                      <w:b/>
                      <w:sz w:val="21"/>
                      <w:szCs w:val="21"/>
                    </w:rPr>
                  </w:pPr>
                  <w:r>
                    <w:rPr>
                      <w:b/>
                      <w:sz w:val="21"/>
                      <w:szCs w:val="21"/>
                    </w:rPr>
                    <w:t>运行时段</w:t>
                  </w:r>
                </w:p>
              </w:tc>
              <w:tc>
                <w:tcPr>
                  <w:tcW w:w="280" w:type="pct"/>
                  <w:vMerge w:val="restart"/>
                  <w:noWrap/>
                  <w:vAlign w:val="center"/>
                </w:tcPr>
                <w:p w14:paraId="1CEB7B5B">
                  <w:pPr>
                    <w:spacing w:line="276" w:lineRule="auto"/>
                    <w:jc w:val="center"/>
                    <w:rPr>
                      <w:b/>
                      <w:sz w:val="21"/>
                      <w:szCs w:val="21"/>
                    </w:rPr>
                  </w:pPr>
                  <w:r>
                    <w:rPr>
                      <w:b/>
                      <w:sz w:val="21"/>
                      <w:szCs w:val="21"/>
                    </w:rPr>
                    <w:t>建筑物插入损失/dB</w:t>
                  </w:r>
                  <w:r>
                    <w:rPr>
                      <w:rFonts w:hint="eastAsia"/>
                      <w:b/>
                      <w:sz w:val="21"/>
                      <w:szCs w:val="21"/>
                    </w:rPr>
                    <w:t>（</w:t>
                  </w:r>
                  <w:r>
                    <w:rPr>
                      <w:b/>
                      <w:sz w:val="21"/>
                      <w:szCs w:val="21"/>
                    </w:rPr>
                    <w:t>A</w:t>
                  </w:r>
                  <w:r>
                    <w:rPr>
                      <w:rFonts w:hint="eastAsia"/>
                      <w:b/>
                      <w:sz w:val="21"/>
                      <w:szCs w:val="21"/>
                    </w:rPr>
                    <w:t>）</w:t>
                  </w:r>
                </w:p>
              </w:tc>
              <w:tc>
                <w:tcPr>
                  <w:tcW w:w="946" w:type="pct"/>
                  <w:gridSpan w:val="5"/>
                  <w:noWrap/>
                  <w:vAlign w:val="center"/>
                </w:tcPr>
                <w:p w14:paraId="469486BF">
                  <w:pPr>
                    <w:spacing w:line="276" w:lineRule="auto"/>
                    <w:jc w:val="center"/>
                    <w:rPr>
                      <w:b/>
                      <w:sz w:val="21"/>
                      <w:szCs w:val="21"/>
                    </w:rPr>
                  </w:pPr>
                  <w:r>
                    <w:rPr>
                      <w:b/>
                      <w:sz w:val="21"/>
                      <w:szCs w:val="21"/>
                    </w:rPr>
                    <w:t>建筑物外噪声</w:t>
                  </w:r>
                </w:p>
              </w:tc>
            </w:tr>
            <w:tr w14:paraId="08B1D3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64" w:type="pct"/>
                  <w:vMerge w:val="continue"/>
                  <w:noWrap/>
                  <w:vAlign w:val="center"/>
                </w:tcPr>
                <w:p w14:paraId="065C91BF">
                  <w:pPr>
                    <w:spacing w:line="276" w:lineRule="auto"/>
                    <w:jc w:val="center"/>
                    <w:rPr>
                      <w:b/>
                      <w:sz w:val="21"/>
                      <w:szCs w:val="21"/>
                    </w:rPr>
                  </w:pPr>
                </w:p>
              </w:tc>
              <w:tc>
                <w:tcPr>
                  <w:tcW w:w="456" w:type="pct"/>
                  <w:vMerge w:val="continue"/>
                  <w:noWrap/>
                  <w:vAlign w:val="center"/>
                </w:tcPr>
                <w:p w14:paraId="7EBC54C4">
                  <w:pPr>
                    <w:spacing w:line="276" w:lineRule="auto"/>
                    <w:jc w:val="center"/>
                    <w:rPr>
                      <w:b/>
                      <w:sz w:val="21"/>
                      <w:szCs w:val="21"/>
                    </w:rPr>
                  </w:pPr>
                </w:p>
              </w:tc>
              <w:tc>
                <w:tcPr>
                  <w:tcW w:w="327" w:type="pct"/>
                  <w:vMerge w:val="continue"/>
                  <w:noWrap/>
                  <w:vAlign w:val="center"/>
                </w:tcPr>
                <w:p w14:paraId="4C6D5DA6">
                  <w:pPr>
                    <w:spacing w:line="276" w:lineRule="auto"/>
                    <w:jc w:val="center"/>
                    <w:rPr>
                      <w:b/>
                      <w:sz w:val="21"/>
                      <w:szCs w:val="21"/>
                    </w:rPr>
                  </w:pPr>
                </w:p>
              </w:tc>
              <w:tc>
                <w:tcPr>
                  <w:tcW w:w="198" w:type="pct"/>
                  <w:vMerge w:val="continue"/>
                  <w:noWrap/>
                  <w:vAlign w:val="center"/>
                </w:tcPr>
                <w:p w14:paraId="556E4343">
                  <w:pPr>
                    <w:spacing w:line="276" w:lineRule="auto"/>
                    <w:jc w:val="center"/>
                    <w:rPr>
                      <w:b/>
                      <w:sz w:val="21"/>
                      <w:szCs w:val="21"/>
                    </w:rPr>
                  </w:pPr>
                </w:p>
              </w:tc>
              <w:tc>
                <w:tcPr>
                  <w:tcW w:w="210" w:type="pct"/>
                  <w:vMerge w:val="restart"/>
                  <w:noWrap/>
                  <w:vAlign w:val="center"/>
                </w:tcPr>
                <w:p w14:paraId="6391CC89">
                  <w:pPr>
                    <w:spacing w:line="276" w:lineRule="auto"/>
                    <w:jc w:val="center"/>
                    <w:rPr>
                      <w:b/>
                      <w:sz w:val="21"/>
                      <w:szCs w:val="21"/>
                    </w:rPr>
                  </w:pPr>
                  <w:r>
                    <w:rPr>
                      <w:b/>
                      <w:sz w:val="21"/>
                      <w:szCs w:val="21"/>
                    </w:rPr>
                    <w:t>X</w:t>
                  </w:r>
                </w:p>
              </w:tc>
              <w:tc>
                <w:tcPr>
                  <w:tcW w:w="210" w:type="pct"/>
                  <w:vMerge w:val="restart"/>
                  <w:noWrap/>
                  <w:vAlign w:val="center"/>
                </w:tcPr>
                <w:p w14:paraId="4CEED343">
                  <w:pPr>
                    <w:spacing w:line="276" w:lineRule="auto"/>
                    <w:jc w:val="center"/>
                    <w:rPr>
                      <w:b/>
                      <w:sz w:val="21"/>
                      <w:szCs w:val="21"/>
                    </w:rPr>
                  </w:pPr>
                  <w:r>
                    <w:rPr>
                      <w:b/>
                      <w:sz w:val="21"/>
                      <w:szCs w:val="21"/>
                    </w:rPr>
                    <w:t>Y</w:t>
                  </w:r>
                </w:p>
              </w:tc>
              <w:tc>
                <w:tcPr>
                  <w:tcW w:w="210" w:type="pct"/>
                  <w:vMerge w:val="restart"/>
                  <w:noWrap/>
                  <w:vAlign w:val="center"/>
                </w:tcPr>
                <w:p w14:paraId="33F56CC3">
                  <w:pPr>
                    <w:spacing w:line="276" w:lineRule="auto"/>
                    <w:jc w:val="center"/>
                    <w:rPr>
                      <w:b/>
                      <w:sz w:val="21"/>
                      <w:szCs w:val="21"/>
                    </w:rPr>
                  </w:pPr>
                  <w:r>
                    <w:rPr>
                      <w:b/>
                      <w:sz w:val="21"/>
                      <w:szCs w:val="21"/>
                    </w:rPr>
                    <w:t>Z</w:t>
                  </w:r>
                </w:p>
              </w:tc>
              <w:tc>
                <w:tcPr>
                  <w:tcW w:w="210" w:type="pct"/>
                  <w:vMerge w:val="restart"/>
                  <w:noWrap/>
                  <w:vAlign w:val="center"/>
                </w:tcPr>
                <w:p w14:paraId="0198C395">
                  <w:pPr>
                    <w:spacing w:line="276" w:lineRule="auto"/>
                    <w:jc w:val="center"/>
                    <w:rPr>
                      <w:b/>
                      <w:sz w:val="21"/>
                      <w:szCs w:val="21"/>
                    </w:rPr>
                  </w:pPr>
                  <w:r>
                    <w:rPr>
                      <w:b/>
                      <w:sz w:val="21"/>
                      <w:szCs w:val="21"/>
                    </w:rPr>
                    <w:t>E</w:t>
                  </w:r>
                </w:p>
              </w:tc>
              <w:tc>
                <w:tcPr>
                  <w:tcW w:w="210" w:type="pct"/>
                  <w:vMerge w:val="restart"/>
                  <w:noWrap/>
                  <w:vAlign w:val="center"/>
                </w:tcPr>
                <w:p w14:paraId="5B74A510">
                  <w:pPr>
                    <w:spacing w:line="276" w:lineRule="auto"/>
                    <w:jc w:val="center"/>
                    <w:rPr>
                      <w:b/>
                      <w:sz w:val="21"/>
                      <w:szCs w:val="21"/>
                    </w:rPr>
                  </w:pPr>
                  <w:r>
                    <w:rPr>
                      <w:b/>
                      <w:sz w:val="21"/>
                      <w:szCs w:val="21"/>
                    </w:rPr>
                    <w:t>S</w:t>
                  </w:r>
                </w:p>
              </w:tc>
              <w:tc>
                <w:tcPr>
                  <w:tcW w:w="210" w:type="pct"/>
                  <w:vMerge w:val="restart"/>
                  <w:noWrap/>
                  <w:vAlign w:val="center"/>
                </w:tcPr>
                <w:p w14:paraId="6CAEB4C6">
                  <w:pPr>
                    <w:spacing w:line="276" w:lineRule="auto"/>
                    <w:jc w:val="center"/>
                    <w:rPr>
                      <w:b/>
                      <w:sz w:val="21"/>
                      <w:szCs w:val="21"/>
                    </w:rPr>
                  </w:pPr>
                  <w:r>
                    <w:rPr>
                      <w:b/>
                      <w:sz w:val="21"/>
                      <w:szCs w:val="21"/>
                    </w:rPr>
                    <w:t>W</w:t>
                  </w:r>
                </w:p>
              </w:tc>
              <w:tc>
                <w:tcPr>
                  <w:tcW w:w="210" w:type="pct"/>
                  <w:vMerge w:val="restart"/>
                  <w:noWrap/>
                  <w:vAlign w:val="center"/>
                </w:tcPr>
                <w:p w14:paraId="0563887D">
                  <w:pPr>
                    <w:spacing w:line="276" w:lineRule="auto"/>
                    <w:jc w:val="center"/>
                    <w:rPr>
                      <w:b/>
                      <w:sz w:val="21"/>
                      <w:szCs w:val="21"/>
                    </w:rPr>
                  </w:pPr>
                  <w:r>
                    <w:rPr>
                      <w:b/>
                      <w:sz w:val="21"/>
                      <w:szCs w:val="21"/>
                    </w:rPr>
                    <w:t>N</w:t>
                  </w:r>
                </w:p>
              </w:tc>
              <w:tc>
                <w:tcPr>
                  <w:tcW w:w="210" w:type="pct"/>
                  <w:vMerge w:val="restart"/>
                  <w:noWrap/>
                  <w:vAlign w:val="center"/>
                </w:tcPr>
                <w:p w14:paraId="5961B44B">
                  <w:pPr>
                    <w:spacing w:line="276" w:lineRule="auto"/>
                    <w:jc w:val="center"/>
                    <w:rPr>
                      <w:b/>
                      <w:sz w:val="21"/>
                      <w:szCs w:val="21"/>
                    </w:rPr>
                  </w:pPr>
                  <w:r>
                    <w:rPr>
                      <w:b/>
                      <w:sz w:val="21"/>
                      <w:szCs w:val="21"/>
                    </w:rPr>
                    <w:t>E</w:t>
                  </w:r>
                </w:p>
              </w:tc>
              <w:tc>
                <w:tcPr>
                  <w:tcW w:w="210" w:type="pct"/>
                  <w:vMerge w:val="restart"/>
                  <w:noWrap/>
                  <w:vAlign w:val="center"/>
                </w:tcPr>
                <w:p w14:paraId="316E101D">
                  <w:pPr>
                    <w:spacing w:line="276" w:lineRule="auto"/>
                    <w:jc w:val="center"/>
                    <w:rPr>
                      <w:b/>
                      <w:sz w:val="21"/>
                      <w:szCs w:val="21"/>
                    </w:rPr>
                  </w:pPr>
                  <w:r>
                    <w:rPr>
                      <w:b/>
                      <w:sz w:val="21"/>
                      <w:szCs w:val="21"/>
                    </w:rPr>
                    <w:t>S</w:t>
                  </w:r>
                </w:p>
              </w:tc>
              <w:tc>
                <w:tcPr>
                  <w:tcW w:w="210" w:type="pct"/>
                  <w:vMerge w:val="restart"/>
                  <w:noWrap/>
                  <w:vAlign w:val="center"/>
                </w:tcPr>
                <w:p w14:paraId="623D62DF">
                  <w:pPr>
                    <w:spacing w:line="276" w:lineRule="auto"/>
                    <w:jc w:val="center"/>
                    <w:rPr>
                      <w:b/>
                      <w:sz w:val="21"/>
                      <w:szCs w:val="21"/>
                    </w:rPr>
                  </w:pPr>
                  <w:r>
                    <w:rPr>
                      <w:b/>
                      <w:sz w:val="21"/>
                      <w:szCs w:val="21"/>
                    </w:rPr>
                    <w:t>W</w:t>
                  </w:r>
                </w:p>
              </w:tc>
              <w:tc>
                <w:tcPr>
                  <w:tcW w:w="213" w:type="pct"/>
                  <w:vMerge w:val="restart"/>
                  <w:noWrap/>
                  <w:vAlign w:val="center"/>
                </w:tcPr>
                <w:p w14:paraId="7DCF8A82">
                  <w:pPr>
                    <w:spacing w:line="276" w:lineRule="auto"/>
                    <w:jc w:val="center"/>
                    <w:rPr>
                      <w:b/>
                      <w:sz w:val="21"/>
                      <w:szCs w:val="21"/>
                    </w:rPr>
                  </w:pPr>
                  <w:r>
                    <w:rPr>
                      <w:b/>
                      <w:sz w:val="21"/>
                      <w:szCs w:val="21"/>
                    </w:rPr>
                    <w:t>N</w:t>
                  </w:r>
                </w:p>
              </w:tc>
              <w:tc>
                <w:tcPr>
                  <w:tcW w:w="209" w:type="pct"/>
                  <w:vMerge w:val="continue"/>
                  <w:noWrap/>
                  <w:vAlign w:val="center"/>
                </w:tcPr>
                <w:p w14:paraId="46F12129">
                  <w:pPr>
                    <w:spacing w:line="276" w:lineRule="auto"/>
                    <w:jc w:val="center"/>
                    <w:rPr>
                      <w:b/>
                      <w:sz w:val="21"/>
                      <w:szCs w:val="21"/>
                    </w:rPr>
                  </w:pPr>
                </w:p>
              </w:tc>
              <w:tc>
                <w:tcPr>
                  <w:tcW w:w="280" w:type="pct"/>
                  <w:vMerge w:val="continue"/>
                  <w:noWrap/>
                  <w:vAlign w:val="center"/>
                </w:tcPr>
                <w:p w14:paraId="607075BC">
                  <w:pPr>
                    <w:spacing w:line="276" w:lineRule="auto"/>
                    <w:jc w:val="center"/>
                    <w:rPr>
                      <w:b/>
                      <w:sz w:val="21"/>
                      <w:szCs w:val="21"/>
                    </w:rPr>
                  </w:pPr>
                </w:p>
              </w:tc>
              <w:tc>
                <w:tcPr>
                  <w:tcW w:w="713" w:type="pct"/>
                  <w:gridSpan w:val="4"/>
                  <w:vMerge w:val="restart"/>
                  <w:noWrap/>
                  <w:vAlign w:val="center"/>
                </w:tcPr>
                <w:p w14:paraId="067600EF">
                  <w:pPr>
                    <w:spacing w:line="276" w:lineRule="auto"/>
                    <w:jc w:val="center"/>
                    <w:rPr>
                      <w:b/>
                      <w:sz w:val="21"/>
                      <w:szCs w:val="21"/>
                    </w:rPr>
                  </w:pPr>
                  <w:r>
                    <w:rPr>
                      <w:b/>
                      <w:sz w:val="21"/>
                      <w:szCs w:val="21"/>
                    </w:rPr>
                    <w:t>声压级/dB</w:t>
                  </w:r>
                  <w:r>
                    <w:rPr>
                      <w:rFonts w:hint="eastAsia"/>
                      <w:b/>
                      <w:sz w:val="21"/>
                      <w:szCs w:val="21"/>
                    </w:rPr>
                    <w:t>（</w:t>
                  </w:r>
                  <w:r>
                    <w:rPr>
                      <w:b/>
                      <w:sz w:val="21"/>
                      <w:szCs w:val="21"/>
                    </w:rPr>
                    <w:t>A</w:t>
                  </w:r>
                  <w:r>
                    <w:rPr>
                      <w:rFonts w:hint="eastAsia"/>
                      <w:b/>
                      <w:sz w:val="21"/>
                      <w:szCs w:val="21"/>
                    </w:rPr>
                    <w:t>）</w:t>
                  </w:r>
                </w:p>
              </w:tc>
              <w:tc>
                <w:tcPr>
                  <w:tcW w:w="232" w:type="pct"/>
                  <w:vMerge w:val="restart"/>
                  <w:noWrap/>
                  <w:vAlign w:val="center"/>
                </w:tcPr>
                <w:p w14:paraId="12E2FCE8">
                  <w:pPr>
                    <w:spacing w:line="276" w:lineRule="auto"/>
                    <w:jc w:val="center"/>
                    <w:rPr>
                      <w:b/>
                      <w:sz w:val="21"/>
                      <w:szCs w:val="21"/>
                    </w:rPr>
                  </w:pPr>
                  <w:r>
                    <w:rPr>
                      <w:b/>
                      <w:sz w:val="21"/>
                      <w:szCs w:val="21"/>
                    </w:rPr>
                    <w:t>建筑物外距离</w:t>
                  </w:r>
                </w:p>
              </w:tc>
            </w:tr>
            <w:tr w14:paraId="094C5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4" w:type="pct"/>
                  <w:vMerge w:val="continue"/>
                  <w:noWrap/>
                  <w:vAlign w:val="center"/>
                </w:tcPr>
                <w:p w14:paraId="41EB9B1A">
                  <w:pPr>
                    <w:spacing w:line="276" w:lineRule="auto"/>
                    <w:jc w:val="center"/>
                    <w:rPr>
                      <w:b/>
                      <w:sz w:val="21"/>
                      <w:szCs w:val="21"/>
                    </w:rPr>
                  </w:pPr>
                </w:p>
              </w:tc>
              <w:tc>
                <w:tcPr>
                  <w:tcW w:w="456" w:type="pct"/>
                  <w:vMerge w:val="continue"/>
                  <w:noWrap/>
                  <w:vAlign w:val="center"/>
                </w:tcPr>
                <w:p w14:paraId="3F704E16">
                  <w:pPr>
                    <w:spacing w:line="276" w:lineRule="auto"/>
                    <w:jc w:val="center"/>
                    <w:rPr>
                      <w:b/>
                      <w:sz w:val="21"/>
                      <w:szCs w:val="21"/>
                    </w:rPr>
                  </w:pPr>
                </w:p>
              </w:tc>
              <w:tc>
                <w:tcPr>
                  <w:tcW w:w="327" w:type="pct"/>
                  <w:vMerge w:val="restart"/>
                  <w:noWrap/>
                  <w:vAlign w:val="center"/>
                </w:tcPr>
                <w:p w14:paraId="4C439C5F">
                  <w:pPr>
                    <w:spacing w:line="276" w:lineRule="auto"/>
                    <w:jc w:val="center"/>
                    <w:rPr>
                      <w:b/>
                      <w:sz w:val="21"/>
                      <w:szCs w:val="21"/>
                    </w:rPr>
                  </w:pPr>
                  <w:r>
                    <w:rPr>
                      <w:b/>
                      <w:sz w:val="21"/>
                      <w:szCs w:val="21"/>
                    </w:rPr>
                    <w:t>声功率级/dB</w:t>
                  </w:r>
                  <w:r>
                    <w:rPr>
                      <w:rFonts w:hint="eastAsia"/>
                      <w:b/>
                      <w:sz w:val="21"/>
                      <w:szCs w:val="21"/>
                    </w:rPr>
                    <w:t>（</w:t>
                  </w:r>
                  <w:r>
                    <w:rPr>
                      <w:b/>
                      <w:sz w:val="21"/>
                      <w:szCs w:val="21"/>
                    </w:rPr>
                    <w:t>A</w:t>
                  </w:r>
                  <w:r>
                    <w:rPr>
                      <w:rFonts w:hint="eastAsia"/>
                      <w:b/>
                      <w:sz w:val="21"/>
                      <w:szCs w:val="21"/>
                    </w:rPr>
                    <w:t>）</w:t>
                  </w:r>
                </w:p>
              </w:tc>
              <w:tc>
                <w:tcPr>
                  <w:tcW w:w="198" w:type="pct"/>
                  <w:vMerge w:val="continue"/>
                  <w:noWrap/>
                  <w:vAlign w:val="center"/>
                </w:tcPr>
                <w:p w14:paraId="552852EB">
                  <w:pPr>
                    <w:spacing w:line="276" w:lineRule="auto"/>
                    <w:jc w:val="center"/>
                    <w:rPr>
                      <w:b/>
                      <w:sz w:val="21"/>
                      <w:szCs w:val="21"/>
                    </w:rPr>
                  </w:pPr>
                </w:p>
              </w:tc>
              <w:tc>
                <w:tcPr>
                  <w:tcW w:w="210" w:type="pct"/>
                  <w:vMerge w:val="continue"/>
                  <w:noWrap/>
                  <w:vAlign w:val="center"/>
                </w:tcPr>
                <w:p w14:paraId="2667E1BE">
                  <w:pPr>
                    <w:spacing w:line="276" w:lineRule="auto"/>
                    <w:jc w:val="center"/>
                    <w:rPr>
                      <w:b/>
                      <w:sz w:val="21"/>
                      <w:szCs w:val="21"/>
                    </w:rPr>
                  </w:pPr>
                </w:p>
              </w:tc>
              <w:tc>
                <w:tcPr>
                  <w:tcW w:w="210" w:type="pct"/>
                  <w:vMerge w:val="continue"/>
                  <w:noWrap/>
                  <w:vAlign w:val="center"/>
                </w:tcPr>
                <w:p w14:paraId="486AED40">
                  <w:pPr>
                    <w:spacing w:line="276" w:lineRule="auto"/>
                    <w:jc w:val="center"/>
                    <w:rPr>
                      <w:b/>
                      <w:sz w:val="21"/>
                      <w:szCs w:val="21"/>
                    </w:rPr>
                  </w:pPr>
                </w:p>
              </w:tc>
              <w:tc>
                <w:tcPr>
                  <w:tcW w:w="210" w:type="pct"/>
                  <w:vMerge w:val="continue"/>
                  <w:noWrap/>
                  <w:vAlign w:val="center"/>
                </w:tcPr>
                <w:p w14:paraId="2EA82227">
                  <w:pPr>
                    <w:spacing w:line="276" w:lineRule="auto"/>
                    <w:jc w:val="center"/>
                    <w:rPr>
                      <w:b/>
                      <w:sz w:val="21"/>
                      <w:szCs w:val="21"/>
                    </w:rPr>
                  </w:pPr>
                </w:p>
              </w:tc>
              <w:tc>
                <w:tcPr>
                  <w:tcW w:w="210" w:type="pct"/>
                  <w:vMerge w:val="continue"/>
                  <w:noWrap/>
                  <w:vAlign w:val="center"/>
                </w:tcPr>
                <w:p w14:paraId="7C9F497F">
                  <w:pPr>
                    <w:spacing w:line="276" w:lineRule="auto"/>
                    <w:jc w:val="center"/>
                    <w:rPr>
                      <w:b/>
                      <w:sz w:val="21"/>
                      <w:szCs w:val="21"/>
                    </w:rPr>
                  </w:pPr>
                </w:p>
              </w:tc>
              <w:tc>
                <w:tcPr>
                  <w:tcW w:w="210" w:type="pct"/>
                  <w:vMerge w:val="continue"/>
                  <w:noWrap/>
                  <w:vAlign w:val="center"/>
                </w:tcPr>
                <w:p w14:paraId="5F3A3181">
                  <w:pPr>
                    <w:spacing w:line="276" w:lineRule="auto"/>
                    <w:jc w:val="center"/>
                    <w:rPr>
                      <w:b/>
                      <w:sz w:val="21"/>
                      <w:szCs w:val="21"/>
                    </w:rPr>
                  </w:pPr>
                </w:p>
              </w:tc>
              <w:tc>
                <w:tcPr>
                  <w:tcW w:w="210" w:type="pct"/>
                  <w:vMerge w:val="continue"/>
                  <w:noWrap/>
                  <w:vAlign w:val="center"/>
                </w:tcPr>
                <w:p w14:paraId="0F90F70A">
                  <w:pPr>
                    <w:spacing w:line="276" w:lineRule="auto"/>
                    <w:jc w:val="center"/>
                    <w:rPr>
                      <w:b/>
                      <w:sz w:val="21"/>
                      <w:szCs w:val="21"/>
                    </w:rPr>
                  </w:pPr>
                </w:p>
              </w:tc>
              <w:tc>
                <w:tcPr>
                  <w:tcW w:w="210" w:type="pct"/>
                  <w:vMerge w:val="continue"/>
                  <w:noWrap/>
                  <w:vAlign w:val="center"/>
                </w:tcPr>
                <w:p w14:paraId="39E0E89D">
                  <w:pPr>
                    <w:spacing w:line="276" w:lineRule="auto"/>
                    <w:jc w:val="center"/>
                    <w:rPr>
                      <w:b/>
                      <w:sz w:val="21"/>
                      <w:szCs w:val="21"/>
                    </w:rPr>
                  </w:pPr>
                </w:p>
              </w:tc>
              <w:tc>
                <w:tcPr>
                  <w:tcW w:w="210" w:type="pct"/>
                  <w:vMerge w:val="continue"/>
                  <w:noWrap/>
                  <w:vAlign w:val="center"/>
                </w:tcPr>
                <w:p w14:paraId="598A3046">
                  <w:pPr>
                    <w:spacing w:line="276" w:lineRule="auto"/>
                    <w:jc w:val="center"/>
                    <w:rPr>
                      <w:b/>
                      <w:sz w:val="21"/>
                      <w:szCs w:val="21"/>
                    </w:rPr>
                  </w:pPr>
                </w:p>
              </w:tc>
              <w:tc>
                <w:tcPr>
                  <w:tcW w:w="210" w:type="pct"/>
                  <w:vMerge w:val="continue"/>
                  <w:noWrap/>
                  <w:vAlign w:val="center"/>
                </w:tcPr>
                <w:p w14:paraId="0C43D8AC">
                  <w:pPr>
                    <w:spacing w:line="276" w:lineRule="auto"/>
                    <w:jc w:val="center"/>
                    <w:rPr>
                      <w:b/>
                      <w:sz w:val="21"/>
                      <w:szCs w:val="21"/>
                    </w:rPr>
                  </w:pPr>
                </w:p>
              </w:tc>
              <w:tc>
                <w:tcPr>
                  <w:tcW w:w="210" w:type="pct"/>
                  <w:vMerge w:val="continue"/>
                  <w:noWrap/>
                  <w:vAlign w:val="center"/>
                </w:tcPr>
                <w:p w14:paraId="42CB672C">
                  <w:pPr>
                    <w:spacing w:line="276" w:lineRule="auto"/>
                    <w:jc w:val="center"/>
                    <w:rPr>
                      <w:b/>
                      <w:sz w:val="21"/>
                      <w:szCs w:val="21"/>
                    </w:rPr>
                  </w:pPr>
                </w:p>
              </w:tc>
              <w:tc>
                <w:tcPr>
                  <w:tcW w:w="213" w:type="pct"/>
                  <w:vMerge w:val="continue"/>
                  <w:noWrap/>
                  <w:vAlign w:val="center"/>
                </w:tcPr>
                <w:p w14:paraId="1B426C3C">
                  <w:pPr>
                    <w:spacing w:line="276" w:lineRule="auto"/>
                    <w:jc w:val="center"/>
                    <w:rPr>
                      <w:b/>
                      <w:sz w:val="21"/>
                      <w:szCs w:val="21"/>
                    </w:rPr>
                  </w:pPr>
                </w:p>
              </w:tc>
              <w:tc>
                <w:tcPr>
                  <w:tcW w:w="209" w:type="pct"/>
                  <w:vMerge w:val="continue"/>
                  <w:noWrap/>
                  <w:vAlign w:val="center"/>
                </w:tcPr>
                <w:p w14:paraId="2DF1AA97">
                  <w:pPr>
                    <w:spacing w:line="276" w:lineRule="auto"/>
                    <w:jc w:val="center"/>
                    <w:rPr>
                      <w:b/>
                      <w:sz w:val="21"/>
                      <w:szCs w:val="21"/>
                    </w:rPr>
                  </w:pPr>
                </w:p>
              </w:tc>
              <w:tc>
                <w:tcPr>
                  <w:tcW w:w="280" w:type="pct"/>
                  <w:vMerge w:val="continue"/>
                  <w:noWrap/>
                  <w:vAlign w:val="center"/>
                </w:tcPr>
                <w:p w14:paraId="1FD0E855">
                  <w:pPr>
                    <w:spacing w:line="276" w:lineRule="auto"/>
                    <w:jc w:val="center"/>
                    <w:rPr>
                      <w:b/>
                      <w:sz w:val="21"/>
                      <w:szCs w:val="21"/>
                    </w:rPr>
                  </w:pPr>
                </w:p>
              </w:tc>
              <w:tc>
                <w:tcPr>
                  <w:tcW w:w="713" w:type="pct"/>
                  <w:gridSpan w:val="4"/>
                  <w:vMerge w:val="continue"/>
                  <w:noWrap/>
                  <w:vAlign w:val="center"/>
                </w:tcPr>
                <w:p w14:paraId="2E0C18EE">
                  <w:pPr>
                    <w:spacing w:line="276" w:lineRule="auto"/>
                    <w:jc w:val="center"/>
                    <w:rPr>
                      <w:b/>
                      <w:sz w:val="21"/>
                      <w:szCs w:val="21"/>
                    </w:rPr>
                  </w:pPr>
                </w:p>
              </w:tc>
              <w:tc>
                <w:tcPr>
                  <w:tcW w:w="232" w:type="pct"/>
                  <w:vMerge w:val="continue"/>
                  <w:noWrap/>
                  <w:vAlign w:val="center"/>
                </w:tcPr>
                <w:p w14:paraId="5299E0C1">
                  <w:pPr>
                    <w:spacing w:line="276" w:lineRule="auto"/>
                    <w:jc w:val="center"/>
                    <w:rPr>
                      <w:b/>
                      <w:sz w:val="21"/>
                      <w:szCs w:val="21"/>
                    </w:rPr>
                  </w:pPr>
                </w:p>
              </w:tc>
            </w:tr>
            <w:tr w14:paraId="1F5BE9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3D9A8289">
                  <w:pPr>
                    <w:spacing w:line="276" w:lineRule="auto"/>
                    <w:jc w:val="center"/>
                    <w:rPr>
                      <w:b/>
                      <w:sz w:val="21"/>
                      <w:szCs w:val="21"/>
                    </w:rPr>
                  </w:pPr>
                </w:p>
              </w:tc>
              <w:tc>
                <w:tcPr>
                  <w:tcW w:w="456" w:type="pct"/>
                  <w:vMerge w:val="continue"/>
                  <w:tcBorders>
                    <w:bottom w:val="single" w:color="auto" w:sz="4" w:space="0"/>
                  </w:tcBorders>
                  <w:noWrap/>
                  <w:vAlign w:val="center"/>
                </w:tcPr>
                <w:p w14:paraId="78C38B74">
                  <w:pPr>
                    <w:spacing w:line="276" w:lineRule="auto"/>
                    <w:jc w:val="center"/>
                    <w:rPr>
                      <w:b/>
                      <w:sz w:val="21"/>
                      <w:szCs w:val="21"/>
                    </w:rPr>
                  </w:pPr>
                </w:p>
              </w:tc>
              <w:tc>
                <w:tcPr>
                  <w:tcW w:w="327" w:type="pct"/>
                  <w:vMerge w:val="continue"/>
                  <w:noWrap/>
                  <w:vAlign w:val="center"/>
                </w:tcPr>
                <w:p w14:paraId="2E873FFC">
                  <w:pPr>
                    <w:spacing w:line="276" w:lineRule="auto"/>
                    <w:jc w:val="center"/>
                    <w:rPr>
                      <w:b/>
                      <w:sz w:val="21"/>
                      <w:szCs w:val="21"/>
                    </w:rPr>
                  </w:pPr>
                </w:p>
              </w:tc>
              <w:tc>
                <w:tcPr>
                  <w:tcW w:w="198" w:type="pct"/>
                  <w:vMerge w:val="continue"/>
                  <w:noWrap/>
                  <w:vAlign w:val="center"/>
                </w:tcPr>
                <w:p w14:paraId="6554D2AE">
                  <w:pPr>
                    <w:spacing w:line="276" w:lineRule="auto"/>
                    <w:jc w:val="center"/>
                    <w:rPr>
                      <w:b/>
                      <w:sz w:val="21"/>
                      <w:szCs w:val="21"/>
                    </w:rPr>
                  </w:pPr>
                </w:p>
              </w:tc>
              <w:tc>
                <w:tcPr>
                  <w:tcW w:w="210" w:type="pct"/>
                  <w:vMerge w:val="continue"/>
                  <w:noWrap/>
                  <w:vAlign w:val="center"/>
                </w:tcPr>
                <w:p w14:paraId="441CE593">
                  <w:pPr>
                    <w:spacing w:line="276" w:lineRule="auto"/>
                    <w:jc w:val="center"/>
                    <w:rPr>
                      <w:b/>
                      <w:sz w:val="21"/>
                      <w:szCs w:val="21"/>
                    </w:rPr>
                  </w:pPr>
                </w:p>
              </w:tc>
              <w:tc>
                <w:tcPr>
                  <w:tcW w:w="210" w:type="pct"/>
                  <w:vMerge w:val="continue"/>
                  <w:noWrap/>
                  <w:vAlign w:val="center"/>
                </w:tcPr>
                <w:p w14:paraId="6959BF90">
                  <w:pPr>
                    <w:spacing w:line="276" w:lineRule="auto"/>
                    <w:jc w:val="center"/>
                    <w:rPr>
                      <w:b/>
                      <w:sz w:val="21"/>
                      <w:szCs w:val="21"/>
                    </w:rPr>
                  </w:pPr>
                </w:p>
              </w:tc>
              <w:tc>
                <w:tcPr>
                  <w:tcW w:w="210" w:type="pct"/>
                  <w:vMerge w:val="continue"/>
                  <w:noWrap/>
                  <w:vAlign w:val="center"/>
                </w:tcPr>
                <w:p w14:paraId="4ACFD084">
                  <w:pPr>
                    <w:spacing w:line="276" w:lineRule="auto"/>
                    <w:jc w:val="center"/>
                    <w:rPr>
                      <w:b/>
                      <w:sz w:val="21"/>
                      <w:szCs w:val="21"/>
                    </w:rPr>
                  </w:pPr>
                </w:p>
              </w:tc>
              <w:tc>
                <w:tcPr>
                  <w:tcW w:w="210" w:type="pct"/>
                  <w:vMerge w:val="continue"/>
                  <w:noWrap/>
                  <w:vAlign w:val="center"/>
                </w:tcPr>
                <w:p w14:paraId="2E4CDAEB">
                  <w:pPr>
                    <w:spacing w:line="276" w:lineRule="auto"/>
                    <w:jc w:val="center"/>
                    <w:rPr>
                      <w:b/>
                      <w:sz w:val="21"/>
                      <w:szCs w:val="21"/>
                    </w:rPr>
                  </w:pPr>
                </w:p>
              </w:tc>
              <w:tc>
                <w:tcPr>
                  <w:tcW w:w="210" w:type="pct"/>
                  <w:vMerge w:val="continue"/>
                  <w:noWrap/>
                  <w:vAlign w:val="center"/>
                </w:tcPr>
                <w:p w14:paraId="367DE950">
                  <w:pPr>
                    <w:spacing w:line="276" w:lineRule="auto"/>
                    <w:jc w:val="center"/>
                    <w:rPr>
                      <w:b/>
                      <w:sz w:val="21"/>
                      <w:szCs w:val="21"/>
                    </w:rPr>
                  </w:pPr>
                </w:p>
              </w:tc>
              <w:tc>
                <w:tcPr>
                  <w:tcW w:w="210" w:type="pct"/>
                  <w:vMerge w:val="continue"/>
                  <w:noWrap/>
                  <w:vAlign w:val="center"/>
                </w:tcPr>
                <w:p w14:paraId="66A015FA">
                  <w:pPr>
                    <w:spacing w:line="276" w:lineRule="auto"/>
                    <w:jc w:val="center"/>
                    <w:rPr>
                      <w:b/>
                      <w:sz w:val="21"/>
                      <w:szCs w:val="21"/>
                    </w:rPr>
                  </w:pPr>
                </w:p>
              </w:tc>
              <w:tc>
                <w:tcPr>
                  <w:tcW w:w="210" w:type="pct"/>
                  <w:vMerge w:val="continue"/>
                  <w:noWrap/>
                  <w:vAlign w:val="center"/>
                </w:tcPr>
                <w:p w14:paraId="5C0380FC">
                  <w:pPr>
                    <w:spacing w:line="276" w:lineRule="auto"/>
                    <w:jc w:val="center"/>
                    <w:rPr>
                      <w:b/>
                      <w:sz w:val="21"/>
                      <w:szCs w:val="21"/>
                    </w:rPr>
                  </w:pPr>
                </w:p>
              </w:tc>
              <w:tc>
                <w:tcPr>
                  <w:tcW w:w="210" w:type="pct"/>
                  <w:vMerge w:val="continue"/>
                  <w:noWrap/>
                  <w:vAlign w:val="center"/>
                </w:tcPr>
                <w:p w14:paraId="57AD541A">
                  <w:pPr>
                    <w:spacing w:line="276" w:lineRule="auto"/>
                    <w:jc w:val="center"/>
                    <w:rPr>
                      <w:b/>
                      <w:sz w:val="21"/>
                      <w:szCs w:val="21"/>
                    </w:rPr>
                  </w:pPr>
                </w:p>
              </w:tc>
              <w:tc>
                <w:tcPr>
                  <w:tcW w:w="210" w:type="pct"/>
                  <w:vMerge w:val="continue"/>
                  <w:noWrap/>
                  <w:vAlign w:val="center"/>
                </w:tcPr>
                <w:p w14:paraId="217A5284">
                  <w:pPr>
                    <w:spacing w:line="276" w:lineRule="auto"/>
                    <w:jc w:val="center"/>
                    <w:rPr>
                      <w:b/>
                      <w:sz w:val="21"/>
                      <w:szCs w:val="21"/>
                    </w:rPr>
                  </w:pPr>
                </w:p>
              </w:tc>
              <w:tc>
                <w:tcPr>
                  <w:tcW w:w="210" w:type="pct"/>
                  <w:vMerge w:val="continue"/>
                  <w:noWrap/>
                  <w:vAlign w:val="center"/>
                </w:tcPr>
                <w:p w14:paraId="77A2CBB3">
                  <w:pPr>
                    <w:spacing w:line="276" w:lineRule="auto"/>
                    <w:jc w:val="center"/>
                    <w:rPr>
                      <w:b/>
                      <w:sz w:val="21"/>
                      <w:szCs w:val="21"/>
                    </w:rPr>
                  </w:pPr>
                </w:p>
              </w:tc>
              <w:tc>
                <w:tcPr>
                  <w:tcW w:w="213" w:type="pct"/>
                  <w:vMerge w:val="continue"/>
                  <w:noWrap/>
                  <w:vAlign w:val="center"/>
                </w:tcPr>
                <w:p w14:paraId="680682EA">
                  <w:pPr>
                    <w:spacing w:line="276" w:lineRule="auto"/>
                    <w:jc w:val="center"/>
                    <w:rPr>
                      <w:b/>
                      <w:sz w:val="21"/>
                      <w:szCs w:val="21"/>
                    </w:rPr>
                  </w:pPr>
                </w:p>
              </w:tc>
              <w:tc>
                <w:tcPr>
                  <w:tcW w:w="209" w:type="pct"/>
                  <w:vMerge w:val="continue"/>
                  <w:noWrap/>
                  <w:vAlign w:val="center"/>
                </w:tcPr>
                <w:p w14:paraId="2813F88B">
                  <w:pPr>
                    <w:spacing w:line="276" w:lineRule="auto"/>
                    <w:jc w:val="center"/>
                    <w:rPr>
                      <w:b/>
                      <w:sz w:val="21"/>
                      <w:szCs w:val="21"/>
                    </w:rPr>
                  </w:pPr>
                </w:p>
              </w:tc>
              <w:tc>
                <w:tcPr>
                  <w:tcW w:w="280" w:type="pct"/>
                  <w:vMerge w:val="continue"/>
                  <w:noWrap/>
                  <w:vAlign w:val="center"/>
                </w:tcPr>
                <w:p w14:paraId="7F98450B">
                  <w:pPr>
                    <w:spacing w:line="276" w:lineRule="auto"/>
                    <w:jc w:val="center"/>
                    <w:rPr>
                      <w:b/>
                      <w:sz w:val="21"/>
                      <w:szCs w:val="21"/>
                    </w:rPr>
                  </w:pPr>
                </w:p>
              </w:tc>
              <w:tc>
                <w:tcPr>
                  <w:tcW w:w="178" w:type="pct"/>
                  <w:noWrap/>
                  <w:vAlign w:val="center"/>
                </w:tcPr>
                <w:p w14:paraId="5FB42DBC">
                  <w:pPr>
                    <w:spacing w:line="276" w:lineRule="auto"/>
                    <w:jc w:val="center"/>
                    <w:rPr>
                      <w:b/>
                      <w:sz w:val="21"/>
                      <w:szCs w:val="21"/>
                    </w:rPr>
                  </w:pPr>
                  <w:r>
                    <w:rPr>
                      <w:b/>
                      <w:sz w:val="21"/>
                      <w:szCs w:val="21"/>
                    </w:rPr>
                    <w:t>E</w:t>
                  </w:r>
                </w:p>
              </w:tc>
              <w:tc>
                <w:tcPr>
                  <w:tcW w:w="178" w:type="pct"/>
                  <w:noWrap/>
                  <w:vAlign w:val="center"/>
                </w:tcPr>
                <w:p w14:paraId="502C84A7">
                  <w:pPr>
                    <w:spacing w:line="276" w:lineRule="auto"/>
                    <w:jc w:val="center"/>
                    <w:rPr>
                      <w:b/>
                      <w:sz w:val="21"/>
                      <w:szCs w:val="21"/>
                    </w:rPr>
                  </w:pPr>
                  <w:r>
                    <w:rPr>
                      <w:b/>
                      <w:sz w:val="21"/>
                      <w:szCs w:val="21"/>
                    </w:rPr>
                    <w:t>S</w:t>
                  </w:r>
                </w:p>
              </w:tc>
              <w:tc>
                <w:tcPr>
                  <w:tcW w:w="178" w:type="pct"/>
                  <w:noWrap/>
                  <w:vAlign w:val="center"/>
                </w:tcPr>
                <w:p w14:paraId="4AE106A0">
                  <w:pPr>
                    <w:spacing w:line="276" w:lineRule="auto"/>
                    <w:jc w:val="center"/>
                    <w:rPr>
                      <w:b/>
                      <w:sz w:val="21"/>
                      <w:szCs w:val="21"/>
                    </w:rPr>
                  </w:pPr>
                  <w:r>
                    <w:rPr>
                      <w:b/>
                      <w:sz w:val="21"/>
                      <w:szCs w:val="21"/>
                    </w:rPr>
                    <w:t>W</w:t>
                  </w:r>
                </w:p>
              </w:tc>
              <w:tc>
                <w:tcPr>
                  <w:tcW w:w="178" w:type="pct"/>
                  <w:noWrap/>
                  <w:vAlign w:val="center"/>
                </w:tcPr>
                <w:p w14:paraId="4C73D3F9">
                  <w:pPr>
                    <w:spacing w:line="276" w:lineRule="auto"/>
                    <w:jc w:val="center"/>
                    <w:rPr>
                      <w:b/>
                      <w:sz w:val="21"/>
                      <w:szCs w:val="21"/>
                    </w:rPr>
                  </w:pPr>
                  <w:r>
                    <w:rPr>
                      <w:b/>
                      <w:sz w:val="21"/>
                      <w:szCs w:val="21"/>
                    </w:rPr>
                    <w:t>N</w:t>
                  </w:r>
                </w:p>
              </w:tc>
              <w:tc>
                <w:tcPr>
                  <w:tcW w:w="232" w:type="pct"/>
                  <w:vMerge w:val="continue"/>
                  <w:noWrap/>
                  <w:vAlign w:val="center"/>
                </w:tcPr>
                <w:p w14:paraId="26DA9742">
                  <w:pPr>
                    <w:spacing w:line="276" w:lineRule="auto"/>
                    <w:jc w:val="center"/>
                    <w:rPr>
                      <w:b/>
                      <w:sz w:val="21"/>
                      <w:szCs w:val="21"/>
                    </w:rPr>
                  </w:pPr>
                </w:p>
              </w:tc>
            </w:tr>
            <w:tr w14:paraId="1713A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70F123A6">
                  <w:pPr>
                    <w:spacing w:line="276" w:lineRule="auto"/>
                    <w:jc w:val="center"/>
                    <w:rPr>
                      <w:sz w:val="21"/>
                      <w:szCs w:val="21"/>
                    </w:rPr>
                  </w:pPr>
                  <w:r>
                    <w:rPr>
                      <w:rFonts w:hint="eastAsia"/>
                      <w:sz w:val="21"/>
                      <w:szCs w:val="21"/>
                    </w:rPr>
                    <w:t>冲压区</w:t>
                  </w:r>
                </w:p>
              </w:tc>
              <w:tc>
                <w:tcPr>
                  <w:tcW w:w="456" w:type="pct"/>
                  <w:tcBorders>
                    <w:top w:val="single" w:color="auto" w:sz="4" w:space="0"/>
                  </w:tcBorders>
                  <w:noWrap/>
                  <w:vAlign w:val="center"/>
                </w:tcPr>
                <w:p w14:paraId="39C22576">
                  <w:pPr>
                    <w:spacing w:line="276" w:lineRule="auto"/>
                    <w:jc w:val="center"/>
                    <w:rPr>
                      <w:sz w:val="21"/>
                      <w:szCs w:val="21"/>
                    </w:rPr>
                  </w:pPr>
                  <w:r>
                    <w:rPr>
                      <w:rFonts w:hint="eastAsia"/>
                      <w:sz w:val="21"/>
                      <w:szCs w:val="21"/>
                    </w:rPr>
                    <w:t>四工位伺服换模成型机×1</w:t>
                  </w:r>
                </w:p>
              </w:tc>
              <w:tc>
                <w:tcPr>
                  <w:tcW w:w="327" w:type="pct"/>
                  <w:noWrap/>
                  <w:vAlign w:val="center"/>
                </w:tcPr>
                <w:p w14:paraId="0088D75C">
                  <w:pPr>
                    <w:spacing w:line="276" w:lineRule="auto"/>
                    <w:jc w:val="center"/>
                    <w:rPr>
                      <w:sz w:val="21"/>
                      <w:szCs w:val="21"/>
                    </w:rPr>
                  </w:pPr>
                  <w:r>
                    <w:rPr>
                      <w:rFonts w:hint="eastAsia"/>
                      <w:sz w:val="21"/>
                      <w:szCs w:val="21"/>
                    </w:rPr>
                    <w:t>75</w:t>
                  </w:r>
                </w:p>
              </w:tc>
              <w:tc>
                <w:tcPr>
                  <w:tcW w:w="198" w:type="pct"/>
                  <w:vMerge w:val="restart"/>
                  <w:noWrap/>
                  <w:vAlign w:val="center"/>
                </w:tcPr>
                <w:p w14:paraId="0C38BA18">
                  <w:pPr>
                    <w:spacing w:line="276" w:lineRule="auto"/>
                    <w:jc w:val="center"/>
                    <w:rPr>
                      <w:sz w:val="21"/>
                      <w:szCs w:val="21"/>
                    </w:rPr>
                  </w:pPr>
                  <w:r>
                    <w:rPr>
                      <w:sz w:val="21"/>
                      <w:szCs w:val="21"/>
                    </w:rPr>
                    <w:t>选用低噪声设备、减振、隔声</w:t>
                  </w:r>
                </w:p>
              </w:tc>
              <w:tc>
                <w:tcPr>
                  <w:tcW w:w="210" w:type="pct"/>
                  <w:tcBorders>
                    <w:top w:val="single" w:color="auto" w:sz="4" w:space="0"/>
                    <w:bottom w:val="single" w:color="auto" w:sz="4" w:space="0"/>
                  </w:tcBorders>
                  <w:noWrap/>
                  <w:vAlign w:val="center"/>
                </w:tcPr>
                <w:p w14:paraId="299A9D9F">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2619CFC2">
                  <w:pPr>
                    <w:spacing w:line="276" w:lineRule="auto"/>
                    <w:jc w:val="center"/>
                    <w:rPr>
                      <w:sz w:val="21"/>
                      <w:szCs w:val="21"/>
                    </w:rPr>
                  </w:pPr>
                  <w:r>
                    <w:rPr>
                      <w:rFonts w:hint="eastAsia"/>
                      <w:sz w:val="21"/>
                      <w:szCs w:val="21"/>
                    </w:rPr>
                    <w:t>-82</w:t>
                  </w:r>
                </w:p>
              </w:tc>
              <w:tc>
                <w:tcPr>
                  <w:tcW w:w="210" w:type="pct"/>
                  <w:tcBorders>
                    <w:top w:val="single" w:color="auto" w:sz="4" w:space="0"/>
                    <w:bottom w:val="single" w:color="auto" w:sz="4" w:space="0"/>
                  </w:tcBorders>
                  <w:noWrap/>
                  <w:vAlign w:val="center"/>
                </w:tcPr>
                <w:p w14:paraId="4C1A7E56">
                  <w:pPr>
                    <w:spacing w:line="276" w:lineRule="auto"/>
                    <w:jc w:val="center"/>
                    <w:rPr>
                      <w:sz w:val="21"/>
                      <w:szCs w:val="21"/>
                    </w:rPr>
                  </w:pPr>
                  <w:r>
                    <w:rPr>
                      <w:rFonts w:hint="eastAsia"/>
                      <w:sz w:val="21"/>
                      <w:szCs w:val="21"/>
                    </w:rPr>
                    <w:t>1.5</w:t>
                  </w:r>
                </w:p>
              </w:tc>
              <w:tc>
                <w:tcPr>
                  <w:tcW w:w="210" w:type="pct"/>
                  <w:noWrap/>
                  <w:vAlign w:val="center"/>
                </w:tcPr>
                <w:p w14:paraId="24BC1B45">
                  <w:pPr>
                    <w:jc w:val="center"/>
                    <w:rPr>
                      <w:sz w:val="21"/>
                      <w:szCs w:val="21"/>
                    </w:rPr>
                  </w:pPr>
                  <w:r>
                    <w:rPr>
                      <w:rFonts w:hint="eastAsia"/>
                      <w:sz w:val="21"/>
                      <w:szCs w:val="21"/>
                    </w:rPr>
                    <w:t>12</w:t>
                  </w:r>
                </w:p>
              </w:tc>
              <w:tc>
                <w:tcPr>
                  <w:tcW w:w="210" w:type="pct"/>
                  <w:noWrap/>
                  <w:vAlign w:val="center"/>
                </w:tcPr>
                <w:p w14:paraId="02E24D33">
                  <w:pPr>
                    <w:jc w:val="center"/>
                    <w:rPr>
                      <w:sz w:val="21"/>
                      <w:szCs w:val="21"/>
                    </w:rPr>
                  </w:pPr>
                  <w:r>
                    <w:rPr>
                      <w:rFonts w:hint="eastAsia"/>
                      <w:sz w:val="21"/>
                      <w:szCs w:val="21"/>
                    </w:rPr>
                    <w:t>18</w:t>
                  </w:r>
                </w:p>
              </w:tc>
              <w:tc>
                <w:tcPr>
                  <w:tcW w:w="210" w:type="pct"/>
                  <w:noWrap/>
                  <w:vAlign w:val="center"/>
                </w:tcPr>
                <w:p w14:paraId="5A8D4C30">
                  <w:pPr>
                    <w:jc w:val="center"/>
                    <w:rPr>
                      <w:sz w:val="21"/>
                      <w:szCs w:val="21"/>
                    </w:rPr>
                  </w:pPr>
                  <w:r>
                    <w:rPr>
                      <w:rFonts w:hint="eastAsia"/>
                      <w:sz w:val="21"/>
                      <w:szCs w:val="21"/>
                    </w:rPr>
                    <w:t>48</w:t>
                  </w:r>
                </w:p>
              </w:tc>
              <w:tc>
                <w:tcPr>
                  <w:tcW w:w="210" w:type="pct"/>
                  <w:noWrap/>
                  <w:vAlign w:val="center"/>
                </w:tcPr>
                <w:p w14:paraId="3176B4D4">
                  <w:pPr>
                    <w:jc w:val="center"/>
                    <w:rPr>
                      <w:sz w:val="21"/>
                      <w:szCs w:val="21"/>
                    </w:rPr>
                  </w:pPr>
                  <w:r>
                    <w:rPr>
                      <w:rFonts w:hint="eastAsia"/>
                      <w:sz w:val="21"/>
                      <w:szCs w:val="21"/>
                    </w:rPr>
                    <w:t>182</w:t>
                  </w:r>
                </w:p>
              </w:tc>
              <w:tc>
                <w:tcPr>
                  <w:tcW w:w="210" w:type="pct"/>
                  <w:noWrap/>
                  <w:vAlign w:val="center"/>
                </w:tcPr>
                <w:p w14:paraId="6FFEBDE1">
                  <w:pPr>
                    <w:spacing w:line="276" w:lineRule="auto"/>
                    <w:jc w:val="center"/>
                    <w:rPr>
                      <w:sz w:val="21"/>
                      <w:szCs w:val="21"/>
                    </w:rPr>
                  </w:pPr>
                  <w:r>
                    <w:rPr>
                      <w:rFonts w:hint="eastAsia"/>
                      <w:sz w:val="21"/>
                      <w:szCs w:val="21"/>
                    </w:rPr>
                    <w:t>53</w:t>
                  </w:r>
                </w:p>
              </w:tc>
              <w:tc>
                <w:tcPr>
                  <w:tcW w:w="210" w:type="pct"/>
                  <w:noWrap/>
                  <w:vAlign w:val="center"/>
                </w:tcPr>
                <w:p w14:paraId="0EF0EE2E">
                  <w:pPr>
                    <w:spacing w:line="276" w:lineRule="auto"/>
                    <w:jc w:val="center"/>
                    <w:rPr>
                      <w:sz w:val="21"/>
                      <w:szCs w:val="21"/>
                    </w:rPr>
                  </w:pPr>
                  <w:r>
                    <w:rPr>
                      <w:rFonts w:hint="eastAsia"/>
                      <w:sz w:val="21"/>
                      <w:szCs w:val="21"/>
                    </w:rPr>
                    <w:t>50</w:t>
                  </w:r>
                </w:p>
              </w:tc>
              <w:tc>
                <w:tcPr>
                  <w:tcW w:w="210" w:type="pct"/>
                  <w:noWrap/>
                  <w:vAlign w:val="center"/>
                </w:tcPr>
                <w:p w14:paraId="3BA89CBB">
                  <w:pPr>
                    <w:spacing w:line="276" w:lineRule="auto"/>
                    <w:jc w:val="center"/>
                    <w:rPr>
                      <w:sz w:val="21"/>
                      <w:szCs w:val="21"/>
                    </w:rPr>
                  </w:pPr>
                  <w:r>
                    <w:rPr>
                      <w:rFonts w:hint="eastAsia"/>
                      <w:sz w:val="21"/>
                      <w:szCs w:val="21"/>
                    </w:rPr>
                    <w:t>41</w:t>
                  </w:r>
                </w:p>
              </w:tc>
              <w:tc>
                <w:tcPr>
                  <w:tcW w:w="213" w:type="pct"/>
                  <w:noWrap/>
                  <w:vAlign w:val="center"/>
                </w:tcPr>
                <w:p w14:paraId="7EE07BD8">
                  <w:pPr>
                    <w:spacing w:line="276" w:lineRule="auto"/>
                    <w:jc w:val="center"/>
                    <w:rPr>
                      <w:sz w:val="21"/>
                      <w:szCs w:val="21"/>
                    </w:rPr>
                  </w:pPr>
                  <w:r>
                    <w:rPr>
                      <w:rFonts w:hint="eastAsia"/>
                      <w:sz w:val="21"/>
                      <w:szCs w:val="21"/>
                    </w:rPr>
                    <w:t>30</w:t>
                  </w:r>
                </w:p>
              </w:tc>
              <w:tc>
                <w:tcPr>
                  <w:tcW w:w="209" w:type="pct"/>
                  <w:vMerge w:val="restart"/>
                  <w:noWrap/>
                  <w:vAlign w:val="center"/>
                </w:tcPr>
                <w:p w14:paraId="340DE294">
                  <w:pPr>
                    <w:spacing w:line="276" w:lineRule="auto"/>
                    <w:jc w:val="center"/>
                    <w:rPr>
                      <w:sz w:val="21"/>
                      <w:szCs w:val="21"/>
                    </w:rPr>
                  </w:pPr>
                  <w:r>
                    <w:rPr>
                      <w:rFonts w:hint="eastAsia"/>
                      <w:sz w:val="21"/>
                      <w:szCs w:val="21"/>
                    </w:rPr>
                    <w:t>昼间</w:t>
                  </w:r>
                </w:p>
              </w:tc>
              <w:tc>
                <w:tcPr>
                  <w:tcW w:w="280" w:type="pct"/>
                  <w:noWrap/>
                  <w:vAlign w:val="center"/>
                </w:tcPr>
                <w:p w14:paraId="7B8D8B45">
                  <w:pPr>
                    <w:spacing w:line="276" w:lineRule="auto"/>
                    <w:jc w:val="center"/>
                    <w:rPr>
                      <w:sz w:val="21"/>
                      <w:szCs w:val="21"/>
                    </w:rPr>
                  </w:pPr>
                  <w:r>
                    <w:rPr>
                      <w:rFonts w:hint="eastAsia"/>
                      <w:sz w:val="21"/>
                      <w:szCs w:val="21"/>
                    </w:rPr>
                    <w:t>15</w:t>
                  </w:r>
                </w:p>
              </w:tc>
              <w:tc>
                <w:tcPr>
                  <w:tcW w:w="178" w:type="pct"/>
                  <w:noWrap/>
                  <w:vAlign w:val="center"/>
                </w:tcPr>
                <w:p w14:paraId="154A0182">
                  <w:pPr>
                    <w:spacing w:line="276" w:lineRule="auto"/>
                    <w:jc w:val="center"/>
                    <w:rPr>
                      <w:sz w:val="21"/>
                      <w:szCs w:val="21"/>
                    </w:rPr>
                  </w:pPr>
                  <w:r>
                    <w:rPr>
                      <w:rFonts w:hint="eastAsia"/>
                      <w:sz w:val="21"/>
                      <w:szCs w:val="21"/>
                    </w:rPr>
                    <w:t>38</w:t>
                  </w:r>
                </w:p>
              </w:tc>
              <w:tc>
                <w:tcPr>
                  <w:tcW w:w="178" w:type="pct"/>
                  <w:noWrap/>
                  <w:vAlign w:val="center"/>
                </w:tcPr>
                <w:p w14:paraId="0AA1CD1A">
                  <w:pPr>
                    <w:spacing w:line="276" w:lineRule="auto"/>
                    <w:jc w:val="center"/>
                    <w:rPr>
                      <w:sz w:val="21"/>
                      <w:szCs w:val="21"/>
                    </w:rPr>
                  </w:pPr>
                  <w:r>
                    <w:rPr>
                      <w:rFonts w:hint="eastAsia"/>
                      <w:sz w:val="21"/>
                      <w:szCs w:val="21"/>
                    </w:rPr>
                    <w:t>35</w:t>
                  </w:r>
                </w:p>
              </w:tc>
              <w:tc>
                <w:tcPr>
                  <w:tcW w:w="178" w:type="pct"/>
                  <w:noWrap/>
                  <w:vAlign w:val="center"/>
                </w:tcPr>
                <w:p w14:paraId="503DFAC3">
                  <w:pPr>
                    <w:spacing w:line="276" w:lineRule="auto"/>
                    <w:jc w:val="center"/>
                    <w:rPr>
                      <w:sz w:val="21"/>
                      <w:szCs w:val="21"/>
                    </w:rPr>
                  </w:pPr>
                  <w:r>
                    <w:rPr>
                      <w:rFonts w:hint="eastAsia"/>
                      <w:sz w:val="21"/>
                      <w:szCs w:val="21"/>
                    </w:rPr>
                    <w:t>26</w:t>
                  </w:r>
                </w:p>
              </w:tc>
              <w:tc>
                <w:tcPr>
                  <w:tcW w:w="178" w:type="pct"/>
                  <w:noWrap/>
                  <w:vAlign w:val="center"/>
                </w:tcPr>
                <w:p w14:paraId="469A0503">
                  <w:pPr>
                    <w:spacing w:line="276" w:lineRule="auto"/>
                    <w:jc w:val="center"/>
                    <w:rPr>
                      <w:sz w:val="21"/>
                      <w:szCs w:val="21"/>
                    </w:rPr>
                  </w:pPr>
                  <w:r>
                    <w:rPr>
                      <w:rFonts w:hint="eastAsia"/>
                      <w:sz w:val="21"/>
                      <w:szCs w:val="21"/>
                    </w:rPr>
                    <w:t>15</w:t>
                  </w:r>
                </w:p>
              </w:tc>
              <w:tc>
                <w:tcPr>
                  <w:tcW w:w="232" w:type="pct"/>
                  <w:noWrap/>
                  <w:vAlign w:val="center"/>
                </w:tcPr>
                <w:p w14:paraId="5EE3F190">
                  <w:pPr>
                    <w:spacing w:line="276" w:lineRule="auto"/>
                    <w:jc w:val="center"/>
                    <w:rPr>
                      <w:sz w:val="21"/>
                      <w:szCs w:val="21"/>
                    </w:rPr>
                  </w:pPr>
                  <w:r>
                    <w:rPr>
                      <w:rFonts w:hint="eastAsia"/>
                      <w:sz w:val="21"/>
                      <w:szCs w:val="21"/>
                    </w:rPr>
                    <w:t>1m</w:t>
                  </w:r>
                </w:p>
              </w:tc>
            </w:tr>
            <w:tr w14:paraId="36F182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34B620AF">
                  <w:pPr>
                    <w:spacing w:line="276" w:lineRule="auto"/>
                    <w:jc w:val="center"/>
                    <w:rPr>
                      <w:sz w:val="21"/>
                      <w:szCs w:val="21"/>
                    </w:rPr>
                  </w:pPr>
                </w:p>
              </w:tc>
              <w:tc>
                <w:tcPr>
                  <w:tcW w:w="456" w:type="pct"/>
                  <w:tcBorders>
                    <w:top w:val="single" w:color="auto" w:sz="4" w:space="0"/>
                  </w:tcBorders>
                  <w:noWrap/>
                  <w:vAlign w:val="center"/>
                </w:tcPr>
                <w:p w14:paraId="5E048729">
                  <w:pPr>
                    <w:spacing w:line="276" w:lineRule="auto"/>
                    <w:jc w:val="center"/>
                    <w:rPr>
                      <w:sz w:val="21"/>
                      <w:szCs w:val="21"/>
                    </w:rPr>
                  </w:pPr>
                  <w:r>
                    <w:rPr>
                      <w:rFonts w:hint="eastAsia"/>
                      <w:sz w:val="21"/>
                      <w:szCs w:val="21"/>
                    </w:rPr>
                    <w:t>单头液压弯管机×1</w:t>
                  </w:r>
                </w:p>
              </w:tc>
              <w:tc>
                <w:tcPr>
                  <w:tcW w:w="327" w:type="pct"/>
                  <w:noWrap/>
                  <w:vAlign w:val="center"/>
                </w:tcPr>
                <w:p w14:paraId="3F78275B">
                  <w:pPr>
                    <w:spacing w:line="276" w:lineRule="auto"/>
                    <w:jc w:val="center"/>
                    <w:rPr>
                      <w:sz w:val="21"/>
                      <w:szCs w:val="21"/>
                    </w:rPr>
                  </w:pPr>
                  <w:r>
                    <w:rPr>
                      <w:rFonts w:hint="eastAsia"/>
                      <w:sz w:val="21"/>
                      <w:szCs w:val="21"/>
                    </w:rPr>
                    <w:t>75</w:t>
                  </w:r>
                </w:p>
              </w:tc>
              <w:tc>
                <w:tcPr>
                  <w:tcW w:w="198" w:type="pct"/>
                  <w:vMerge w:val="continue"/>
                  <w:noWrap/>
                  <w:vAlign w:val="center"/>
                </w:tcPr>
                <w:p w14:paraId="79F5BA71">
                  <w:pPr>
                    <w:spacing w:line="276" w:lineRule="auto"/>
                    <w:jc w:val="center"/>
                    <w:rPr>
                      <w:sz w:val="21"/>
                      <w:szCs w:val="21"/>
                    </w:rPr>
                  </w:pPr>
                </w:p>
              </w:tc>
              <w:tc>
                <w:tcPr>
                  <w:tcW w:w="210" w:type="pct"/>
                  <w:tcBorders>
                    <w:top w:val="single" w:color="auto" w:sz="4" w:space="0"/>
                    <w:bottom w:val="single" w:color="auto" w:sz="4" w:space="0"/>
                  </w:tcBorders>
                  <w:noWrap/>
                  <w:vAlign w:val="center"/>
                </w:tcPr>
                <w:p w14:paraId="1A7CDCCB">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0ADA7D61">
                  <w:pPr>
                    <w:spacing w:line="276" w:lineRule="auto"/>
                    <w:jc w:val="center"/>
                    <w:rPr>
                      <w:sz w:val="21"/>
                      <w:szCs w:val="21"/>
                    </w:rPr>
                  </w:pPr>
                  <w:r>
                    <w:rPr>
                      <w:rFonts w:hint="eastAsia"/>
                      <w:sz w:val="21"/>
                      <w:szCs w:val="21"/>
                    </w:rPr>
                    <w:t>-80</w:t>
                  </w:r>
                </w:p>
              </w:tc>
              <w:tc>
                <w:tcPr>
                  <w:tcW w:w="210" w:type="pct"/>
                  <w:tcBorders>
                    <w:top w:val="single" w:color="auto" w:sz="4" w:space="0"/>
                    <w:bottom w:val="single" w:color="auto" w:sz="4" w:space="0"/>
                  </w:tcBorders>
                  <w:noWrap/>
                  <w:vAlign w:val="center"/>
                </w:tcPr>
                <w:p w14:paraId="545B5258">
                  <w:pPr>
                    <w:spacing w:line="276" w:lineRule="auto"/>
                    <w:jc w:val="center"/>
                    <w:rPr>
                      <w:sz w:val="21"/>
                      <w:szCs w:val="21"/>
                    </w:rPr>
                  </w:pPr>
                  <w:r>
                    <w:rPr>
                      <w:rFonts w:hint="eastAsia"/>
                      <w:sz w:val="21"/>
                      <w:szCs w:val="21"/>
                    </w:rPr>
                    <w:t>1.5</w:t>
                  </w:r>
                </w:p>
              </w:tc>
              <w:tc>
                <w:tcPr>
                  <w:tcW w:w="210" w:type="pct"/>
                  <w:noWrap/>
                  <w:vAlign w:val="center"/>
                </w:tcPr>
                <w:p w14:paraId="238D61B5">
                  <w:pPr>
                    <w:jc w:val="center"/>
                    <w:rPr>
                      <w:sz w:val="21"/>
                      <w:szCs w:val="21"/>
                    </w:rPr>
                  </w:pPr>
                  <w:r>
                    <w:rPr>
                      <w:rFonts w:hint="eastAsia"/>
                      <w:sz w:val="21"/>
                      <w:szCs w:val="21"/>
                    </w:rPr>
                    <w:t>12</w:t>
                  </w:r>
                </w:p>
              </w:tc>
              <w:tc>
                <w:tcPr>
                  <w:tcW w:w="210" w:type="pct"/>
                  <w:noWrap/>
                  <w:vAlign w:val="center"/>
                </w:tcPr>
                <w:p w14:paraId="0D8FAFC9">
                  <w:pPr>
                    <w:jc w:val="center"/>
                    <w:rPr>
                      <w:sz w:val="21"/>
                      <w:szCs w:val="21"/>
                    </w:rPr>
                  </w:pPr>
                  <w:r>
                    <w:rPr>
                      <w:rFonts w:hint="eastAsia"/>
                      <w:sz w:val="21"/>
                      <w:szCs w:val="21"/>
                    </w:rPr>
                    <w:t>20</w:t>
                  </w:r>
                </w:p>
              </w:tc>
              <w:tc>
                <w:tcPr>
                  <w:tcW w:w="210" w:type="pct"/>
                  <w:noWrap/>
                  <w:vAlign w:val="center"/>
                </w:tcPr>
                <w:p w14:paraId="2BF9C3F7">
                  <w:pPr>
                    <w:jc w:val="center"/>
                    <w:rPr>
                      <w:sz w:val="21"/>
                      <w:szCs w:val="21"/>
                    </w:rPr>
                  </w:pPr>
                  <w:r>
                    <w:rPr>
                      <w:rFonts w:hint="eastAsia"/>
                      <w:sz w:val="21"/>
                      <w:szCs w:val="21"/>
                    </w:rPr>
                    <w:t>48</w:t>
                  </w:r>
                </w:p>
              </w:tc>
              <w:tc>
                <w:tcPr>
                  <w:tcW w:w="210" w:type="pct"/>
                  <w:noWrap/>
                  <w:vAlign w:val="center"/>
                </w:tcPr>
                <w:p w14:paraId="4DE936F7">
                  <w:pPr>
                    <w:jc w:val="center"/>
                    <w:rPr>
                      <w:sz w:val="21"/>
                      <w:szCs w:val="21"/>
                    </w:rPr>
                  </w:pPr>
                  <w:r>
                    <w:rPr>
                      <w:rFonts w:hint="eastAsia"/>
                      <w:sz w:val="21"/>
                      <w:szCs w:val="21"/>
                    </w:rPr>
                    <w:t>180</w:t>
                  </w:r>
                </w:p>
              </w:tc>
              <w:tc>
                <w:tcPr>
                  <w:tcW w:w="210" w:type="pct"/>
                  <w:noWrap/>
                  <w:vAlign w:val="center"/>
                </w:tcPr>
                <w:p w14:paraId="0C6AE43A">
                  <w:pPr>
                    <w:spacing w:line="276" w:lineRule="auto"/>
                    <w:jc w:val="center"/>
                    <w:rPr>
                      <w:sz w:val="21"/>
                      <w:szCs w:val="21"/>
                    </w:rPr>
                  </w:pPr>
                  <w:r>
                    <w:rPr>
                      <w:rFonts w:hint="eastAsia"/>
                      <w:sz w:val="21"/>
                      <w:szCs w:val="21"/>
                    </w:rPr>
                    <w:t>53</w:t>
                  </w:r>
                </w:p>
              </w:tc>
              <w:tc>
                <w:tcPr>
                  <w:tcW w:w="210" w:type="pct"/>
                  <w:noWrap/>
                  <w:vAlign w:val="center"/>
                </w:tcPr>
                <w:p w14:paraId="7AAAF1E4">
                  <w:pPr>
                    <w:spacing w:line="276" w:lineRule="auto"/>
                    <w:jc w:val="center"/>
                    <w:rPr>
                      <w:sz w:val="21"/>
                      <w:szCs w:val="21"/>
                    </w:rPr>
                  </w:pPr>
                  <w:r>
                    <w:rPr>
                      <w:rFonts w:hint="eastAsia"/>
                      <w:sz w:val="21"/>
                      <w:szCs w:val="21"/>
                    </w:rPr>
                    <w:t>50</w:t>
                  </w:r>
                </w:p>
              </w:tc>
              <w:tc>
                <w:tcPr>
                  <w:tcW w:w="210" w:type="pct"/>
                  <w:noWrap/>
                  <w:vAlign w:val="center"/>
                </w:tcPr>
                <w:p w14:paraId="41DA8995">
                  <w:pPr>
                    <w:spacing w:line="276" w:lineRule="auto"/>
                    <w:jc w:val="center"/>
                    <w:rPr>
                      <w:sz w:val="21"/>
                      <w:szCs w:val="21"/>
                    </w:rPr>
                  </w:pPr>
                  <w:r>
                    <w:rPr>
                      <w:rFonts w:hint="eastAsia"/>
                      <w:sz w:val="21"/>
                      <w:szCs w:val="21"/>
                    </w:rPr>
                    <w:t>41</w:t>
                  </w:r>
                </w:p>
              </w:tc>
              <w:tc>
                <w:tcPr>
                  <w:tcW w:w="213" w:type="pct"/>
                  <w:noWrap/>
                  <w:vAlign w:val="center"/>
                </w:tcPr>
                <w:p w14:paraId="29641B9D">
                  <w:pPr>
                    <w:spacing w:line="276" w:lineRule="auto"/>
                    <w:jc w:val="center"/>
                    <w:rPr>
                      <w:sz w:val="21"/>
                      <w:szCs w:val="21"/>
                    </w:rPr>
                  </w:pPr>
                  <w:r>
                    <w:rPr>
                      <w:rFonts w:hint="eastAsia"/>
                      <w:sz w:val="21"/>
                      <w:szCs w:val="21"/>
                    </w:rPr>
                    <w:t>30</w:t>
                  </w:r>
                </w:p>
              </w:tc>
              <w:tc>
                <w:tcPr>
                  <w:tcW w:w="209" w:type="pct"/>
                  <w:vMerge w:val="continue"/>
                  <w:noWrap/>
                  <w:vAlign w:val="center"/>
                </w:tcPr>
                <w:p w14:paraId="2212A0F4">
                  <w:pPr>
                    <w:spacing w:line="276" w:lineRule="auto"/>
                    <w:jc w:val="center"/>
                    <w:rPr>
                      <w:sz w:val="21"/>
                      <w:szCs w:val="21"/>
                    </w:rPr>
                  </w:pPr>
                </w:p>
              </w:tc>
              <w:tc>
                <w:tcPr>
                  <w:tcW w:w="280" w:type="pct"/>
                  <w:noWrap/>
                  <w:vAlign w:val="center"/>
                </w:tcPr>
                <w:p w14:paraId="337F6C45">
                  <w:pPr>
                    <w:spacing w:line="276" w:lineRule="auto"/>
                    <w:jc w:val="center"/>
                    <w:rPr>
                      <w:sz w:val="21"/>
                      <w:szCs w:val="21"/>
                    </w:rPr>
                  </w:pPr>
                  <w:r>
                    <w:rPr>
                      <w:rFonts w:hint="eastAsia"/>
                      <w:sz w:val="21"/>
                      <w:szCs w:val="21"/>
                    </w:rPr>
                    <w:t>15</w:t>
                  </w:r>
                </w:p>
              </w:tc>
              <w:tc>
                <w:tcPr>
                  <w:tcW w:w="178" w:type="pct"/>
                  <w:noWrap/>
                  <w:vAlign w:val="center"/>
                </w:tcPr>
                <w:p w14:paraId="7FEC523D">
                  <w:pPr>
                    <w:spacing w:line="276" w:lineRule="auto"/>
                    <w:jc w:val="center"/>
                    <w:rPr>
                      <w:sz w:val="21"/>
                      <w:szCs w:val="21"/>
                    </w:rPr>
                  </w:pPr>
                  <w:r>
                    <w:rPr>
                      <w:rFonts w:hint="eastAsia"/>
                      <w:sz w:val="21"/>
                      <w:szCs w:val="21"/>
                    </w:rPr>
                    <w:t>38</w:t>
                  </w:r>
                </w:p>
              </w:tc>
              <w:tc>
                <w:tcPr>
                  <w:tcW w:w="178" w:type="pct"/>
                  <w:noWrap/>
                  <w:vAlign w:val="center"/>
                </w:tcPr>
                <w:p w14:paraId="37339222">
                  <w:pPr>
                    <w:spacing w:line="276" w:lineRule="auto"/>
                    <w:jc w:val="center"/>
                    <w:rPr>
                      <w:sz w:val="21"/>
                      <w:szCs w:val="21"/>
                    </w:rPr>
                  </w:pPr>
                  <w:r>
                    <w:rPr>
                      <w:rFonts w:hint="eastAsia"/>
                      <w:sz w:val="21"/>
                      <w:szCs w:val="21"/>
                    </w:rPr>
                    <w:t>35</w:t>
                  </w:r>
                </w:p>
              </w:tc>
              <w:tc>
                <w:tcPr>
                  <w:tcW w:w="178" w:type="pct"/>
                  <w:noWrap/>
                  <w:vAlign w:val="center"/>
                </w:tcPr>
                <w:p w14:paraId="30F63E0F">
                  <w:pPr>
                    <w:spacing w:line="276" w:lineRule="auto"/>
                    <w:jc w:val="center"/>
                    <w:rPr>
                      <w:sz w:val="21"/>
                      <w:szCs w:val="21"/>
                    </w:rPr>
                  </w:pPr>
                  <w:r>
                    <w:rPr>
                      <w:rFonts w:hint="eastAsia"/>
                      <w:sz w:val="21"/>
                      <w:szCs w:val="21"/>
                    </w:rPr>
                    <w:t>26</w:t>
                  </w:r>
                </w:p>
              </w:tc>
              <w:tc>
                <w:tcPr>
                  <w:tcW w:w="178" w:type="pct"/>
                  <w:noWrap/>
                  <w:vAlign w:val="center"/>
                </w:tcPr>
                <w:p w14:paraId="4BC1490C">
                  <w:pPr>
                    <w:spacing w:line="276" w:lineRule="auto"/>
                    <w:jc w:val="center"/>
                    <w:rPr>
                      <w:sz w:val="21"/>
                      <w:szCs w:val="21"/>
                    </w:rPr>
                  </w:pPr>
                  <w:r>
                    <w:rPr>
                      <w:rFonts w:hint="eastAsia"/>
                      <w:sz w:val="21"/>
                      <w:szCs w:val="21"/>
                    </w:rPr>
                    <w:t>15</w:t>
                  </w:r>
                </w:p>
              </w:tc>
              <w:tc>
                <w:tcPr>
                  <w:tcW w:w="232" w:type="pct"/>
                  <w:noWrap/>
                  <w:vAlign w:val="center"/>
                </w:tcPr>
                <w:p w14:paraId="78B56D5A">
                  <w:pPr>
                    <w:spacing w:line="276" w:lineRule="auto"/>
                    <w:jc w:val="center"/>
                    <w:rPr>
                      <w:sz w:val="21"/>
                      <w:szCs w:val="21"/>
                    </w:rPr>
                  </w:pPr>
                  <w:r>
                    <w:rPr>
                      <w:rFonts w:hint="eastAsia"/>
                      <w:sz w:val="21"/>
                      <w:szCs w:val="21"/>
                    </w:rPr>
                    <w:t>1</w:t>
                  </w:r>
                  <w:r>
                    <w:rPr>
                      <w:sz w:val="21"/>
                      <w:szCs w:val="21"/>
                    </w:rPr>
                    <w:t>m</w:t>
                  </w:r>
                </w:p>
              </w:tc>
            </w:tr>
            <w:tr w14:paraId="61FA6F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2F77049A">
                  <w:pPr>
                    <w:spacing w:line="276" w:lineRule="auto"/>
                    <w:jc w:val="center"/>
                    <w:rPr>
                      <w:sz w:val="21"/>
                      <w:szCs w:val="21"/>
                    </w:rPr>
                  </w:pPr>
                </w:p>
              </w:tc>
              <w:tc>
                <w:tcPr>
                  <w:tcW w:w="456" w:type="pct"/>
                  <w:noWrap/>
                  <w:vAlign w:val="center"/>
                </w:tcPr>
                <w:p w14:paraId="0AE40BC6">
                  <w:pPr>
                    <w:spacing w:line="276" w:lineRule="auto"/>
                    <w:jc w:val="center"/>
                    <w:rPr>
                      <w:sz w:val="21"/>
                      <w:szCs w:val="21"/>
                    </w:rPr>
                  </w:pPr>
                  <w:r>
                    <w:rPr>
                      <w:rFonts w:hint="eastAsia"/>
                      <w:sz w:val="21"/>
                      <w:szCs w:val="21"/>
                    </w:rPr>
                    <w:t>单柱液压机×8</w:t>
                  </w:r>
                </w:p>
              </w:tc>
              <w:tc>
                <w:tcPr>
                  <w:tcW w:w="327" w:type="pct"/>
                  <w:noWrap/>
                  <w:vAlign w:val="center"/>
                </w:tcPr>
                <w:p w14:paraId="714D5C61">
                  <w:pPr>
                    <w:spacing w:line="276" w:lineRule="auto"/>
                    <w:jc w:val="center"/>
                    <w:rPr>
                      <w:sz w:val="21"/>
                      <w:szCs w:val="21"/>
                    </w:rPr>
                  </w:pPr>
                  <w:r>
                    <w:rPr>
                      <w:rFonts w:hint="eastAsia"/>
                      <w:sz w:val="21"/>
                      <w:szCs w:val="21"/>
                    </w:rPr>
                    <w:t>84（叠加）</w:t>
                  </w:r>
                </w:p>
              </w:tc>
              <w:tc>
                <w:tcPr>
                  <w:tcW w:w="198" w:type="pct"/>
                  <w:vMerge w:val="continue"/>
                  <w:noWrap/>
                  <w:vAlign w:val="center"/>
                </w:tcPr>
                <w:p w14:paraId="37BBAC7A">
                  <w:pPr>
                    <w:spacing w:line="276" w:lineRule="auto"/>
                    <w:jc w:val="center"/>
                    <w:rPr>
                      <w:sz w:val="21"/>
                      <w:szCs w:val="21"/>
                    </w:rPr>
                  </w:pPr>
                </w:p>
              </w:tc>
              <w:tc>
                <w:tcPr>
                  <w:tcW w:w="210" w:type="pct"/>
                  <w:tcBorders>
                    <w:top w:val="single" w:color="auto" w:sz="4" w:space="0"/>
                    <w:bottom w:val="single" w:color="auto" w:sz="4" w:space="0"/>
                  </w:tcBorders>
                  <w:noWrap/>
                  <w:vAlign w:val="center"/>
                </w:tcPr>
                <w:p w14:paraId="714EDB69">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741928F4">
                  <w:pPr>
                    <w:spacing w:line="276" w:lineRule="auto"/>
                    <w:jc w:val="center"/>
                    <w:rPr>
                      <w:sz w:val="21"/>
                      <w:szCs w:val="21"/>
                    </w:rPr>
                  </w:pPr>
                  <w:r>
                    <w:rPr>
                      <w:rFonts w:hint="eastAsia"/>
                      <w:sz w:val="21"/>
                      <w:szCs w:val="21"/>
                    </w:rPr>
                    <w:t>-70</w:t>
                  </w:r>
                </w:p>
              </w:tc>
              <w:tc>
                <w:tcPr>
                  <w:tcW w:w="210" w:type="pct"/>
                  <w:tcBorders>
                    <w:top w:val="single" w:color="auto" w:sz="4" w:space="0"/>
                    <w:bottom w:val="single" w:color="auto" w:sz="4" w:space="0"/>
                  </w:tcBorders>
                  <w:noWrap/>
                  <w:vAlign w:val="center"/>
                </w:tcPr>
                <w:p w14:paraId="066E0056">
                  <w:pPr>
                    <w:spacing w:line="276" w:lineRule="auto"/>
                    <w:jc w:val="center"/>
                    <w:rPr>
                      <w:sz w:val="21"/>
                      <w:szCs w:val="21"/>
                    </w:rPr>
                  </w:pPr>
                  <w:r>
                    <w:rPr>
                      <w:rFonts w:hint="eastAsia"/>
                      <w:sz w:val="21"/>
                      <w:szCs w:val="21"/>
                    </w:rPr>
                    <w:t>1.5</w:t>
                  </w:r>
                </w:p>
              </w:tc>
              <w:tc>
                <w:tcPr>
                  <w:tcW w:w="210" w:type="pct"/>
                  <w:noWrap/>
                  <w:vAlign w:val="center"/>
                </w:tcPr>
                <w:p w14:paraId="4DE11298">
                  <w:pPr>
                    <w:jc w:val="center"/>
                    <w:rPr>
                      <w:sz w:val="21"/>
                      <w:szCs w:val="21"/>
                    </w:rPr>
                  </w:pPr>
                  <w:r>
                    <w:rPr>
                      <w:rFonts w:hint="eastAsia"/>
                      <w:sz w:val="21"/>
                      <w:szCs w:val="21"/>
                    </w:rPr>
                    <w:t>12</w:t>
                  </w:r>
                </w:p>
              </w:tc>
              <w:tc>
                <w:tcPr>
                  <w:tcW w:w="210" w:type="pct"/>
                  <w:noWrap/>
                  <w:vAlign w:val="center"/>
                </w:tcPr>
                <w:p w14:paraId="53DA20F2">
                  <w:pPr>
                    <w:jc w:val="center"/>
                    <w:rPr>
                      <w:sz w:val="21"/>
                      <w:szCs w:val="21"/>
                    </w:rPr>
                  </w:pPr>
                  <w:r>
                    <w:rPr>
                      <w:rFonts w:hint="eastAsia"/>
                      <w:sz w:val="21"/>
                      <w:szCs w:val="21"/>
                    </w:rPr>
                    <w:t>30</w:t>
                  </w:r>
                </w:p>
              </w:tc>
              <w:tc>
                <w:tcPr>
                  <w:tcW w:w="210" w:type="pct"/>
                  <w:noWrap/>
                  <w:vAlign w:val="center"/>
                </w:tcPr>
                <w:p w14:paraId="027F1EA0">
                  <w:pPr>
                    <w:jc w:val="center"/>
                    <w:rPr>
                      <w:sz w:val="21"/>
                      <w:szCs w:val="21"/>
                    </w:rPr>
                  </w:pPr>
                  <w:r>
                    <w:rPr>
                      <w:rFonts w:hint="eastAsia"/>
                      <w:sz w:val="21"/>
                      <w:szCs w:val="21"/>
                    </w:rPr>
                    <w:t>48</w:t>
                  </w:r>
                </w:p>
              </w:tc>
              <w:tc>
                <w:tcPr>
                  <w:tcW w:w="210" w:type="pct"/>
                  <w:noWrap/>
                  <w:vAlign w:val="center"/>
                </w:tcPr>
                <w:p w14:paraId="2C510BE5">
                  <w:pPr>
                    <w:jc w:val="center"/>
                    <w:rPr>
                      <w:sz w:val="21"/>
                      <w:szCs w:val="21"/>
                    </w:rPr>
                  </w:pPr>
                  <w:r>
                    <w:rPr>
                      <w:rFonts w:hint="eastAsia"/>
                      <w:sz w:val="21"/>
                      <w:szCs w:val="21"/>
                    </w:rPr>
                    <w:t>170</w:t>
                  </w:r>
                </w:p>
              </w:tc>
              <w:tc>
                <w:tcPr>
                  <w:tcW w:w="210" w:type="pct"/>
                  <w:noWrap/>
                  <w:vAlign w:val="center"/>
                </w:tcPr>
                <w:p w14:paraId="036D922C">
                  <w:pPr>
                    <w:spacing w:line="276" w:lineRule="auto"/>
                    <w:jc w:val="center"/>
                    <w:rPr>
                      <w:sz w:val="21"/>
                      <w:szCs w:val="21"/>
                    </w:rPr>
                  </w:pPr>
                  <w:r>
                    <w:rPr>
                      <w:rFonts w:hint="eastAsia"/>
                      <w:sz w:val="21"/>
                      <w:szCs w:val="21"/>
                    </w:rPr>
                    <w:t>62</w:t>
                  </w:r>
                </w:p>
              </w:tc>
              <w:tc>
                <w:tcPr>
                  <w:tcW w:w="210" w:type="pct"/>
                  <w:noWrap/>
                  <w:vAlign w:val="center"/>
                </w:tcPr>
                <w:p w14:paraId="3CB606C5">
                  <w:pPr>
                    <w:spacing w:line="276" w:lineRule="auto"/>
                    <w:jc w:val="center"/>
                    <w:rPr>
                      <w:sz w:val="21"/>
                      <w:szCs w:val="21"/>
                    </w:rPr>
                  </w:pPr>
                  <w:r>
                    <w:rPr>
                      <w:rFonts w:hint="eastAsia"/>
                      <w:sz w:val="21"/>
                      <w:szCs w:val="21"/>
                    </w:rPr>
                    <w:t>54</w:t>
                  </w:r>
                </w:p>
              </w:tc>
              <w:tc>
                <w:tcPr>
                  <w:tcW w:w="210" w:type="pct"/>
                  <w:noWrap/>
                  <w:vAlign w:val="center"/>
                </w:tcPr>
                <w:p w14:paraId="333FE5DA">
                  <w:pPr>
                    <w:spacing w:line="276" w:lineRule="auto"/>
                    <w:jc w:val="center"/>
                    <w:rPr>
                      <w:sz w:val="21"/>
                      <w:szCs w:val="21"/>
                    </w:rPr>
                  </w:pPr>
                  <w:r>
                    <w:rPr>
                      <w:rFonts w:hint="eastAsia"/>
                      <w:sz w:val="21"/>
                      <w:szCs w:val="21"/>
                    </w:rPr>
                    <w:t>50</w:t>
                  </w:r>
                </w:p>
              </w:tc>
              <w:tc>
                <w:tcPr>
                  <w:tcW w:w="213" w:type="pct"/>
                  <w:noWrap/>
                  <w:vAlign w:val="center"/>
                </w:tcPr>
                <w:p w14:paraId="71700D17">
                  <w:pPr>
                    <w:spacing w:line="276" w:lineRule="auto"/>
                    <w:jc w:val="center"/>
                    <w:rPr>
                      <w:sz w:val="21"/>
                      <w:szCs w:val="21"/>
                    </w:rPr>
                  </w:pPr>
                  <w:r>
                    <w:rPr>
                      <w:rFonts w:hint="eastAsia"/>
                      <w:sz w:val="21"/>
                      <w:szCs w:val="21"/>
                    </w:rPr>
                    <w:t>39</w:t>
                  </w:r>
                </w:p>
              </w:tc>
              <w:tc>
                <w:tcPr>
                  <w:tcW w:w="209" w:type="pct"/>
                  <w:vMerge w:val="continue"/>
                  <w:noWrap/>
                  <w:vAlign w:val="center"/>
                </w:tcPr>
                <w:p w14:paraId="0EF1DA59">
                  <w:pPr>
                    <w:spacing w:line="276" w:lineRule="auto"/>
                    <w:jc w:val="center"/>
                    <w:rPr>
                      <w:sz w:val="21"/>
                      <w:szCs w:val="21"/>
                    </w:rPr>
                  </w:pPr>
                </w:p>
              </w:tc>
              <w:tc>
                <w:tcPr>
                  <w:tcW w:w="280" w:type="pct"/>
                  <w:noWrap/>
                  <w:vAlign w:val="center"/>
                </w:tcPr>
                <w:p w14:paraId="6936F8EF">
                  <w:pPr>
                    <w:spacing w:line="276" w:lineRule="auto"/>
                    <w:jc w:val="center"/>
                    <w:rPr>
                      <w:sz w:val="21"/>
                      <w:szCs w:val="21"/>
                    </w:rPr>
                  </w:pPr>
                  <w:r>
                    <w:rPr>
                      <w:rFonts w:hint="eastAsia"/>
                      <w:sz w:val="21"/>
                      <w:szCs w:val="21"/>
                    </w:rPr>
                    <w:t>15</w:t>
                  </w:r>
                </w:p>
              </w:tc>
              <w:tc>
                <w:tcPr>
                  <w:tcW w:w="178" w:type="pct"/>
                  <w:noWrap/>
                  <w:vAlign w:val="center"/>
                </w:tcPr>
                <w:p w14:paraId="66C86F73">
                  <w:pPr>
                    <w:spacing w:line="276" w:lineRule="auto"/>
                    <w:jc w:val="center"/>
                    <w:rPr>
                      <w:sz w:val="21"/>
                      <w:szCs w:val="21"/>
                    </w:rPr>
                  </w:pPr>
                  <w:r>
                    <w:rPr>
                      <w:rFonts w:hint="eastAsia"/>
                      <w:sz w:val="21"/>
                      <w:szCs w:val="21"/>
                    </w:rPr>
                    <w:t>47</w:t>
                  </w:r>
                </w:p>
              </w:tc>
              <w:tc>
                <w:tcPr>
                  <w:tcW w:w="178" w:type="pct"/>
                  <w:noWrap/>
                  <w:vAlign w:val="center"/>
                </w:tcPr>
                <w:p w14:paraId="4965812F">
                  <w:pPr>
                    <w:spacing w:line="276" w:lineRule="auto"/>
                    <w:jc w:val="center"/>
                    <w:rPr>
                      <w:sz w:val="21"/>
                      <w:szCs w:val="21"/>
                    </w:rPr>
                  </w:pPr>
                  <w:r>
                    <w:rPr>
                      <w:rFonts w:hint="eastAsia"/>
                      <w:sz w:val="21"/>
                      <w:szCs w:val="21"/>
                    </w:rPr>
                    <w:t>39</w:t>
                  </w:r>
                </w:p>
              </w:tc>
              <w:tc>
                <w:tcPr>
                  <w:tcW w:w="178" w:type="pct"/>
                  <w:noWrap/>
                  <w:vAlign w:val="center"/>
                </w:tcPr>
                <w:p w14:paraId="4B356235">
                  <w:pPr>
                    <w:spacing w:line="276" w:lineRule="auto"/>
                    <w:jc w:val="center"/>
                    <w:rPr>
                      <w:sz w:val="21"/>
                      <w:szCs w:val="21"/>
                    </w:rPr>
                  </w:pPr>
                  <w:r>
                    <w:rPr>
                      <w:rFonts w:hint="eastAsia"/>
                      <w:sz w:val="21"/>
                      <w:szCs w:val="21"/>
                    </w:rPr>
                    <w:t>35</w:t>
                  </w:r>
                </w:p>
              </w:tc>
              <w:tc>
                <w:tcPr>
                  <w:tcW w:w="178" w:type="pct"/>
                  <w:noWrap/>
                  <w:vAlign w:val="center"/>
                </w:tcPr>
                <w:p w14:paraId="1AF2E53F">
                  <w:pPr>
                    <w:spacing w:line="276" w:lineRule="auto"/>
                    <w:jc w:val="center"/>
                    <w:rPr>
                      <w:sz w:val="21"/>
                      <w:szCs w:val="21"/>
                    </w:rPr>
                  </w:pPr>
                  <w:r>
                    <w:rPr>
                      <w:rFonts w:hint="eastAsia"/>
                      <w:sz w:val="21"/>
                      <w:szCs w:val="21"/>
                    </w:rPr>
                    <w:t>24</w:t>
                  </w:r>
                </w:p>
              </w:tc>
              <w:tc>
                <w:tcPr>
                  <w:tcW w:w="232" w:type="pct"/>
                  <w:noWrap/>
                  <w:vAlign w:val="center"/>
                </w:tcPr>
                <w:p w14:paraId="3757BBDB">
                  <w:pPr>
                    <w:spacing w:line="276" w:lineRule="auto"/>
                    <w:jc w:val="center"/>
                    <w:rPr>
                      <w:sz w:val="21"/>
                      <w:szCs w:val="21"/>
                    </w:rPr>
                  </w:pPr>
                  <w:r>
                    <w:rPr>
                      <w:rFonts w:hint="eastAsia"/>
                      <w:sz w:val="21"/>
                      <w:szCs w:val="21"/>
                    </w:rPr>
                    <w:t>1</w:t>
                  </w:r>
                  <w:r>
                    <w:rPr>
                      <w:sz w:val="21"/>
                      <w:szCs w:val="21"/>
                    </w:rPr>
                    <w:t>m</w:t>
                  </w:r>
                </w:p>
              </w:tc>
            </w:tr>
            <w:tr w14:paraId="0E10E4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CF6845A">
                  <w:pPr>
                    <w:spacing w:line="276" w:lineRule="auto"/>
                    <w:jc w:val="center"/>
                    <w:rPr>
                      <w:sz w:val="21"/>
                      <w:szCs w:val="21"/>
                    </w:rPr>
                  </w:pPr>
                </w:p>
              </w:tc>
              <w:tc>
                <w:tcPr>
                  <w:tcW w:w="456" w:type="pct"/>
                  <w:noWrap/>
                  <w:vAlign w:val="center"/>
                </w:tcPr>
                <w:p w14:paraId="2C49DB27">
                  <w:pPr>
                    <w:spacing w:line="276" w:lineRule="auto"/>
                    <w:jc w:val="center"/>
                    <w:rPr>
                      <w:sz w:val="21"/>
                      <w:szCs w:val="21"/>
                    </w:rPr>
                  </w:pPr>
                  <w:r>
                    <w:rPr>
                      <w:rFonts w:hint="eastAsia"/>
                      <w:sz w:val="21"/>
                      <w:szCs w:val="21"/>
                    </w:rPr>
                    <w:t>切管机×2</w:t>
                  </w:r>
                </w:p>
              </w:tc>
              <w:tc>
                <w:tcPr>
                  <w:tcW w:w="327" w:type="pct"/>
                  <w:noWrap/>
                  <w:vAlign w:val="center"/>
                </w:tcPr>
                <w:p w14:paraId="1C414914">
                  <w:pPr>
                    <w:spacing w:line="276" w:lineRule="auto"/>
                    <w:jc w:val="center"/>
                    <w:rPr>
                      <w:sz w:val="21"/>
                      <w:szCs w:val="21"/>
                    </w:rPr>
                  </w:pPr>
                  <w:r>
                    <w:rPr>
                      <w:rFonts w:hint="eastAsia"/>
                      <w:sz w:val="21"/>
                      <w:szCs w:val="21"/>
                    </w:rPr>
                    <w:t>83（叠加）</w:t>
                  </w:r>
                </w:p>
              </w:tc>
              <w:tc>
                <w:tcPr>
                  <w:tcW w:w="198" w:type="pct"/>
                  <w:vMerge w:val="continue"/>
                  <w:noWrap/>
                  <w:vAlign w:val="center"/>
                </w:tcPr>
                <w:p w14:paraId="3EED2648">
                  <w:pPr>
                    <w:spacing w:line="276" w:lineRule="auto"/>
                    <w:jc w:val="center"/>
                    <w:rPr>
                      <w:sz w:val="21"/>
                      <w:szCs w:val="21"/>
                    </w:rPr>
                  </w:pPr>
                </w:p>
              </w:tc>
              <w:tc>
                <w:tcPr>
                  <w:tcW w:w="210" w:type="pct"/>
                  <w:tcBorders>
                    <w:top w:val="single" w:color="auto" w:sz="4" w:space="0"/>
                    <w:bottom w:val="single" w:color="auto" w:sz="4" w:space="0"/>
                  </w:tcBorders>
                  <w:noWrap/>
                  <w:vAlign w:val="center"/>
                </w:tcPr>
                <w:p w14:paraId="04909AB3">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59DFCBC0">
                  <w:pPr>
                    <w:spacing w:line="276" w:lineRule="auto"/>
                    <w:jc w:val="center"/>
                    <w:rPr>
                      <w:sz w:val="21"/>
                      <w:szCs w:val="21"/>
                    </w:rPr>
                  </w:pPr>
                  <w:r>
                    <w:rPr>
                      <w:rFonts w:hint="eastAsia"/>
                      <w:sz w:val="21"/>
                      <w:szCs w:val="21"/>
                    </w:rPr>
                    <w:t>-60</w:t>
                  </w:r>
                </w:p>
              </w:tc>
              <w:tc>
                <w:tcPr>
                  <w:tcW w:w="210" w:type="pct"/>
                  <w:tcBorders>
                    <w:top w:val="single" w:color="auto" w:sz="4" w:space="0"/>
                    <w:bottom w:val="single" w:color="auto" w:sz="4" w:space="0"/>
                  </w:tcBorders>
                  <w:noWrap/>
                  <w:vAlign w:val="center"/>
                </w:tcPr>
                <w:p w14:paraId="3115517E">
                  <w:pPr>
                    <w:spacing w:line="276" w:lineRule="auto"/>
                    <w:jc w:val="center"/>
                    <w:rPr>
                      <w:sz w:val="21"/>
                      <w:szCs w:val="21"/>
                    </w:rPr>
                  </w:pPr>
                  <w:r>
                    <w:rPr>
                      <w:rFonts w:hint="eastAsia"/>
                      <w:sz w:val="21"/>
                      <w:szCs w:val="21"/>
                    </w:rPr>
                    <w:t>1.5</w:t>
                  </w:r>
                </w:p>
              </w:tc>
              <w:tc>
                <w:tcPr>
                  <w:tcW w:w="210" w:type="pct"/>
                  <w:noWrap/>
                  <w:vAlign w:val="center"/>
                </w:tcPr>
                <w:p w14:paraId="59672AAC">
                  <w:pPr>
                    <w:jc w:val="center"/>
                    <w:rPr>
                      <w:sz w:val="21"/>
                      <w:szCs w:val="21"/>
                    </w:rPr>
                  </w:pPr>
                  <w:r>
                    <w:rPr>
                      <w:rFonts w:hint="eastAsia"/>
                      <w:sz w:val="21"/>
                      <w:szCs w:val="21"/>
                    </w:rPr>
                    <w:t>12</w:t>
                  </w:r>
                </w:p>
              </w:tc>
              <w:tc>
                <w:tcPr>
                  <w:tcW w:w="210" w:type="pct"/>
                  <w:noWrap/>
                  <w:vAlign w:val="center"/>
                </w:tcPr>
                <w:p w14:paraId="14D0313F">
                  <w:pPr>
                    <w:jc w:val="center"/>
                    <w:rPr>
                      <w:sz w:val="21"/>
                      <w:szCs w:val="21"/>
                    </w:rPr>
                  </w:pPr>
                  <w:r>
                    <w:rPr>
                      <w:rFonts w:hint="eastAsia"/>
                      <w:sz w:val="21"/>
                      <w:szCs w:val="21"/>
                    </w:rPr>
                    <w:t>40</w:t>
                  </w:r>
                </w:p>
              </w:tc>
              <w:tc>
                <w:tcPr>
                  <w:tcW w:w="210" w:type="pct"/>
                  <w:noWrap/>
                  <w:vAlign w:val="center"/>
                </w:tcPr>
                <w:p w14:paraId="650A8485">
                  <w:pPr>
                    <w:jc w:val="center"/>
                    <w:rPr>
                      <w:sz w:val="21"/>
                      <w:szCs w:val="21"/>
                    </w:rPr>
                  </w:pPr>
                  <w:r>
                    <w:rPr>
                      <w:rFonts w:hint="eastAsia"/>
                      <w:sz w:val="21"/>
                      <w:szCs w:val="21"/>
                    </w:rPr>
                    <w:t>48</w:t>
                  </w:r>
                </w:p>
              </w:tc>
              <w:tc>
                <w:tcPr>
                  <w:tcW w:w="210" w:type="pct"/>
                  <w:noWrap/>
                  <w:vAlign w:val="center"/>
                </w:tcPr>
                <w:p w14:paraId="49EB4298">
                  <w:pPr>
                    <w:jc w:val="center"/>
                    <w:rPr>
                      <w:sz w:val="21"/>
                      <w:szCs w:val="21"/>
                    </w:rPr>
                  </w:pPr>
                  <w:r>
                    <w:rPr>
                      <w:rFonts w:hint="eastAsia"/>
                      <w:sz w:val="21"/>
                      <w:szCs w:val="21"/>
                    </w:rPr>
                    <w:t>160</w:t>
                  </w:r>
                </w:p>
              </w:tc>
              <w:tc>
                <w:tcPr>
                  <w:tcW w:w="210" w:type="pct"/>
                  <w:noWrap/>
                  <w:vAlign w:val="center"/>
                </w:tcPr>
                <w:p w14:paraId="7110EF62">
                  <w:pPr>
                    <w:spacing w:line="276" w:lineRule="auto"/>
                    <w:jc w:val="center"/>
                    <w:rPr>
                      <w:sz w:val="21"/>
                      <w:szCs w:val="21"/>
                    </w:rPr>
                  </w:pPr>
                  <w:r>
                    <w:rPr>
                      <w:rFonts w:hint="eastAsia"/>
                      <w:sz w:val="21"/>
                      <w:szCs w:val="21"/>
                    </w:rPr>
                    <w:t>61</w:t>
                  </w:r>
                </w:p>
              </w:tc>
              <w:tc>
                <w:tcPr>
                  <w:tcW w:w="210" w:type="pct"/>
                  <w:noWrap/>
                  <w:vAlign w:val="center"/>
                </w:tcPr>
                <w:p w14:paraId="4100B904">
                  <w:pPr>
                    <w:spacing w:line="276" w:lineRule="auto"/>
                    <w:jc w:val="center"/>
                    <w:rPr>
                      <w:sz w:val="21"/>
                      <w:szCs w:val="21"/>
                    </w:rPr>
                  </w:pPr>
                  <w:r>
                    <w:rPr>
                      <w:rFonts w:hint="eastAsia"/>
                      <w:sz w:val="21"/>
                      <w:szCs w:val="21"/>
                    </w:rPr>
                    <w:t>51</w:t>
                  </w:r>
                </w:p>
              </w:tc>
              <w:tc>
                <w:tcPr>
                  <w:tcW w:w="210" w:type="pct"/>
                  <w:noWrap/>
                  <w:vAlign w:val="center"/>
                </w:tcPr>
                <w:p w14:paraId="2149808D">
                  <w:pPr>
                    <w:spacing w:line="276" w:lineRule="auto"/>
                    <w:jc w:val="center"/>
                    <w:rPr>
                      <w:sz w:val="21"/>
                      <w:szCs w:val="21"/>
                    </w:rPr>
                  </w:pPr>
                  <w:r>
                    <w:rPr>
                      <w:rFonts w:hint="eastAsia"/>
                      <w:sz w:val="21"/>
                      <w:szCs w:val="21"/>
                    </w:rPr>
                    <w:t>49</w:t>
                  </w:r>
                </w:p>
              </w:tc>
              <w:tc>
                <w:tcPr>
                  <w:tcW w:w="213" w:type="pct"/>
                  <w:noWrap/>
                  <w:vAlign w:val="center"/>
                </w:tcPr>
                <w:p w14:paraId="5B8ED6E9">
                  <w:pPr>
                    <w:spacing w:line="276" w:lineRule="auto"/>
                    <w:jc w:val="center"/>
                    <w:rPr>
                      <w:sz w:val="21"/>
                      <w:szCs w:val="21"/>
                    </w:rPr>
                  </w:pPr>
                  <w:r>
                    <w:rPr>
                      <w:rFonts w:hint="eastAsia"/>
                      <w:sz w:val="21"/>
                      <w:szCs w:val="21"/>
                    </w:rPr>
                    <w:t>39</w:t>
                  </w:r>
                </w:p>
              </w:tc>
              <w:tc>
                <w:tcPr>
                  <w:tcW w:w="209" w:type="pct"/>
                  <w:vMerge w:val="continue"/>
                  <w:noWrap/>
                  <w:vAlign w:val="center"/>
                </w:tcPr>
                <w:p w14:paraId="68825C19">
                  <w:pPr>
                    <w:spacing w:line="276" w:lineRule="auto"/>
                    <w:jc w:val="center"/>
                    <w:rPr>
                      <w:sz w:val="21"/>
                      <w:szCs w:val="21"/>
                    </w:rPr>
                  </w:pPr>
                </w:p>
              </w:tc>
              <w:tc>
                <w:tcPr>
                  <w:tcW w:w="280" w:type="pct"/>
                  <w:noWrap/>
                  <w:vAlign w:val="center"/>
                </w:tcPr>
                <w:p w14:paraId="257A2BDD">
                  <w:pPr>
                    <w:spacing w:line="276" w:lineRule="auto"/>
                    <w:jc w:val="center"/>
                    <w:rPr>
                      <w:sz w:val="21"/>
                      <w:szCs w:val="21"/>
                    </w:rPr>
                  </w:pPr>
                  <w:r>
                    <w:rPr>
                      <w:rFonts w:hint="eastAsia"/>
                      <w:sz w:val="21"/>
                      <w:szCs w:val="21"/>
                    </w:rPr>
                    <w:t>15</w:t>
                  </w:r>
                </w:p>
              </w:tc>
              <w:tc>
                <w:tcPr>
                  <w:tcW w:w="178" w:type="pct"/>
                  <w:noWrap/>
                  <w:vAlign w:val="center"/>
                </w:tcPr>
                <w:p w14:paraId="148FFF5D">
                  <w:pPr>
                    <w:spacing w:line="276" w:lineRule="auto"/>
                    <w:jc w:val="center"/>
                    <w:rPr>
                      <w:sz w:val="21"/>
                      <w:szCs w:val="21"/>
                    </w:rPr>
                  </w:pPr>
                  <w:r>
                    <w:rPr>
                      <w:rFonts w:hint="eastAsia"/>
                      <w:sz w:val="21"/>
                      <w:szCs w:val="21"/>
                    </w:rPr>
                    <w:t>46</w:t>
                  </w:r>
                </w:p>
              </w:tc>
              <w:tc>
                <w:tcPr>
                  <w:tcW w:w="178" w:type="pct"/>
                  <w:noWrap/>
                  <w:vAlign w:val="center"/>
                </w:tcPr>
                <w:p w14:paraId="42118DEF">
                  <w:pPr>
                    <w:spacing w:line="276" w:lineRule="auto"/>
                    <w:jc w:val="center"/>
                    <w:rPr>
                      <w:sz w:val="21"/>
                      <w:szCs w:val="21"/>
                    </w:rPr>
                  </w:pPr>
                  <w:r>
                    <w:rPr>
                      <w:rFonts w:hint="eastAsia"/>
                      <w:sz w:val="21"/>
                      <w:szCs w:val="21"/>
                    </w:rPr>
                    <w:t>36</w:t>
                  </w:r>
                </w:p>
              </w:tc>
              <w:tc>
                <w:tcPr>
                  <w:tcW w:w="178" w:type="pct"/>
                  <w:noWrap/>
                  <w:vAlign w:val="center"/>
                </w:tcPr>
                <w:p w14:paraId="4AFFA129">
                  <w:pPr>
                    <w:spacing w:line="276" w:lineRule="auto"/>
                    <w:jc w:val="center"/>
                    <w:rPr>
                      <w:sz w:val="21"/>
                      <w:szCs w:val="21"/>
                    </w:rPr>
                  </w:pPr>
                  <w:r>
                    <w:rPr>
                      <w:rFonts w:hint="eastAsia"/>
                      <w:sz w:val="21"/>
                      <w:szCs w:val="21"/>
                    </w:rPr>
                    <w:t>34</w:t>
                  </w:r>
                </w:p>
              </w:tc>
              <w:tc>
                <w:tcPr>
                  <w:tcW w:w="178" w:type="pct"/>
                  <w:noWrap/>
                  <w:vAlign w:val="center"/>
                </w:tcPr>
                <w:p w14:paraId="323308D4">
                  <w:pPr>
                    <w:spacing w:line="276" w:lineRule="auto"/>
                    <w:jc w:val="center"/>
                    <w:rPr>
                      <w:sz w:val="21"/>
                      <w:szCs w:val="21"/>
                    </w:rPr>
                  </w:pPr>
                  <w:r>
                    <w:rPr>
                      <w:rFonts w:hint="eastAsia"/>
                      <w:sz w:val="21"/>
                      <w:szCs w:val="21"/>
                    </w:rPr>
                    <w:t>24</w:t>
                  </w:r>
                </w:p>
              </w:tc>
              <w:tc>
                <w:tcPr>
                  <w:tcW w:w="232" w:type="pct"/>
                  <w:noWrap/>
                  <w:vAlign w:val="center"/>
                </w:tcPr>
                <w:p w14:paraId="68EDF20D">
                  <w:pPr>
                    <w:spacing w:line="276" w:lineRule="auto"/>
                    <w:jc w:val="center"/>
                    <w:rPr>
                      <w:sz w:val="21"/>
                      <w:szCs w:val="21"/>
                    </w:rPr>
                  </w:pPr>
                  <w:r>
                    <w:rPr>
                      <w:rFonts w:hint="eastAsia"/>
                      <w:sz w:val="21"/>
                      <w:szCs w:val="21"/>
                    </w:rPr>
                    <w:t>1</w:t>
                  </w:r>
                  <w:r>
                    <w:rPr>
                      <w:sz w:val="21"/>
                      <w:szCs w:val="21"/>
                    </w:rPr>
                    <w:t>m</w:t>
                  </w:r>
                </w:p>
              </w:tc>
            </w:tr>
            <w:tr w14:paraId="4FC0D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45BC159">
                  <w:pPr>
                    <w:spacing w:line="276" w:lineRule="auto"/>
                    <w:jc w:val="center"/>
                    <w:rPr>
                      <w:sz w:val="21"/>
                      <w:szCs w:val="21"/>
                    </w:rPr>
                  </w:pPr>
                </w:p>
              </w:tc>
              <w:tc>
                <w:tcPr>
                  <w:tcW w:w="456" w:type="pct"/>
                  <w:noWrap/>
                  <w:vAlign w:val="center"/>
                </w:tcPr>
                <w:p w14:paraId="67A9C66B">
                  <w:pPr>
                    <w:spacing w:line="276" w:lineRule="auto"/>
                    <w:jc w:val="center"/>
                    <w:rPr>
                      <w:bCs/>
                      <w:sz w:val="21"/>
                      <w:szCs w:val="21"/>
                    </w:rPr>
                  </w:pPr>
                  <w:r>
                    <w:rPr>
                      <w:rFonts w:hint="eastAsia"/>
                      <w:sz w:val="21"/>
                      <w:szCs w:val="21"/>
                    </w:rPr>
                    <w:t>空压机×3</w:t>
                  </w:r>
                </w:p>
              </w:tc>
              <w:tc>
                <w:tcPr>
                  <w:tcW w:w="327" w:type="pct"/>
                  <w:noWrap/>
                  <w:vAlign w:val="center"/>
                </w:tcPr>
                <w:p w14:paraId="034D41F5">
                  <w:pPr>
                    <w:spacing w:line="276" w:lineRule="auto"/>
                    <w:jc w:val="center"/>
                    <w:rPr>
                      <w:sz w:val="21"/>
                      <w:szCs w:val="21"/>
                    </w:rPr>
                  </w:pPr>
                  <w:r>
                    <w:rPr>
                      <w:rFonts w:hint="eastAsia"/>
                      <w:sz w:val="21"/>
                      <w:szCs w:val="21"/>
                    </w:rPr>
                    <w:t>80（叠加）</w:t>
                  </w:r>
                </w:p>
              </w:tc>
              <w:tc>
                <w:tcPr>
                  <w:tcW w:w="198" w:type="pct"/>
                  <w:vMerge w:val="continue"/>
                  <w:noWrap/>
                  <w:vAlign w:val="center"/>
                </w:tcPr>
                <w:p w14:paraId="6E032A0E">
                  <w:pPr>
                    <w:spacing w:line="276" w:lineRule="auto"/>
                    <w:jc w:val="center"/>
                    <w:rPr>
                      <w:sz w:val="21"/>
                      <w:szCs w:val="21"/>
                    </w:rPr>
                  </w:pPr>
                </w:p>
              </w:tc>
              <w:tc>
                <w:tcPr>
                  <w:tcW w:w="210" w:type="pct"/>
                  <w:tcBorders>
                    <w:top w:val="single" w:color="auto" w:sz="4" w:space="0"/>
                    <w:bottom w:val="single" w:color="auto" w:sz="4" w:space="0"/>
                  </w:tcBorders>
                  <w:noWrap/>
                  <w:vAlign w:val="center"/>
                </w:tcPr>
                <w:p w14:paraId="6FBFB0FC">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724E22E1">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4AB7B6A8">
                  <w:pPr>
                    <w:spacing w:line="276" w:lineRule="auto"/>
                    <w:jc w:val="center"/>
                    <w:rPr>
                      <w:sz w:val="21"/>
                      <w:szCs w:val="21"/>
                    </w:rPr>
                  </w:pPr>
                  <w:r>
                    <w:rPr>
                      <w:rFonts w:hint="eastAsia"/>
                      <w:sz w:val="21"/>
                      <w:szCs w:val="21"/>
                    </w:rPr>
                    <w:t>1.5</w:t>
                  </w:r>
                </w:p>
              </w:tc>
              <w:tc>
                <w:tcPr>
                  <w:tcW w:w="210" w:type="pct"/>
                  <w:noWrap/>
                  <w:vAlign w:val="center"/>
                </w:tcPr>
                <w:p w14:paraId="4A96156F">
                  <w:pPr>
                    <w:jc w:val="center"/>
                    <w:rPr>
                      <w:sz w:val="21"/>
                      <w:szCs w:val="21"/>
                    </w:rPr>
                  </w:pPr>
                  <w:r>
                    <w:rPr>
                      <w:rFonts w:hint="eastAsia"/>
                      <w:sz w:val="21"/>
                      <w:szCs w:val="21"/>
                    </w:rPr>
                    <w:t>12</w:t>
                  </w:r>
                </w:p>
              </w:tc>
              <w:tc>
                <w:tcPr>
                  <w:tcW w:w="210" w:type="pct"/>
                  <w:noWrap/>
                  <w:vAlign w:val="center"/>
                </w:tcPr>
                <w:p w14:paraId="0F093612">
                  <w:pPr>
                    <w:jc w:val="center"/>
                    <w:rPr>
                      <w:sz w:val="21"/>
                      <w:szCs w:val="21"/>
                    </w:rPr>
                  </w:pPr>
                  <w:r>
                    <w:rPr>
                      <w:rFonts w:hint="eastAsia"/>
                      <w:sz w:val="21"/>
                      <w:szCs w:val="21"/>
                    </w:rPr>
                    <w:t>50</w:t>
                  </w:r>
                </w:p>
              </w:tc>
              <w:tc>
                <w:tcPr>
                  <w:tcW w:w="210" w:type="pct"/>
                  <w:noWrap/>
                  <w:vAlign w:val="center"/>
                </w:tcPr>
                <w:p w14:paraId="66B534A0">
                  <w:pPr>
                    <w:jc w:val="center"/>
                    <w:rPr>
                      <w:sz w:val="21"/>
                      <w:szCs w:val="21"/>
                    </w:rPr>
                  </w:pPr>
                  <w:r>
                    <w:rPr>
                      <w:rFonts w:hint="eastAsia"/>
                      <w:sz w:val="21"/>
                      <w:szCs w:val="21"/>
                    </w:rPr>
                    <w:t>48</w:t>
                  </w:r>
                </w:p>
              </w:tc>
              <w:tc>
                <w:tcPr>
                  <w:tcW w:w="210" w:type="pct"/>
                  <w:noWrap/>
                  <w:vAlign w:val="center"/>
                </w:tcPr>
                <w:p w14:paraId="472A7EA9">
                  <w:pPr>
                    <w:jc w:val="center"/>
                    <w:rPr>
                      <w:sz w:val="21"/>
                      <w:szCs w:val="21"/>
                    </w:rPr>
                  </w:pPr>
                  <w:r>
                    <w:rPr>
                      <w:rFonts w:hint="eastAsia"/>
                      <w:sz w:val="21"/>
                      <w:szCs w:val="21"/>
                    </w:rPr>
                    <w:t>150</w:t>
                  </w:r>
                </w:p>
              </w:tc>
              <w:tc>
                <w:tcPr>
                  <w:tcW w:w="210" w:type="pct"/>
                  <w:noWrap/>
                  <w:vAlign w:val="center"/>
                </w:tcPr>
                <w:p w14:paraId="16779DB3">
                  <w:pPr>
                    <w:spacing w:line="276" w:lineRule="auto"/>
                    <w:jc w:val="center"/>
                    <w:rPr>
                      <w:sz w:val="21"/>
                      <w:szCs w:val="21"/>
                    </w:rPr>
                  </w:pPr>
                  <w:r>
                    <w:rPr>
                      <w:rFonts w:hint="eastAsia"/>
                      <w:sz w:val="21"/>
                      <w:szCs w:val="21"/>
                    </w:rPr>
                    <w:t>58</w:t>
                  </w:r>
                </w:p>
              </w:tc>
              <w:tc>
                <w:tcPr>
                  <w:tcW w:w="210" w:type="pct"/>
                  <w:noWrap/>
                  <w:vAlign w:val="center"/>
                </w:tcPr>
                <w:p w14:paraId="34EFE3E3">
                  <w:pPr>
                    <w:spacing w:line="276" w:lineRule="auto"/>
                    <w:jc w:val="center"/>
                    <w:rPr>
                      <w:sz w:val="21"/>
                      <w:szCs w:val="21"/>
                    </w:rPr>
                  </w:pPr>
                  <w:r>
                    <w:rPr>
                      <w:rFonts w:hint="eastAsia"/>
                      <w:sz w:val="21"/>
                      <w:szCs w:val="21"/>
                    </w:rPr>
                    <w:t>46</w:t>
                  </w:r>
                </w:p>
              </w:tc>
              <w:tc>
                <w:tcPr>
                  <w:tcW w:w="210" w:type="pct"/>
                  <w:noWrap/>
                  <w:vAlign w:val="center"/>
                </w:tcPr>
                <w:p w14:paraId="0DDDDDA8">
                  <w:pPr>
                    <w:spacing w:line="276" w:lineRule="auto"/>
                    <w:jc w:val="center"/>
                    <w:rPr>
                      <w:sz w:val="21"/>
                      <w:szCs w:val="21"/>
                    </w:rPr>
                  </w:pPr>
                  <w:r>
                    <w:rPr>
                      <w:rFonts w:hint="eastAsia"/>
                      <w:sz w:val="21"/>
                      <w:szCs w:val="21"/>
                    </w:rPr>
                    <w:t>46</w:t>
                  </w:r>
                </w:p>
              </w:tc>
              <w:tc>
                <w:tcPr>
                  <w:tcW w:w="213" w:type="pct"/>
                  <w:noWrap/>
                  <w:vAlign w:val="center"/>
                </w:tcPr>
                <w:p w14:paraId="094C880E">
                  <w:pPr>
                    <w:spacing w:line="276" w:lineRule="auto"/>
                    <w:jc w:val="center"/>
                    <w:rPr>
                      <w:sz w:val="21"/>
                      <w:szCs w:val="21"/>
                    </w:rPr>
                  </w:pPr>
                  <w:r>
                    <w:rPr>
                      <w:rFonts w:hint="eastAsia"/>
                      <w:sz w:val="21"/>
                      <w:szCs w:val="21"/>
                    </w:rPr>
                    <w:t>36</w:t>
                  </w:r>
                </w:p>
              </w:tc>
              <w:tc>
                <w:tcPr>
                  <w:tcW w:w="209" w:type="pct"/>
                  <w:vMerge w:val="continue"/>
                  <w:noWrap/>
                  <w:vAlign w:val="center"/>
                </w:tcPr>
                <w:p w14:paraId="39D26D21">
                  <w:pPr>
                    <w:spacing w:line="276" w:lineRule="auto"/>
                    <w:jc w:val="center"/>
                    <w:rPr>
                      <w:sz w:val="21"/>
                      <w:szCs w:val="21"/>
                    </w:rPr>
                  </w:pPr>
                </w:p>
              </w:tc>
              <w:tc>
                <w:tcPr>
                  <w:tcW w:w="280" w:type="pct"/>
                  <w:noWrap/>
                  <w:vAlign w:val="center"/>
                </w:tcPr>
                <w:p w14:paraId="7021C58E">
                  <w:pPr>
                    <w:spacing w:line="276" w:lineRule="auto"/>
                    <w:jc w:val="center"/>
                    <w:rPr>
                      <w:sz w:val="21"/>
                      <w:szCs w:val="21"/>
                    </w:rPr>
                  </w:pPr>
                  <w:r>
                    <w:rPr>
                      <w:rFonts w:hint="eastAsia"/>
                      <w:sz w:val="21"/>
                      <w:szCs w:val="21"/>
                    </w:rPr>
                    <w:t>15</w:t>
                  </w:r>
                </w:p>
              </w:tc>
              <w:tc>
                <w:tcPr>
                  <w:tcW w:w="178" w:type="pct"/>
                  <w:noWrap/>
                  <w:vAlign w:val="center"/>
                </w:tcPr>
                <w:p w14:paraId="3CE35DBB">
                  <w:pPr>
                    <w:spacing w:line="276" w:lineRule="auto"/>
                    <w:jc w:val="center"/>
                    <w:rPr>
                      <w:sz w:val="21"/>
                      <w:szCs w:val="21"/>
                    </w:rPr>
                  </w:pPr>
                  <w:r>
                    <w:rPr>
                      <w:rFonts w:hint="eastAsia"/>
                      <w:sz w:val="21"/>
                      <w:szCs w:val="21"/>
                    </w:rPr>
                    <w:t>43</w:t>
                  </w:r>
                </w:p>
              </w:tc>
              <w:tc>
                <w:tcPr>
                  <w:tcW w:w="178" w:type="pct"/>
                  <w:noWrap/>
                  <w:vAlign w:val="center"/>
                </w:tcPr>
                <w:p w14:paraId="7D53A40C">
                  <w:pPr>
                    <w:spacing w:line="276" w:lineRule="auto"/>
                    <w:jc w:val="center"/>
                    <w:rPr>
                      <w:sz w:val="21"/>
                      <w:szCs w:val="21"/>
                    </w:rPr>
                  </w:pPr>
                  <w:r>
                    <w:rPr>
                      <w:rFonts w:hint="eastAsia"/>
                      <w:sz w:val="21"/>
                      <w:szCs w:val="21"/>
                    </w:rPr>
                    <w:t>31</w:t>
                  </w:r>
                </w:p>
              </w:tc>
              <w:tc>
                <w:tcPr>
                  <w:tcW w:w="178" w:type="pct"/>
                  <w:noWrap/>
                  <w:vAlign w:val="center"/>
                </w:tcPr>
                <w:p w14:paraId="1C128954">
                  <w:pPr>
                    <w:spacing w:line="276" w:lineRule="auto"/>
                    <w:jc w:val="center"/>
                    <w:rPr>
                      <w:sz w:val="21"/>
                      <w:szCs w:val="21"/>
                    </w:rPr>
                  </w:pPr>
                  <w:r>
                    <w:rPr>
                      <w:rFonts w:hint="eastAsia"/>
                      <w:sz w:val="21"/>
                      <w:szCs w:val="21"/>
                    </w:rPr>
                    <w:t>31</w:t>
                  </w:r>
                </w:p>
              </w:tc>
              <w:tc>
                <w:tcPr>
                  <w:tcW w:w="178" w:type="pct"/>
                  <w:noWrap/>
                  <w:vAlign w:val="center"/>
                </w:tcPr>
                <w:p w14:paraId="166C1D7A">
                  <w:pPr>
                    <w:spacing w:line="276" w:lineRule="auto"/>
                    <w:jc w:val="center"/>
                    <w:rPr>
                      <w:sz w:val="21"/>
                      <w:szCs w:val="21"/>
                    </w:rPr>
                  </w:pPr>
                  <w:r>
                    <w:rPr>
                      <w:rFonts w:hint="eastAsia"/>
                      <w:sz w:val="21"/>
                      <w:szCs w:val="21"/>
                    </w:rPr>
                    <w:t>21</w:t>
                  </w:r>
                </w:p>
              </w:tc>
              <w:tc>
                <w:tcPr>
                  <w:tcW w:w="232" w:type="pct"/>
                  <w:noWrap/>
                  <w:vAlign w:val="center"/>
                </w:tcPr>
                <w:p w14:paraId="5CAFFCDB">
                  <w:pPr>
                    <w:spacing w:line="276" w:lineRule="auto"/>
                    <w:jc w:val="center"/>
                    <w:rPr>
                      <w:sz w:val="21"/>
                      <w:szCs w:val="21"/>
                    </w:rPr>
                  </w:pPr>
                  <w:r>
                    <w:rPr>
                      <w:rFonts w:hint="eastAsia"/>
                      <w:sz w:val="21"/>
                      <w:szCs w:val="21"/>
                    </w:rPr>
                    <w:t>1</w:t>
                  </w:r>
                  <w:r>
                    <w:rPr>
                      <w:sz w:val="21"/>
                      <w:szCs w:val="21"/>
                    </w:rPr>
                    <w:t>m</w:t>
                  </w:r>
                </w:p>
              </w:tc>
            </w:tr>
            <w:tr w14:paraId="658E98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78FA8A28">
                  <w:pPr>
                    <w:spacing w:line="276" w:lineRule="auto"/>
                    <w:jc w:val="center"/>
                    <w:rPr>
                      <w:sz w:val="21"/>
                      <w:szCs w:val="21"/>
                    </w:rPr>
                  </w:pPr>
                  <w:r>
                    <w:rPr>
                      <w:rFonts w:hint="eastAsia"/>
                      <w:sz w:val="21"/>
                      <w:szCs w:val="21"/>
                    </w:rPr>
                    <w:t>切割区</w:t>
                  </w:r>
                </w:p>
              </w:tc>
              <w:tc>
                <w:tcPr>
                  <w:tcW w:w="456" w:type="pct"/>
                  <w:noWrap/>
                  <w:vAlign w:val="center"/>
                </w:tcPr>
                <w:p w14:paraId="51591CA6">
                  <w:pPr>
                    <w:spacing w:line="276" w:lineRule="auto"/>
                    <w:jc w:val="center"/>
                    <w:rPr>
                      <w:bCs/>
                      <w:sz w:val="21"/>
                      <w:szCs w:val="21"/>
                    </w:rPr>
                  </w:pPr>
                  <w:r>
                    <w:rPr>
                      <w:rFonts w:hint="eastAsia"/>
                      <w:sz w:val="21"/>
                      <w:szCs w:val="21"/>
                    </w:rPr>
                    <w:t>光纤激光切割机×3</w:t>
                  </w:r>
                </w:p>
              </w:tc>
              <w:tc>
                <w:tcPr>
                  <w:tcW w:w="327" w:type="pct"/>
                  <w:noWrap/>
                  <w:vAlign w:val="center"/>
                </w:tcPr>
                <w:p w14:paraId="513365FC">
                  <w:pPr>
                    <w:spacing w:line="276" w:lineRule="auto"/>
                    <w:jc w:val="center"/>
                    <w:rPr>
                      <w:sz w:val="21"/>
                      <w:szCs w:val="21"/>
                    </w:rPr>
                  </w:pPr>
                  <w:r>
                    <w:rPr>
                      <w:rFonts w:hint="eastAsia"/>
                      <w:sz w:val="21"/>
                      <w:szCs w:val="21"/>
                    </w:rPr>
                    <w:t>85（叠加）</w:t>
                  </w:r>
                </w:p>
              </w:tc>
              <w:tc>
                <w:tcPr>
                  <w:tcW w:w="198" w:type="pct"/>
                  <w:vMerge w:val="continue"/>
                  <w:noWrap/>
                  <w:vAlign w:val="center"/>
                </w:tcPr>
                <w:p w14:paraId="2ED9D46C">
                  <w:pPr>
                    <w:spacing w:line="276" w:lineRule="auto"/>
                    <w:jc w:val="center"/>
                    <w:rPr>
                      <w:sz w:val="21"/>
                      <w:szCs w:val="21"/>
                    </w:rPr>
                  </w:pPr>
                </w:p>
              </w:tc>
              <w:tc>
                <w:tcPr>
                  <w:tcW w:w="210" w:type="pct"/>
                  <w:tcBorders>
                    <w:top w:val="single" w:color="auto" w:sz="4" w:space="0"/>
                    <w:bottom w:val="single" w:color="auto" w:sz="4" w:space="0"/>
                  </w:tcBorders>
                  <w:noWrap/>
                  <w:vAlign w:val="center"/>
                </w:tcPr>
                <w:p w14:paraId="29B868B8">
                  <w:pPr>
                    <w:spacing w:line="276" w:lineRule="auto"/>
                    <w:jc w:val="center"/>
                    <w:rPr>
                      <w:sz w:val="21"/>
                      <w:szCs w:val="21"/>
                    </w:rPr>
                  </w:pPr>
                  <w:r>
                    <w:rPr>
                      <w:rFonts w:hint="eastAsia"/>
                      <w:sz w:val="21"/>
                      <w:szCs w:val="21"/>
                    </w:rPr>
                    <w:t>-12</w:t>
                  </w:r>
                </w:p>
              </w:tc>
              <w:tc>
                <w:tcPr>
                  <w:tcW w:w="210" w:type="pct"/>
                  <w:tcBorders>
                    <w:top w:val="single" w:color="auto" w:sz="4" w:space="0"/>
                    <w:bottom w:val="single" w:color="auto" w:sz="4" w:space="0"/>
                  </w:tcBorders>
                  <w:noWrap/>
                  <w:vAlign w:val="center"/>
                </w:tcPr>
                <w:p w14:paraId="6D2105F7">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6133492E">
                  <w:pPr>
                    <w:spacing w:line="276" w:lineRule="auto"/>
                    <w:jc w:val="center"/>
                    <w:rPr>
                      <w:sz w:val="21"/>
                      <w:szCs w:val="21"/>
                    </w:rPr>
                  </w:pPr>
                  <w:r>
                    <w:rPr>
                      <w:rFonts w:hint="eastAsia"/>
                      <w:sz w:val="21"/>
                      <w:szCs w:val="21"/>
                    </w:rPr>
                    <w:t>1.5</w:t>
                  </w:r>
                </w:p>
              </w:tc>
              <w:tc>
                <w:tcPr>
                  <w:tcW w:w="210" w:type="pct"/>
                  <w:noWrap/>
                  <w:vAlign w:val="center"/>
                </w:tcPr>
                <w:p w14:paraId="648F6A01">
                  <w:pPr>
                    <w:jc w:val="center"/>
                    <w:rPr>
                      <w:sz w:val="21"/>
                      <w:szCs w:val="21"/>
                    </w:rPr>
                  </w:pPr>
                  <w:r>
                    <w:rPr>
                      <w:rFonts w:hint="eastAsia"/>
                      <w:sz w:val="21"/>
                      <w:szCs w:val="21"/>
                    </w:rPr>
                    <w:t>42</w:t>
                  </w:r>
                </w:p>
              </w:tc>
              <w:tc>
                <w:tcPr>
                  <w:tcW w:w="210" w:type="pct"/>
                  <w:noWrap/>
                  <w:vAlign w:val="center"/>
                </w:tcPr>
                <w:p w14:paraId="23BCA1BB">
                  <w:pPr>
                    <w:jc w:val="center"/>
                    <w:rPr>
                      <w:sz w:val="21"/>
                      <w:szCs w:val="21"/>
                    </w:rPr>
                  </w:pPr>
                  <w:r>
                    <w:rPr>
                      <w:rFonts w:hint="eastAsia"/>
                      <w:sz w:val="21"/>
                      <w:szCs w:val="21"/>
                    </w:rPr>
                    <w:t>50</w:t>
                  </w:r>
                </w:p>
              </w:tc>
              <w:tc>
                <w:tcPr>
                  <w:tcW w:w="210" w:type="pct"/>
                  <w:noWrap/>
                  <w:vAlign w:val="center"/>
                </w:tcPr>
                <w:p w14:paraId="0D40FBFE">
                  <w:pPr>
                    <w:jc w:val="center"/>
                    <w:rPr>
                      <w:sz w:val="21"/>
                      <w:szCs w:val="21"/>
                    </w:rPr>
                  </w:pPr>
                  <w:r>
                    <w:rPr>
                      <w:rFonts w:hint="eastAsia"/>
                      <w:sz w:val="21"/>
                      <w:szCs w:val="21"/>
                    </w:rPr>
                    <w:t>18</w:t>
                  </w:r>
                </w:p>
              </w:tc>
              <w:tc>
                <w:tcPr>
                  <w:tcW w:w="210" w:type="pct"/>
                  <w:noWrap/>
                  <w:vAlign w:val="center"/>
                </w:tcPr>
                <w:p w14:paraId="7007A223">
                  <w:pPr>
                    <w:jc w:val="center"/>
                    <w:rPr>
                      <w:sz w:val="21"/>
                      <w:szCs w:val="21"/>
                    </w:rPr>
                  </w:pPr>
                  <w:r>
                    <w:rPr>
                      <w:rFonts w:hint="eastAsia"/>
                      <w:sz w:val="21"/>
                      <w:szCs w:val="21"/>
                    </w:rPr>
                    <w:t>150</w:t>
                  </w:r>
                </w:p>
              </w:tc>
              <w:tc>
                <w:tcPr>
                  <w:tcW w:w="210" w:type="pct"/>
                  <w:noWrap/>
                  <w:vAlign w:val="center"/>
                </w:tcPr>
                <w:p w14:paraId="7312D1B4">
                  <w:pPr>
                    <w:spacing w:line="276" w:lineRule="auto"/>
                    <w:jc w:val="center"/>
                    <w:rPr>
                      <w:sz w:val="21"/>
                      <w:szCs w:val="21"/>
                    </w:rPr>
                  </w:pPr>
                  <w:r>
                    <w:rPr>
                      <w:rFonts w:hint="eastAsia"/>
                      <w:sz w:val="21"/>
                      <w:szCs w:val="21"/>
                    </w:rPr>
                    <w:t>53</w:t>
                  </w:r>
                </w:p>
              </w:tc>
              <w:tc>
                <w:tcPr>
                  <w:tcW w:w="210" w:type="pct"/>
                  <w:noWrap/>
                  <w:vAlign w:val="center"/>
                </w:tcPr>
                <w:p w14:paraId="103B9EE0">
                  <w:pPr>
                    <w:spacing w:line="276" w:lineRule="auto"/>
                    <w:jc w:val="center"/>
                    <w:rPr>
                      <w:sz w:val="21"/>
                      <w:szCs w:val="21"/>
                    </w:rPr>
                  </w:pPr>
                  <w:r>
                    <w:rPr>
                      <w:rFonts w:hint="eastAsia"/>
                      <w:sz w:val="21"/>
                      <w:szCs w:val="21"/>
                    </w:rPr>
                    <w:t>51</w:t>
                  </w:r>
                </w:p>
              </w:tc>
              <w:tc>
                <w:tcPr>
                  <w:tcW w:w="210" w:type="pct"/>
                  <w:noWrap/>
                  <w:vAlign w:val="center"/>
                </w:tcPr>
                <w:p w14:paraId="2E104453">
                  <w:pPr>
                    <w:spacing w:line="276" w:lineRule="auto"/>
                    <w:jc w:val="center"/>
                    <w:rPr>
                      <w:sz w:val="21"/>
                      <w:szCs w:val="21"/>
                    </w:rPr>
                  </w:pPr>
                  <w:r>
                    <w:rPr>
                      <w:rFonts w:hint="eastAsia"/>
                      <w:sz w:val="21"/>
                      <w:szCs w:val="21"/>
                    </w:rPr>
                    <w:t>60</w:t>
                  </w:r>
                </w:p>
              </w:tc>
              <w:tc>
                <w:tcPr>
                  <w:tcW w:w="213" w:type="pct"/>
                  <w:noWrap/>
                  <w:vAlign w:val="center"/>
                </w:tcPr>
                <w:p w14:paraId="6B3C0C52">
                  <w:pPr>
                    <w:spacing w:line="276" w:lineRule="auto"/>
                    <w:jc w:val="center"/>
                    <w:rPr>
                      <w:sz w:val="21"/>
                      <w:szCs w:val="21"/>
                    </w:rPr>
                  </w:pPr>
                  <w:r>
                    <w:rPr>
                      <w:rFonts w:hint="eastAsia"/>
                      <w:sz w:val="21"/>
                      <w:szCs w:val="21"/>
                    </w:rPr>
                    <w:t>41</w:t>
                  </w:r>
                </w:p>
              </w:tc>
              <w:tc>
                <w:tcPr>
                  <w:tcW w:w="209" w:type="pct"/>
                  <w:vMerge w:val="continue"/>
                  <w:noWrap/>
                  <w:vAlign w:val="center"/>
                </w:tcPr>
                <w:p w14:paraId="79293EED">
                  <w:pPr>
                    <w:spacing w:line="276" w:lineRule="auto"/>
                    <w:jc w:val="center"/>
                    <w:rPr>
                      <w:sz w:val="21"/>
                      <w:szCs w:val="21"/>
                    </w:rPr>
                  </w:pPr>
                </w:p>
              </w:tc>
              <w:tc>
                <w:tcPr>
                  <w:tcW w:w="280" w:type="pct"/>
                  <w:noWrap/>
                  <w:vAlign w:val="center"/>
                </w:tcPr>
                <w:p w14:paraId="1FA70E55">
                  <w:pPr>
                    <w:spacing w:line="276" w:lineRule="auto"/>
                    <w:jc w:val="center"/>
                    <w:rPr>
                      <w:sz w:val="21"/>
                      <w:szCs w:val="21"/>
                    </w:rPr>
                  </w:pPr>
                  <w:r>
                    <w:rPr>
                      <w:rFonts w:hint="eastAsia"/>
                      <w:sz w:val="21"/>
                      <w:szCs w:val="21"/>
                    </w:rPr>
                    <w:t>15</w:t>
                  </w:r>
                </w:p>
              </w:tc>
              <w:tc>
                <w:tcPr>
                  <w:tcW w:w="178" w:type="pct"/>
                  <w:noWrap/>
                  <w:vAlign w:val="center"/>
                </w:tcPr>
                <w:p w14:paraId="502FD0C6">
                  <w:pPr>
                    <w:spacing w:line="276" w:lineRule="auto"/>
                    <w:jc w:val="center"/>
                    <w:rPr>
                      <w:sz w:val="21"/>
                      <w:szCs w:val="21"/>
                    </w:rPr>
                  </w:pPr>
                  <w:r>
                    <w:rPr>
                      <w:rFonts w:hint="eastAsia"/>
                      <w:sz w:val="21"/>
                      <w:szCs w:val="21"/>
                    </w:rPr>
                    <w:t>38</w:t>
                  </w:r>
                </w:p>
              </w:tc>
              <w:tc>
                <w:tcPr>
                  <w:tcW w:w="178" w:type="pct"/>
                  <w:noWrap/>
                  <w:vAlign w:val="center"/>
                </w:tcPr>
                <w:p w14:paraId="24A31A06">
                  <w:pPr>
                    <w:spacing w:line="276" w:lineRule="auto"/>
                    <w:jc w:val="center"/>
                    <w:rPr>
                      <w:sz w:val="21"/>
                      <w:szCs w:val="21"/>
                    </w:rPr>
                  </w:pPr>
                  <w:r>
                    <w:rPr>
                      <w:rFonts w:hint="eastAsia"/>
                      <w:sz w:val="21"/>
                      <w:szCs w:val="21"/>
                    </w:rPr>
                    <w:t>36</w:t>
                  </w:r>
                </w:p>
              </w:tc>
              <w:tc>
                <w:tcPr>
                  <w:tcW w:w="178" w:type="pct"/>
                  <w:noWrap/>
                  <w:vAlign w:val="center"/>
                </w:tcPr>
                <w:p w14:paraId="50511BD6">
                  <w:pPr>
                    <w:spacing w:line="276" w:lineRule="auto"/>
                    <w:jc w:val="center"/>
                    <w:rPr>
                      <w:sz w:val="21"/>
                      <w:szCs w:val="21"/>
                    </w:rPr>
                  </w:pPr>
                  <w:r>
                    <w:rPr>
                      <w:rFonts w:hint="eastAsia"/>
                      <w:sz w:val="21"/>
                      <w:szCs w:val="21"/>
                    </w:rPr>
                    <w:t>45</w:t>
                  </w:r>
                </w:p>
              </w:tc>
              <w:tc>
                <w:tcPr>
                  <w:tcW w:w="178" w:type="pct"/>
                  <w:noWrap/>
                  <w:vAlign w:val="center"/>
                </w:tcPr>
                <w:p w14:paraId="7D3FD39F">
                  <w:pPr>
                    <w:spacing w:line="276" w:lineRule="auto"/>
                    <w:jc w:val="center"/>
                    <w:rPr>
                      <w:sz w:val="21"/>
                      <w:szCs w:val="21"/>
                    </w:rPr>
                  </w:pPr>
                  <w:r>
                    <w:rPr>
                      <w:rFonts w:hint="eastAsia"/>
                      <w:sz w:val="21"/>
                      <w:szCs w:val="21"/>
                    </w:rPr>
                    <w:t>26</w:t>
                  </w:r>
                </w:p>
              </w:tc>
              <w:tc>
                <w:tcPr>
                  <w:tcW w:w="232" w:type="pct"/>
                  <w:noWrap/>
                  <w:vAlign w:val="center"/>
                </w:tcPr>
                <w:p w14:paraId="62FC1B3E">
                  <w:pPr>
                    <w:spacing w:line="276" w:lineRule="auto"/>
                    <w:jc w:val="center"/>
                    <w:rPr>
                      <w:sz w:val="21"/>
                      <w:szCs w:val="21"/>
                    </w:rPr>
                  </w:pPr>
                  <w:r>
                    <w:rPr>
                      <w:rFonts w:hint="eastAsia"/>
                      <w:sz w:val="21"/>
                      <w:szCs w:val="21"/>
                    </w:rPr>
                    <w:t>1</w:t>
                  </w:r>
                  <w:r>
                    <w:rPr>
                      <w:sz w:val="21"/>
                      <w:szCs w:val="21"/>
                    </w:rPr>
                    <w:t>m</w:t>
                  </w:r>
                </w:p>
              </w:tc>
            </w:tr>
            <w:tr w14:paraId="608AC5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4E9ABF47">
                  <w:pPr>
                    <w:spacing w:line="276" w:lineRule="auto"/>
                    <w:jc w:val="center"/>
                    <w:rPr>
                      <w:sz w:val="21"/>
                      <w:szCs w:val="21"/>
                    </w:rPr>
                  </w:pPr>
                </w:p>
              </w:tc>
              <w:tc>
                <w:tcPr>
                  <w:tcW w:w="456" w:type="pct"/>
                  <w:noWrap/>
                  <w:vAlign w:val="center"/>
                </w:tcPr>
                <w:p w14:paraId="1018FBA5">
                  <w:pPr>
                    <w:spacing w:line="276" w:lineRule="auto"/>
                    <w:jc w:val="center"/>
                    <w:rPr>
                      <w:bCs/>
                      <w:sz w:val="21"/>
                      <w:szCs w:val="21"/>
                    </w:rPr>
                  </w:pPr>
                  <w:r>
                    <w:rPr>
                      <w:rFonts w:hint="eastAsia"/>
                      <w:sz w:val="21"/>
                      <w:szCs w:val="21"/>
                    </w:rPr>
                    <w:t>裁板机×2</w:t>
                  </w:r>
                </w:p>
              </w:tc>
              <w:tc>
                <w:tcPr>
                  <w:tcW w:w="327" w:type="pct"/>
                  <w:noWrap/>
                  <w:vAlign w:val="center"/>
                </w:tcPr>
                <w:p w14:paraId="3447C397">
                  <w:pPr>
                    <w:spacing w:line="276" w:lineRule="auto"/>
                    <w:jc w:val="center"/>
                    <w:rPr>
                      <w:sz w:val="21"/>
                      <w:szCs w:val="21"/>
                    </w:rPr>
                  </w:pPr>
                  <w:r>
                    <w:rPr>
                      <w:rFonts w:hint="eastAsia"/>
                      <w:sz w:val="21"/>
                      <w:szCs w:val="21"/>
                    </w:rPr>
                    <w:t>83（叠加）</w:t>
                  </w:r>
                </w:p>
              </w:tc>
              <w:tc>
                <w:tcPr>
                  <w:tcW w:w="198" w:type="pct"/>
                  <w:vMerge w:val="continue"/>
                  <w:noWrap/>
                  <w:vAlign w:val="center"/>
                </w:tcPr>
                <w:p w14:paraId="31105803">
                  <w:pPr>
                    <w:spacing w:line="276" w:lineRule="auto"/>
                    <w:jc w:val="center"/>
                    <w:rPr>
                      <w:sz w:val="21"/>
                      <w:szCs w:val="21"/>
                    </w:rPr>
                  </w:pPr>
                </w:p>
              </w:tc>
              <w:tc>
                <w:tcPr>
                  <w:tcW w:w="210" w:type="pct"/>
                  <w:tcBorders>
                    <w:top w:val="single" w:color="auto" w:sz="4" w:space="0"/>
                    <w:bottom w:val="single" w:color="auto" w:sz="4" w:space="0"/>
                  </w:tcBorders>
                  <w:noWrap/>
                  <w:vAlign w:val="center"/>
                </w:tcPr>
                <w:p w14:paraId="69721BDF">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3E3AAA15">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74111860">
                  <w:pPr>
                    <w:spacing w:line="276" w:lineRule="auto"/>
                    <w:jc w:val="center"/>
                    <w:rPr>
                      <w:sz w:val="21"/>
                      <w:szCs w:val="21"/>
                    </w:rPr>
                  </w:pPr>
                  <w:r>
                    <w:rPr>
                      <w:rFonts w:hint="eastAsia"/>
                      <w:sz w:val="21"/>
                      <w:szCs w:val="21"/>
                    </w:rPr>
                    <w:t>1.5</w:t>
                  </w:r>
                </w:p>
              </w:tc>
              <w:tc>
                <w:tcPr>
                  <w:tcW w:w="210" w:type="pct"/>
                  <w:noWrap/>
                  <w:vAlign w:val="center"/>
                </w:tcPr>
                <w:p w14:paraId="33FAEBA6">
                  <w:pPr>
                    <w:jc w:val="center"/>
                    <w:rPr>
                      <w:sz w:val="21"/>
                      <w:szCs w:val="21"/>
                    </w:rPr>
                  </w:pPr>
                  <w:r>
                    <w:rPr>
                      <w:rFonts w:hint="eastAsia"/>
                      <w:sz w:val="21"/>
                      <w:szCs w:val="21"/>
                    </w:rPr>
                    <w:t>48</w:t>
                  </w:r>
                </w:p>
              </w:tc>
              <w:tc>
                <w:tcPr>
                  <w:tcW w:w="210" w:type="pct"/>
                  <w:noWrap/>
                  <w:vAlign w:val="center"/>
                </w:tcPr>
                <w:p w14:paraId="1D577F60">
                  <w:pPr>
                    <w:jc w:val="center"/>
                    <w:rPr>
                      <w:sz w:val="21"/>
                      <w:szCs w:val="21"/>
                    </w:rPr>
                  </w:pPr>
                  <w:r>
                    <w:rPr>
                      <w:rFonts w:hint="eastAsia"/>
                      <w:sz w:val="21"/>
                      <w:szCs w:val="21"/>
                    </w:rPr>
                    <w:t>50</w:t>
                  </w:r>
                </w:p>
              </w:tc>
              <w:tc>
                <w:tcPr>
                  <w:tcW w:w="210" w:type="pct"/>
                  <w:noWrap/>
                  <w:vAlign w:val="center"/>
                </w:tcPr>
                <w:p w14:paraId="3CF0FB9E">
                  <w:pPr>
                    <w:jc w:val="center"/>
                    <w:rPr>
                      <w:sz w:val="21"/>
                      <w:szCs w:val="21"/>
                    </w:rPr>
                  </w:pPr>
                  <w:r>
                    <w:rPr>
                      <w:rFonts w:hint="eastAsia"/>
                      <w:sz w:val="21"/>
                      <w:szCs w:val="21"/>
                    </w:rPr>
                    <w:t>12</w:t>
                  </w:r>
                </w:p>
              </w:tc>
              <w:tc>
                <w:tcPr>
                  <w:tcW w:w="210" w:type="pct"/>
                  <w:noWrap/>
                  <w:vAlign w:val="center"/>
                </w:tcPr>
                <w:p w14:paraId="075DDD4B">
                  <w:pPr>
                    <w:jc w:val="center"/>
                    <w:rPr>
                      <w:sz w:val="21"/>
                      <w:szCs w:val="21"/>
                    </w:rPr>
                  </w:pPr>
                  <w:r>
                    <w:rPr>
                      <w:rFonts w:hint="eastAsia"/>
                      <w:sz w:val="21"/>
                      <w:szCs w:val="21"/>
                    </w:rPr>
                    <w:t>150</w:t>
                  </w:r>
                </w:p>
              </w:tc>
              <w:tc>
                <w:tcPr>
                  <w:tcW w:w="210" w:type="pct"/>
                  <w:noWrap/>
                  <w:vAlign w:val="center"/>
                </w:tcPr>
                <w:p w14:paraId="1695C5CA">
                  <w:pPr>
                    <w:spacing w:line="276" w:lineRule="auto"/>
                    <w:jc w:val="center"/>
                    <w:rPr>
                      <w:sz w:val="21"/>
                      <w:szCs w:val="21"/>
                    </w:rPr>
                  </w:pPr>
                  <w:r>
                    <w:rPr>
                      <w:rFonts w:hint="eastAsia"/>
                      <w:sz w:val="21"/>
                      <w:szCs w:val="21"/>
                    </w:rPr>
                    <w:t>49</w:t>
                  </w:r>
                </w:p>
              </w:tc>
              <w:tc>
                <w:tcPr>
                  <w:tcW w:w="210" w:type="pct"/>
                  <w:noWrap/>
                  <w:vAlign w:val="center"/>
                </w:tcPr>
                <w:p w14:paraId="575DD209">
                  <w:pPr>
                    <w:spacing w:line="276" w:lineRule="auto"/>
                    <w:jc w:val="center"/>
                    <w:rPr>
                      <w:sz w:val="21"/>
                      <w:szCs w:val="21"/>
                    </w:rPr>
                  </w:pPr>
                  <w:r>
                    <w:rPr>
                      <w:rFonts w:hint="eastAsia"/>
                      <w:sz w:val="21"/>
                      <w:szCs w:val="21"/>
                    </w:rPr>
                    <w:t>49</w:t>
                  </w:r>
                </w:p>
              </w:tc>
              <w:tc>
                <w:tcPr>
                  <w:tcW w:w="210" w:type="pct"/>
                  <w:noWrap/>
                  <w:vAlign w:val="center"/>
                </w:tcPr>
                <w:p w14:paraId="53C7C7B8">
                  <w:pPr>
                    <w:spacing w:line="276" w:lineRule="auto"/>
                    <w:jc w:val="center"/>
                    <w:rPr>
                      <w:sz w:val="21"/>
                      <w:szCs w:val="21"/>
                    </w:rPr>
                  </w:pPr>
                  <w:r>
                    <w:rPr>
                      <w:rFonts w:hint="eastAsia"/>
                      <w:sz w:val="21"/>
                      <w:szCs w:val="21"/>
                    </w:rPr>
                    <w:t>61</w:t>
                  </w:r>
                </w:p>
              </w:tc>
              <w:tc>
                <w:tcPr>
                  <w:tcW w:w="213" w:type="pct"/>
                  <w:noWrap/>
                  <w:vAlign w:val="center"/>
                </w:tcPr>
                <w:p w14:paraId="3881CC46">
                  <w:pPr>
                    <w:spacing w:line="276" w:lineRule="auto"/>
                    <w:jc w:val="center"/>
                    <w:rPr>
                      <w:sz w:val="21"/>
                      <w:szCs w:val="21"/>
                    </w:rPr>
                  </w:pPr>
                  <w:r>
                    <w:rPr>
                      <w:rFonts w:hint="eastAsia"/>
                      <w:sz w:val="21"/>
                      <w:szCs w:val="21"/>
                    </w:rPr>
                    <w:t>39</w:t>
                  </w:r>
                </w:p>
              </w:tc>
              <w:tc>
                <w:tcPr>
                  <w:tcW w:w="209" w:type="pct"/>
                  <w:vMerge w:val="continue"/>
                  <w:noWrap/>
                  <w:vAlign w:val="center"/>
                </w:tcPr>
                <w:p w14:paraId="363D2F13">
                  <w:pPr>
                    <w:spacing w:line="276" w:lineRule="auto"/>
                    <w:jc w:val="center"/>
                    <w:rPr>
                      <w:sz w:val="21"/>
                      <w:szCs w:val="21"/>
                    </w:rPr>
                  </w:pPr>
                </w:p>
              </w:tc>
              <w:tc>
                <w:tcPr>
                  <w:tcW w:w="280" w:type="pct"/>
                  <w:noWrap/>
                  <w:vAlign w:val="center"/>
                </w:tcPr>
                <w:p w14:paraId="2B44ECCF">
                  <w:pPr>
                    <w:spacing w:line="276" w:lineRule="auto"/>
                    <w:jc w:val="center"/>
                    <w:rPr>
                      <w:sz w:val="21"/>
                      <w:szCs w:val="21"/>
                    </w:rPr>
                  </w:pPr>
                  <w:r>
                    <w:rPr>
                      <w:rFonts w:hint="eastAsia"/>
                      <w:sz w:val="21"/>
                      <w:szCs w:val="21"/>
                    </w:rPr>
                    <w:t>15</w:t>
                  </w:r>
                </w:p>
              </w:tc>
              <w:tc>
                <w:tcPr>
                  <w:tcW w:w="178" w:type="pct"/>
                  <w:noWrap/>
                  <w:vAlign w:val="center"/>
                </w:tcPr>
                <w:p w14:paraId="2A7A4021">
                  <w:pPr>
                    <w:spacing w:line="276" w:lineRule="auto"/>
                    <w:jc w:val="center"/>
                    <w:rPr>
                      <w:sz w:val="21"/>
                      <w:szCs w:val="21"/>
                    </w:rPr>
                  </w:pPr>
                  <w:r>
                    <w:rPr>
                      <w:rFonts w:hint="eastAsia"/>
                      <w:sz w:val="21"/>
                      <w:szCs w:val="21"/>
                    </w:rPr>
                    <w:t>34</w:t>
                  </w:r>
                </w:p>
              </w:tc>
              <w:tc>
                <w:tcPr>
                  <w:tcW w:w="178" w:type="pct"/>
                  <w:noWrap/>
                  <w:vAlign w:val="center"/>
                </w:tcPr>
                <w:p w14:paraId="12047552">
                  <w:pPr>
                    <w:spacing w:line="276" w:lineRule="auto"/>
                    <w:jc w:val="center"/>
                    <w:rPr>
                      <w:sz w:val="21"/>
                      <w:szCs w:val="21"/>
                    </w:rPr>
                  </w:pPr>
                  <w:r>
                    <w:rPr>
                      <w:rFonts w:hint="eastAsia"/>
                      <w:sz w:val="21"/>
                      <w:szCs w:val="21"/>
                    </w:rPr>
                    <w:t>34</w:t>
                  </w:r>
                </w:p>
              </w:tc>
              <w:tc>
                <w:tcPr>
                  <w:tcW w:w="178" w:type="pct"/>
                  <w:noWrap/>
                  <w:vAlign w:val="center"/>
                </w:tcPr>
                <w:p w14:paraId="48E200E6">
                  <w:pPr>
                    <w:spacing w:line="276" w:lineRule="auto"/>
                    <w:jc w:val="center"/>
                    <w:rPr>
                      <w:sz w:val="21"/>
                      <w:szCs w:val="21"/>
                    </w:rPr>
                  </w:pPr>
                  <w:r>
                    <w:rPr>
                      <w:rFonts w:hint="eastAsia"/>
                      <w:sz w:val="21"/>
                      <w:szCs w:val="21"/>
                    </w:rPr>
                    <w:t>46</w:t>
                  </w:r>
                </w:p>
              </w:tc>
              <w:tc>
                <w:tcPr>
                  <w:tcW w:w="178" w:type="pct"/>
                  <w:noWrap/>
                  <w:vAlign w:val="center"/>
                </w:tcPr>
                <w:p w14:paraId="26D979DD">
                  <w:pPr>
                    <w:spacing w:line="276" w:lineRule="auto"/>
                    <w:jc w:val="center"/>
                    <w:rPr>
                      <w:sz w:val="21"/>
                      <w:szCs w:val="21"/>
                    </w:rPr>
                  </w:pPr>
                  <w:r>
                    <w:rPr>
                      <w:rFonts w:hint="eastAsia"/>
                      <w:sz w:val="21"/>
                      <w:szCs w:val="21"/>
                    </w:rPr>
                    <w:t>24</w:t>
                  </w:r>
                </w:p>
              </w:tc>
              <w:tc>
                <w:tcPr>
                  <w:tcW w:w="232" w:type="pct"/>
                  <w:noWrap/>
                  <w:vAlign w:val="center"/>
                </w:tcPr>
                <w:p w14:paraId="7A9CD571">
                  <w:pPr>
                    <w:spacing w:line="276" w:lineRule="auto"/>
                    <w:jc w:val="center"/>
                    <w:rPr>
                      <w:sz w:val="21"/>
                      <w:szCs w:val="21"/>
                    </w:rPr>
                  </w:pPr>
                  <w:r>
                    <w:rPr>
                      <w:rFonts w:hint="eastAsia"/>
                      <w:sz w:val="21"/>
                      <w:szCs w:val="21"/>
                    </w:rPr>
                    <w:t>1</w:t>
                  </w:r>
                  <w:r>
                    <w:rPr>
                      <w:sz w:val="21"/>
                      <w:szCs w:val="21"/>
                    </w:rPr>
                    <w:t>m</w:t>
                  </w:r>
                </w:p>
              </w:tc>
            </w:tr>
            <w:tr w14:paraId="19F787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1F102922">
                  <w:pPr>
                    <w:spacing w:line="276" w:lineRule="auto"/>
                    <w:jc w:val="center"/>
                    <w:rPr>
                      <w:sz w:val="21"/>
                      <w:szCs w:val="21"/>
                    </w:rPr>
                  </w:pPr>
                </w:p>
              </w:tc>
              <w:tc>
                <w:tcPr>
                  <w:tcW w:w="456" w:type="pct"/>
                  <w:noWrap/>
                  <w:vAlign w:val="center"/>
                </w:tcPr>
                <w:p w14:paraId="29A506EB">
                  <w:pPr>
                    <w:spacing w:line="276" w:lineRule="auto"/>
                    <w:jc w:val="center"/>
                    <w:rPr>
                      <w:sz w:val="21"/>
                      <w:szCs w:val="21"/>
                    </w:rPr>
                  </w:pPr>
                  <w:r>
                    <w:rPr>
                      <w:rFonts w:hint="eastAsia"/>
                      <w:sz w:val="21"/>
                      <w:szCs w:val="21"/>
                    </w:rPr>
                    <w:t>退火机×2</w:t>
                  </w:r>
                </w:p>
              </w:tc>
              <w:tc>
                <w:tcPr>
                  <w:tcW w:w="327" w:type="pct"/>
                  <w:noWrap/>
                  <w:vAlign w:val="center"/>
                </w:tcPr>
                <w:p w14:paraId="563AFFD1">
                  <w:pPr>
                    <w:spacing w:line="276" w:lineRule="auto"/>
                    <w:jc w:val="center"/>
                    <w:rPr>
                      <w:sz w:val="21"/>
                      <w:szCs w:val="21"/>
                    </w:rPr>
                  </w:pPr>
                  <w:r>
                    <w:rPr>
                      <w:rFonts w:hint="eastAsia"/>
                      <w:sz w:val="21"/>
                      <w:szCs w:val="21"/>
                    </w:rPr>
                    <w:t>83（叠加）</w:t>
                  </w:r>
                </w:p>
              </w:tc>
              <w:tc>
                <w:tcPr>
                  <w:tcW w:w="198" w:type="pct"/>
                  <w:vMerge w:val="continue"/>
                  <w:noWrap/>
                  <w:vAlign w:val="center"/>
                </w:tcPr>
                <w:p w14:paraId="65B232CA">
                  <w:pPr>
                    <w:spacing w:line="276" w:lineRule="auto"/>
                    <w:jc w:val="center"/>
                    <w:rPr>
                      <w:sz w:val="21"/>
                      <w:szCs w:val="21"/>
                    </w:rPr>
                  </w:pPr>
                </w:p>
              </w:tc>
              <w:tc>
                <w:tcPr>
                  <w:tcW w:w="210" w:type="pct"/>
                  <w:tcBorders>
                    <w:top w:val="single" w:color="auto" w:sz="4" w:space="0"/>
                    <w:bottom w:val="single" w:color="auto" w:sz="4" w:space="0"/>
                  </w:tcBorders>
                  <w:noWrap/>
                  <w:vAlign w:val="center"/>
                </w:tcPr>
                <w:p w14:paraId="0CD3C6DE">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65361595">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7426CA25">
                  <w:pPr>
                    <w:spacing w:line="276" w:lineRule="auto"/>
                    <w:jc w:val="center"/>
                    <w:rPr>
                      <w:sz w:val="21"/>
                      <w:szCs w:val="21"/>
                    </w:rPr>
                  </w:pPr>
                  <w:r>
                    <w:rPr>
                      <w:rFonts w:hint="eastAsia"/>
                      <w:sz w:val="21"/>
                      <w:szCs w:val="21"/>
                    </w:rPr>
                    <w:t>1.5</w:t>
                  </w:r>
                </w:p>
              </w:tc>
              <w:tc>
                <w:tcPr>
                  <w:tcW w:w="210" w:type="pct"/>
                  <w:noWrap/>
                  <w:vAlign w:val="center"/>
                </w:tcPr>
                <w:p w14:paraId="72E772DD">
                  <w:pPr>
                    <w:jc w:val="center"/>
                    <w:rPr>
                      <w:sz w:val="21"/>
                      <w:szCs w:val="21"/>
                    </w:rPr>
                  </w:pPr>
                  <w:r>
                    <w:rPr>
                      <w:rFonts w:hint="eastAsia"/>
                      <w:sz w:val="21"/>
                      <w:szCs w:val="21"/>
                    </w:rPr>
                    <w:t>48</w:t>
                  </w:r>
                </w:p>
              </w:tc>
              <w:tc>
                <w:tcPr>
                  <w:tcW w:w="210" w:type="pct"/>
                  <w:noWrap/>
                  <w:vAlign w:val="center"/>
                </w:tcPr>
                <w:p w14:paraId="0E75BF0F">
                  <w:pPr>
                    <w:jc w:val="center"/>
                    <w:rPr>
                      <w:sz w:val="21"/>
                      <w:szCs w:val="21"/>
                    </w:rPr>
                  </w:pPr>
                  <w:r>
                    <w:rPr>
                      <w:rFonts w:hint="eastAsia"/>
                      <w:sz w:val="21"/>
                      <w:szCs w:val="21"/>
                    </w:rPr>
                    <w:t>50</w:t>
                  </w:r>
                </w:p>
              </w:tc>
              <w:tc>
                <w:tcPr>
                  <w:tcW w:w="210" w:type="pct"/>
                  <w:noWrap/>
                  <w:vAlign w:val="center"/>
                </w:tcPr>
                <w:p w14:paraId="270A9D01">
                  <w:pPr>
                    <w:jc w:val="center"/>
                    <w:rPr>
                      <w:sz w:val="21"/>
                      <w:szCs w:val="21"/>
                    </w:rPr>
                  </w:pPr>
                  <w:r>
                    <w:rPr>
                      <w:rFonts w:hint="eastAsia"/>
                      <w:sz w:val="21"/>
                      <w:szCs w:val="21"/>
                    </w:rPr>
                    <w:t>12</w:t>
                  </w:r>
                </w:p>
              </w:tc>
              <w:tc>
                <w:tcPr>
                  <w:tcW w:w="210" w:type="pct"/>
                  <w:noWrap/>
                  <w:vAlign w:val="center"/>
                </w:tcPr>
                <w:p w14:paraId="60CB49D4">
                  <w:pPr>
                    <w:jc w:val="center"/>
                    <w:rPr>
                      <w:sz w:val="21"/>
                      <w:szCs w:val="21"/>
                    </w:rPr>
                  </w:pPr>
                  <w:r>
                    <w:rPr>
                      <w:rFonts w:hint="eastAsia"/>
                      <w:sz w:val="21"/>
                      <w:szCs w:val="21"/>
                    </w:rPr>
                    <w:t>150</w:t>
                  </w:r>
                </w:p>
              </w:tc>
              <w:tc>
                <w:tcPr>
                  <w:tcW w:w="210" w:type="pct"/>
                  <w:noWrap/>
                  <w:vAlign w:val="center"/>
                </w:tcPr>
                <w:p w14:paraId="5E786C13">
                  <w:pPr>
                    <w:spacing w:line="276" w:lineRule="auto"/>
                    <w:jc w:val="center"/>
                    <w:rPr>
                      <w:sz w:val="21"/>
                      <w:szCs w:val="21"/>
                    </w:rPr>
                  </w:pPr>
                  <w:r>
                    <w:rPr>
                      <w:rFonts w:hint="eastAsia"/>
                      <w:sz w:val="21"/>
                      <w:szCs w:val="21"/>
                    </w:rPr>
                    <w:t>49</w:t>
                  </w:r>
                </w:p>
              </w:tc>
              <w:tc>
                <w:tcPr>
                  <w:tcW w:w="210" w:type="pct"/>
                  <w:noWrap/>
                  <w:vAlign w:val="center"/>
                </w:tcPr>
                <w:p w14:paraId="100D2F24">
                  <w:pPr>
                    <w:spacing w:line="276" w:lineRule="auto"/>
                    <w:jc w:val="center"/>
                    <w:rPr>
                      <w:sz w:val="21"/>
                      <w:szCs w:val="21"/>
                    </w:rPr>
                  </w:pPr>
                  <w:r>
                    <w:rPr>
                      <w:rFonts w:hint="eastAsia"/>
                      <w:sz w:val="21"/>
                      <w:szCs w:val="21"/>
                    </w:rPr>
                    <w:t>49</w:t>
                  </w:r>
                </w:p>
              </w:tc>
              <w:tc>
                <w:tcPr>
                  <w:tcW w:w="210" w:type="pct"/>
                  <w:noWrap/>
                  <w:vAlign w:val="center"/>
                </w:tcPr>
                <w:p w14:paraId="40174D28">
                  <w:pPr>
                    <w:spacing w:line="276" w:lineRule="auto"/>
                    <w:jc w:val="center"/>
                    <w:rPr>
                      <w:sz w:val="21"/>
                      <w:szCs w:val="21"/>
                    </w:rPr>
                  </w:pPr>
                  <w:r>
                    <w:rPr>
                      <w:rFonts w:hint="eastAsia"/>
                      <w:sz w:val="21"/>
                      <w:szCs w:val="21"/>
                    </w:rPr>
                    <w:t>61</w:t>
                  </w:r>
                </w:p>
              </w:tc>
              <w:tc>
                <w:tcPr>
                  <w:tcW w:w="213" w:type="pct"/>
                  <w:noWrap/>
                  <w:vAlign w:val="center"/>
                </w:tcPr>
                <w:p w14:paraId="240A7992">
                  <w:pPr>
                    <w:spacing w:line="276" w:lineRule="auto"/>
                    <w:jc w:val="center"/>
                    <w:rPr>
                      <w:sz w:val="21"/>
                      <w:szCs w:val="21"/>
                    </w:rPr>
                  </w:pPr>
                  <w:r>
                    <w:rPr>
                      <w:rFonts w:hint="eastAsia"/>
                      <w:sz w:val="21"/>
                      <w:szCs w:val="21"/>
                    </w:rPr>
                    <w:t>39</w:t>
                  </w:r>
                </w:p>
              </w:tc>
              <w:tc>
                <w:tcPr>
                  <w:tcW w:w="209" w:type="pct"/>
                  <w:vMerge w:val="continue"/>
                  <w:noWrap/>
                  <w:vAlign w:val="center"/>
                </w:tcPr>
                <w:p w14:paraId="2B756A4B">
                  <w:pPr>
                    <w:spacing w:line="276" w:lineRule="auto"/>
                    <w:jc w:val="center"/>
                    <w:rPr>
                      <w:sz w:val="21"/>
                      <w:szCs w:val="21"/>
                    </w:rPr>
                  </w:pPr>
                </w:p>
              </w:tc>
              <w:tc>
                <w:tcPr>
                  <w:tcW w:w="280" w:type="pct"/>
                  <w:noWrap/>
                  <w:vAlign w:val="center"/>
                </w:tcPr>
                <w:p w14:paraId="013B73E4">
                  <w:pPr>
                    <w:spacing w:line="276" w:lineRule="auto"/>
                    <w:jc w:val="center"/>
                    <w:rPr>
                      <w:sz w:val="21"/>
                      <w:szCs w:val="21"/>
                    </w:rPr>
                  </w:pPr>
                  <w:r>
                    <w:rPr>
                      <w:rFonts w:hint="eastAsia"/>
                      <w:sz w:val="21"/>
                      <w:szCs w:val="21"/>
                    </w:rPr>
                    <w:t>15</w:t>
                  </w:r>
                </w:p>
              </w:tc>
              <w:tc>
                <w:tcPr>
                  <w:tcW w:w="178" w:type="pct"/>
                  <w:noWrap/>
                  <w:vAlign w:val="center"/>
                </w:tcPr>
                <w:p w14:paraId="79D3ED22">
                  <w:pPr>
                    <w:spacing w:line="276" w:lineRule="auto"/>
                    <w:jc w:val="center"/>
                    <w:rPr>
                      <w:sz w:val="21"/>
                      <w:szCs w:val="21"/>
                    </w:rPr>
                  </w:pPr>
                  <w:r>
                    <w:rPr>
                      <w:rFonts w:hint="eastAsia"/>
                      <w:sz w:val="21"/>
                      <w:szCs w:val="21"/>
                    </w:rPr>
                    <w:t>34</w:t>
                  </w:r>
                </w:p>
              </w:tc>
              <w:tc>
                <w:tcPr>
                  <w:tcW w:w="178" w:type="pct"/>
                  <w:noWrap/>
                  <w:vAlign w:val="center"/>
                </w:tcPr>
                <w:p w14:paraId="4549AB77">
                  <w:pPr>
                    <w:spacing w:line="276" w:lineRule="auto"/>
                    <w:jc w:val="center"/>
                    <w:rPr>
                      <w:sz w:val="21"/>
                      <w:szCs w:val="21"/>
                    </w:rPr>
                  </w:pPr>
                  <w:r>
                    <w:rPr>
                      <w:rFonts w:hint="eastAsia"/>
                      <w:sz w:val="21"/>
                      <w:szCs w:val="21"/>
                    </w:rPr>
                    <w:t>34</w:t>
                  </w:r>
                </w:p>
              </w:tc>
              <w:tc>
                <w:tcPr>
                  <w:tcW w:w="178" w:type="pct"/>
                  <w:noWrap/>
                  <w:vAlign w:val="center"/>
                </w:tcPr>
                <w:p w14:paraId="70686E3F">
                  <w:pPr>
                    <w:spacing w:line="276" w:lineRule="auto"/>
                    <w:jc w:val="center"/>
                    <w:rPr>
                      <w:sz w:val="21"/>
                      <w:szCs w:val="21"/>
                    </w:rPr>
                  </w:pPr>
                  <w:r>
                    <w:rPr>
                      <w:rFonts w:hint="eastAsia"/>
                      <w:sz w:val="21"/>
                      <w:szCs w:val="21"/>
                    </w:rPr>
                    <w:t>46</w:t>
                  </w:r>
                </w:p>
              </w:tc>
              <w:tc>
                <w:tcPr>
                  <w:tcW w:w="178" w:type="pct"/>
                  <w:noWrap/>
                  <w:vAlign w:val="center"/>
                </w:tcPr>
                <w:p w14:paraId="734ABE23">
                  <w:pPr>
                    <w:spacing w:line="276" w:lineRule="auto"/>
                    <w:jc w:val="center"/>
                    <w:rPr>
                      <w:sz w:val="21"/>
                      <w:szCs w:val="21"/>
                    </w:rPr>
                  </w:pPr>
                  <w:r>
                    <w:rPr>
                      <w:rFonts w:hint="eastAsia"/>
                      <w:sz w:val="21"/>
                      <w:szCs w:val="21"/>
                    </w:rPr>
                    <w:t>24</w:t>
                  </w:r>
                </w:p>
              </w:tc>
              <w:tc>
                <w:tcPr>
                  <w:tcW w:w="232" w:type="pct"/>
                  <w:noWrap/>
                  <w:vAlign w:val="center"/>
                </w:tcPr>
                <w:p w14:paraId="296CB3E2">
                  <w:pPr>
                    <w:spacing w:line="276" w:lineRule="auto"/>
                    <w:jc w:val="center"/>
                    <w:rPr>
                      <w:sz w:val="21"/>
                      <w:szCs w:val="21"/>
                    </w:rPr>
                  </w:pPr>
                  <w:r>
                    <w:rPr>
                      <w:rFonts w:hint="eastAsia"/>
                      <w:sz w:val="21"/>
                      <w:szCs w:val="21"/>
                    </w:rPr>
                    <w:t>1</w:t>
                  </w:r>
                  <w:r>
                    <w:rPr>
                      <w:sz w:val="21"/>
                      <w:szCs w:val="21"/>
                    </w:rPr>
                    <w:t>m</w:t>
                  </w:r>
                </w:p>
              </w:tc>
            </w:tr>
            <w:tr w14:paraId="6095B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6C21825A">
                  <w:pPr>
                    <w:spacing w:line="276" w:lineRule="auto"/>
                    <w:jc w:val="center"/>
                    <w:rPr>
                      <w:sz w:val="21"/>
                      <w:szCs w:val="21"/>
                    </w:rPr>
                  </w:pPr>
                  <w:r>
                    <w:rPr>
                      <w:rFonts w:hint="eastAsia"/>
                      <w:sz w:val="21"/>
                      <w:szCs w:val="21"/>
                    </w:rPr>
                    <w:t>焊接区</w:t>
                  </w:r>
                </w:p>
              </w:tc>
              <w:tc>
                <w:tcPr>
                  <w:tcW w:w="456" w:type="pct"/>
                  <w:noWrap/>
                  <w:vAlign w:val="center"/>
                </w:tcPr>
                <w:p w14:paraId="5E25322B">
                  <w:pPr>
                    <w:spacing w:line="276" w:lineRule="auto"/>
                    <w:jc w:val="center"/>
                    <w:rPr>
                      <w:sz w:val="21"/>
                      <w:szCs w:val="21"/>
                    </w:rPr>
                  </w:pPr>
                  <w:r>
                    <w:rPr>
                      <w:rFonts w:hint="eastAsia"/>
                      <w:sz w:val="21"/>
                      <w:szCs w:val="21"/>
                    </w:rPr>
                    <w:t>点焊机×3</w:t>
                  </w:r>
                </w:p>
              </w:tc>
              <w:tc>
                <w:tcPr>
                  <w:tcW w:w="327" w:type="pct"/>
                  <w:noWrap/>
                  <w:vAlign w:val="center"/>
                </w:tcPr>
                <w:p w14:paraId="512985AD">
                  <w:pPr>
                    <w:spacing w:line="276" w:lineRule="auto"/>
                    <w:jc w:val="center"/>
                    <w:rPr>
                      <w:sz w:val="21"/>
                      <w:szCs w:val="21"/>
                    </w:rPr>
                  </w:pPr>
                  <w:r>
                    <w:rPr>
                      <w:rFonts w:hint="eastAsia"/>
                      <w:sz w:val="21"/>
                      <w:szCs w:val="21"/>
                    </w:rPr>
                    <w:t>80（叠加）</w:t>
                  </w:r>
                </w:p>
              </w:tc>
              <w:tc>
                <w:tcPr>
                  <w:tcW w:w="198" w:type="pct"/>
                  <w:vMerge w:val="continue"/>
                  <w:noWrap/>
                  <w:vAlign w:val="center"/>
                </w:tcPr>
                <w:p w14:paraId="64F42BFC">
                  <w:pPr>
                    <w:spacing w:line="276" w:lineRule="auto"/>
                    <w:jc w:val="center"/>
                    <w:rPr>
                      <w:sz w:val="21"/>
                      <w:szCs w:val="21"/>
                    </w:rPr>
                  </w:pPr>
                </w:p>
              </w:tc>
              <w:tc>
                <w:tcPr>
                  <w:tcW w:w="210" w:type="pct"/>
                  <w:tcBorders>
                    <w:top w:val="single" w:color="auto" w:sz="4" w:space="0"/>
                    <w:bottom w:val="single" w:color="auto" w:sz="4" w:space="0"/>
                  </w:tcBorders>
                  <w:noWrap/>
                  <w:vAlign w:val="center"/>
                </w:tcPr>
                <w:p w14:paraId="5AAC0AEC">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4D922D64">
                  <w:pPr>
                    <w:spacing w:line="276" w:lineRule="auto"/>
                    <w:jc w:val="center"/>
                    <w:rPr>
                      <w:sz w:val="21"/>
                      <w:szCs w:val="21"/>
                    </w:rPr>
                  </w:pPr>
                  <w:r>
                    <w:rPr>
                      <w:rFonts w:hint="eastAsia"/>
                      <w:sz w:val="21"/>
                      <w:szCs w:val="21"/>
                    </w:rPr>
                    <w:t>-20</w:t>
                  </w:r>
                </w:p>
              </w:tc>
              <w:tc>
                <w:tcPr>
                  <w:tcW w:w="210" w:type="pct"/>
                  <w:tcBorders>
                    <w:top w:val="single" w:color="auto" w:sz="4" w:space="0"/>
                    <w:bottom w:val="single" w:color="auto" w:sz="4" w:space="0"/>
                  </w:tcBorders>
                  <w:noWrap/>
                  <w:vAlign w:val="center"/>
                </w:tcPr>
                <w:p w14:paraId="48839CBF">
                  <w:pPr>
                    <w:spacing w:line="276" w:lineRule="auto"/>
                    <w:jc w:val="center"/>
                    <w:rPr>
                      <w:sz w:val="21"/>
                      <w:szCs w:val="21"/>
                    </w:rPr>
                  </w:pPr>
                  <w:r>
                    <w:rPr>
                      <w:rFonts w:hint="eastAsia"/>
                      <w:sz w:val="21"/>
                      <w:szCs w:val="21"/>
                    </w:rPr>
                    <w:t>1.5</w:t>
                  </w:r>
                </w:p>
              </w:tc>
              <w:tc>
                <w:tcPr>
                  <w:tcW w:w="210" w:type="pct"/>
                  <w:noWrap/>
                  <w:vAlign w:val="center"/>
                </w:tcPr>
                <w:p w14:paraId="4BF26382">
                  <w:pPr>
                    <w:jc w:val="center"/>
                    <w:rPr>
                      <w:sz w:val="21"/>
                      <w:szCs w:val="21"/>
                    </w:rPr>
                  </w:pPr>
                  <w:r>
                    <w:rPr>
                      <w:rFonts w:hint="eastAsia"/>
                      <w:sz w:val="21"/>
                      <w:szCs w:val="21"/>
                    </w:rPr>
                    <w:t>12</w:t>
                  </w:r>
                </w:p>
              </w:tc>
              <w:tc>
                <w:tcPr>
                  <w:tcW w:w="210" w:type="pct"/>
                  <w:noWrap/>
                  <w:vAlign w:val="center"/>
                </w:tcPr>
                <w:p w14:paraId="2A7AC1E9">
                  <w:pPr>
                    <w:jc w:val="center"/>
                    <w:rPr>
                      <w:sz w:val="21"/>
                      <w:szCs w:val="21"/>
                    </w:rPr>
                  </w:pPr>
                  <w:r>
                    <w:rPr>
                      <w:rFonts w:hint="eastAsia"/>
                      <w:sz w:val="21"/>
                      <w:szCs w:val="21"/>
                    </w:rPr>
                    <w:t>80</w:t>
                  </w:r>
                </w:p>
              </w:tc>
              <w:tc>
                <w:tcPr>
                  <w:tcW w:w="210" w:type="pct"/>
                  <w:noWrap/>
                  <w:vAlign w:val="center"/>
                </w:tcPr>
                <w:p w14:paraId="54D51213">
                  <w:pPr>
                    <w:jc w:val="center"/>
                    <w:rPr>
                      <w:sz w:val="21"/>
                      <w:szCs w:val="21"/>
                    </w:rPr>
                  </w:pPr>
                  <w:r>
                    <w:rPr>
                      <w:rFonts w:hint="eastAsia"/>
                      <w:sz w:val="21"/>
                      <w:szCs w:val="21"/>
                    </w:rPr>
                    <w:t>48</w:t>
                  </w:r>
                </w:p>
              </w:tc>
              <w:tc>
                <w:tcPr>
                  <w:tcW w:w="210" w:type="pct"/>
                  <w:noWrap/>
                  <w:vAlign w:val="center"/>
                </w:tcPr>
                <w:p w14:paraId="34DE09C1">
                  <w:pPr>
                    <w:jc w:val="center"/>
                    <w:rPr>
                      <w:sz w:val="21"/>
                      <w:szCs w:val="21"/>
                    </w:rPr>
                  </w:pPr>
                  <w:r>
                    <w:rPr>
                      <w:rFonts w:hint="eastAsia"/>
                      <w:sz w:val="21"/>
                      <w:szCs w:val="21"/>
                    </w:rPr>
                    <w:t>120</w:t>
                  </w:r>
                </w:p>
              </w:tc>
              <w:tc>
                <w:tcPr>
                  <w:tcW w:w="210" w:type="pct"/>
                  <w:noWrap/>
                  <w:vAlign w:val="center"/>
                </w:tcPr>
                <w:p w14:paraId="34BF1011">
                  <w:pPr>
                    <w:spacing w:line="276" w:lineRule="auto"/>
                    <w:jc w:val="center"/>
                    <w:rPr>
                      <w:sz w:val="21"/>
                      <w:szCs w:val="21"/>
                    </w:rPr>
                  </w:pPr>
                  <w:r>
                    <w:rPr>
                      <w:rFonts w:hint="eastAsia"/>
                      <w:sz w:val="21"/>
                      <w:szCs w:val="21"/>
                    </w:rPr>
                    <w:t>58</w:t>
                  </w:r>
                </w:p>
              </w:tc>
              <w:tc>
                <w:tcPr>
                  <w:tcW w:w="210" w:type="pct"/>
                  <w:noWrap/>
                  <w:vAlign w:val="center"/>
                </w:tcPr>
                <w:p w14:paraId="7FACA6C5">
                  <w:pPr>
                    <w:spacing w:line="276" w:lineRule="auto"/>
                    <w:jc w:val="center"/>
                    <w:rPr>
                      <w:sz w:val="21"/>
                      <w:szCs w:val="21"/>
                    </w:rPr>
                  </w:pPr>
                  <w:r>
                    <w:rPr>
                      <w:rFonts w:hint="eastAsia"/>
                      <w:sz w:val="21"/>
                      <w:szCs w:val="21"/>
                    </w:rPr>
                    <w:t>42</w:t>
                  </w:r>
                </w:p>
              </w:tc>
              <w:tc>
                <w:tcPr>
                  <w:tcW w:w="210" w:type="pct"/>
                  <w:noWrap/>
                  <w:vAlign w:val="center"/>
                </w:tcPr>
                <w:p w14:paraId="48C8E3B2">
                  <w:pPr>
                    <w:spacing w:line="276" w:lineRule="auto"/>
                    <w:jc w:val="center"/>
                    <w:rPr>
                      <w:sz w:val="21"/>
                      <w:szCs w:val="21"/>
                    </w:rPr>
                  </w:pPr>
                  <w:r>
                    <w:rPr>
                      <w:rFonts w:hint="eastAsia"/>
                      <w:sz w:val="21"/>
                      <w:szCs w:val="21"/>
                    </w:rPr>
                    <w:t>46</w:t>
                  </w:r>
                </w:p>
              </w:tc>
              <w:tc>
                <w:tcPr>
                  <w:tcW w:w="213" w:type="pct"/>
                  <w:noWrap/>
                  <w:vAlign w:val="center"/>
                </w:tcPr>
                <w:p w14:paraId="2F52C042">
                  <w:pPr>
                    <w:spacing w:line="276" w:lineRule="auto"/>
                    <w:jc w:val="center"/>
                    <w:rPr>
                      <w:sz w:val="21"/>
                      <w:szCs w:val="21"/>
                    </w:rPr>
                  </w:pPr>
                  <w:r>
                    <w:rPr>
                      <w:rFonts w:hint="eastAsia"/>
                      <w:sz w:val="21"/>
                      <w:szCs w:val="21"/>
                    </w:rPr>
                    <w:t>38</w:t>
                  </w:r>
                </w:p>
              </w:tc>
              <w:tc>
                <w:tcPr>
                  <w:tcW w:w="209" w:type="pct"/>
                  <w:vMerge w:val="continue"/>
                  <w:noWrap/>
                  <w:vAlign w:val="center"/>
                </w:tcPr>
                <w:p w14:paraId="21DA6473">
                  <w:pPr>
                    <w:spacing w:line="276" w:lineRule="auto"/>
                    <w:jc w:val="center"/>
                    <w:rPr>
                      <w:sz w:val="21"/>
                      <w:szCs w:val="21"/>
                    </w:rPr>
                  </w:pPr>
                </w:p>
              </w:tc>
              <w:tc>
                <w:tcPr>
                  <w:tcW w:w="280" w:type="pct"/>
                  <w:noWrap/>
                  <w:vAlign w:val="center"/>
                </w:tcPr>
                <w:p w14:paraId="56D507FB">
                  <w:pPr>
                    <w:spacing w:line="276" w:lineRule="auto"/>
                    <w:jc w:val="center"/>
                    <w:rPr>
                      <w:sz w:val="21"/>
                      <w:szCs w:val="21"/>
                    </w:rPr>
                  </w:pPr>
                  <w:r>
                    <w:rPr>
                      <w:rFonts w:hint="eastAsia"/>
                      <w:sz w:val="21"/>
                      <w:szCs w:val="21"/>
                    </w:rPr>
                    <w:t>15</w:t>
                  </w:r>
                </w:p>
              </w:tc>
              <w:tc>
                <w:tcPr>
                  <w:tcW w:w="178" w:type="pct"/>
                  <w:noWrap/>
                  <w:vAlign w:val="center"/>
                </w:tcPr>
                <w:p w14:paraId="46FA8501">
                  <w:pPr>
                    <w:spacing w:line="276" w:lineRule="auto"/>
                    <w:jc w:val="center"/>
                    <w:rPr>
                      <w:sz w:val="21"/>
                      <w:szCs w:val="21"/>
                    </w:rPr>
                  </w:pPr>
                  <w:r>
                    <w:rPr>
                      <w:rFonts w:hint="eastAsia"/>
                      <w:sz w:val="21"/>
                      <w:szCs w:val="21"/>
                    </w:rPr>
                    <w:t>43</w:t>
                  </w:r>
                </w:p>
              </w:tc>
              <w:tc>
                <w:tcPr>
                  <w:tcW w:w="178" w:type="pct"/>
                  <w:noWrap/>
                  <w:vAlign w:val="center"/>
                </w:tcPr>
                <w:p w14:paraId="018F49BD">
                  <w:pPr>
                    <w:spacing w:line="276" w:lineRule="auto"/>
                    <w:jc w:val="center"/>
                    <w:rPr>
                      <w:sz w:val="21"/>
                      <w:szCs w:val="21"/>
                    </w:rPr>
                  </w:pPr>
                  <w:r>
                    <w:rPr>
                      <w:rFonts w:hint="eastAsia"/>
                      <w:sz w:val="21"/>
                      <w:szCs w:val="21"/>
                    </w:rPr>
                    <w:t>27</w:t>
                  </w:r>
                </w:p>
              </w:tc>
              <w:tc>
                <w:tcPr>
                  <w:tcW w:w="178" w:type="pct"/>
                  <w:noWrap/>
                  <w:vAlign w:val="center"/>
                </w:tcPr>
                <w:p w14:paraId="0DE7012B">
                  <w:pPr>
                    <w:spacing w:line="276" w:lineRule="auto"/>
                    <w:jc w:val="center"/>
                    <w:rPr>
                      <w:sz w:val="21"/>
                      <w:szCs w:val="21"/>
                    </w:rPr>
                  </w:pPr>
                  <w:r>
                    <w:rPr>
                      <w:rFonts w:hint="eastAsia"/>
                      <w:sz w:val="21"/>
                      <w:szCs w:val="21"/>
                    </w:rPr>
                    <w:t>31</w:t>
                  </w:r>
                </w:p>
              </w:tc>
              <w:tc>
                <w:tcPr>
                  <w:tcW w:w="178" w:type="pct"/>
                  <w:noWrap/>
                  <w:vAlign w:val="center"/>
                </w:tcPr>
                <w:p w14:paraId="7DA48C5F">
                  <w:pPr>
                    <w:spacing w:line="276" w:lineRule="auto"/>
                    <w:jc w:val="center"/>
                    <w:rPr>
                      <w:sz w:val="21"/>
                      <w:szCs w:val="21"/>
                    </w:rPr>
                  </w:pPr>
                  <w:r>
                    <w:rPr>
                      <w:rFonts w:hint="eastAsia"/>
                      <w:sz w:val="21"/>
                      <w:szCs w:val="21"/>
                    </w:rPr>
                    <w:t>23</w:t>
                  </w:r>
                </w:p>
              </w:tc>
              <w:tc>
                <w:tcPr>
                  <w:tcW w:w="232" w:type="pct"/>
                  <w:noWrap/>
                  <w:vAlign w:val="center"/>
                </w:tcPr>
                <w:p w14:paraId="4EFCBB9F">
                  <w:pPr>
                    <w:spacing w:line="276" w:lineRule="auto"/>
                    <w:jc w:val="center"/>
                    <w:rPr>
                      <w:sz w:val="21"/>
                      <w:szCs w:val="21"/>
                    </w:rPr>
                  </w:pPr>
                  <w:r>
                    <w:rPr>
                      <w:rFonts w:hint="eastAsia"/>
                      <w:sz w:val="21"/>
                      <w:szCs w:val="21"/>
                    </w:rPr>
                    <w:t>1m</w:t>
                  </w:r>
                </w:p>
              </w:tc>
            </w:tr>
            <w:tr w14:paraId="6FC14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6FCE451F">
                  <w:pPr>
                    <w:spacing w:line="276" w:lineRule="auto"/>
                    <w:jc w:val="center"/>
                    <w:rPr>
                      <w:sz w:val="21"/>
                      <w:szCs w:val="21"/>
                    </w:rPr>
                  </w:pPr>
                </w:p>
              </w:tc>
              <w:tc>
                <w:tcPr>
                  <w:tcW w:w="456" w:type="pct"/>
                  <w:noWrap/>
                  <w:vAlign w:val="center"/>
                </w:tcPr>
                <w:p w14:paraId="381656B3">
                  <w:pPr>
                    <w:spacing w:line="276" w:lineRule="auto"/>
                    <w:jc w:val="center"/>
                    <w:rPr>
                      <w:bCs/>
                      <w:sz w:val="21"/>
                      <w:szCs w:val="21"/>
                    </w:rPr>
                  </w:pPr>
                  <w:r>
                    <w:rPr>
                      <w:rFonts w:hint="eastAsia"/>
                      <w:sz w:val="21"/>
                      <w:szCs w:val="21"/>
                    </w:rPr>
                    <w:t>金清单柱液压机×1</w:t>
                  </w:r>
                </w:p>
              </w:tc>
              <w:tc>
                <w:tcPr>
                  <w:tcW w:w="327" w:type="pct"/>
                  <w:noWrap/>
                  <w:vAlign w:val="center"/>
                </w:tcPr>
                <w:p w14:paraId="32B906E9">
                  <w:pPr>
                    <w:spacing w:line="276" w:lineRule="auto"/>
                    <w:jc w:val="center"/>
                    <w:rPr>
                      <w:sz w:val="21"/>
                      <w:szCs w:val="21"/>
                    </w:rPr>
                  </w:pPr>
                  <w:r>
                    <w:rPr>
                      <w:rFonts w:hint="eastAsia"/>
                      <w:sz w:val="21"/>
                      <w:szCs w:val="21"/>
                    </w:rPr>
                    <w:t>75</w:t>
                  </w:r>
                </w:p>
              </w:tc>
              <w:tc>
                <w:tcPr>
                  <w:tcW w:w="198" w:type="pct"/>
                  <w:vMerge w:val="continue"/>
                  <w:noWrap/>
                  <w:vAlign w:val="center"/>
                </w:tcPr>
                <w:p w14:paraId="0FA97351">
                  <w:pPr>
                    <w:spacing w:line="276" w:lineRule="auto"/>
                    <w:jc w:val="center"/>
                    <w:rPr>
                      <w:sz w:val="21"/>
                      <w:szCs w:val="21"/>
                    </w:rPr>
                  </w:pPr>
                </w:p>
              </w:tc>
              <w:tc>
                <w:tcPr>
                  <w:tcW w:w="210" w:type="pct"/>
                  <w:tcBorders>
                    <w:top w:val="single" w:color="auto" w:sz="4" w:space="0"/>
                    <w:bottom w:val="single" w:color="auto" w:sz="4" w:space="0"/>
                  </w:tcBorders>
                  <w:noWrap/>
                  <w:vAlign w:val="center"/>
                </w:tcPr>
                <w:p w14:paraId="13811BC4">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48C0262B">
                  <w:pPr>
                    <w:spacing w:line="276" w:lineRule="auto"/>
                    <w:jc w:val="center"/>
                    <w:rPr>
                      <w:sz w:val="21"/>
                      <w:szCs w:val="21"/>
                    </w:rPr>
                  </w:pPr>
                  <w:r>
                    <w:rPr>
                      <w:rFonts w:hint="eastAsia"/>
                      <w:sz w:val="21"/>
                      <w:szCs w:val="21"/>
                    </w:rPr>
                    <w:t>20</w:t>
                  </w:r>
                </w:p>
              </w:tc>
              <w:tc>
                <w:tcPr>
                  <w:tcW w:w="210" w:type="pct"/>
                  <w:tcBorders>
                    <w:top w:val="single" w:color="auto" w:sz="4" w:space="0"/>
                    <w:bottom w:val="single" w:color="auto" w:sz="4" w:space="0"/>
                  </w:tcBorders>
                  <w:noWrap/>
                  <w:vAlign w:val="center"/>
                </w:tcPr>
                <w:p w14:paraId="2EA191D2">
                  <w:pPr>
                    <w:spacing w:line="276" w:lineRule="auto"/>
                    <w:jc w:val="center"/>
                    <w:rPr>
                      <w:sz w:val="21"/>
                      <w:szCs w:val="21"/>
                    </w:rPr>
                  </w:pPr>
                  <w:r>
                    <w:rPr>
                      <w:rFonts w:hint="eastAsia"/>
                      <w:sz w:val="21"/>
                      <w:szCs w:val="21"/>
                    </w:rPr>
                    <w:t>1.5</w:t>
                  </w:r>
                </w:p>
              </w:tc>
              <w:tc>
                <w:tcPr>
                  <w:tcW w:w="210" w:type="pct"/>
                  <w:noWrap/>
                  <w:vAlign w:val="center"/>
                </w:tcPr>
                <w:p w14:paraId="0C21D2BD">
                  <w:pPr>
                    <w:jc w:val="center"/>
                    <w:rPr>
                      <w:sz w:val="21"/>
                      <w:szCs w:val="21"/>
                    </w:rPr>
                  </w:pPr>
                  <w:r>
                    <w:rPr>
                      <w:rFonts w:hint="eastAsia"/>
                      <w:sz w:val="21"/>
                      <w:szCs w:val="21"/>
                    </w:rPr>
                    <w:t>12</w:t>
                  </w:r>
                </w:p>
              </w:tc>
              <w:tc>
                <w:tcPr>
                  <w:tcW w:w="210" w:type="pct"/>
                  <w:noWrap/>
                  <w:vAlign w:val="center"/>
                </w:tcPr>
                <w:p w14:paraId="7A8291A9">
                  <w:pPr>
                    <w:jc w:val="center"/>
                    <w:rPr>
                      <w:sz w:val="21"/>
                      <w:szCs w:val="21"/>
                    </w:rPr>
                  </w:pPr>
                  <w:r>
                    <w:rPr>
                      <w:rFonts w:hint="eastAsia"/>
                      <w:sz w:val="21"/>
                      <w:szCs w:val="21"/>
                    </w:rPr>
                    <w:t>120</w:t>
                  </w:r>
                </w:p>
              </w:tc>
              <w:tc>
                <w:tcPr>
                  <w:tcW w:w="210" w:type="pct"/>
                  <w:noWrap/>
                  <w:vAlign w:val="center"/>
                </w:tcPr>
                <w:p w14:paraId="78A29B21">
                  <w:pPr>
                    <w:jc w:val="center"/>
                    <w:rPr>
                      <w:sz w:val="21"/>
                      <w:szCs w:val="21"/>
                    </w:rPr>
                  </w:pPr>
                  <w:r>
                    <w:rPr>
                      <w:rFonts w:hint="eastAsia"/>
                      <w:sz w:val="21"/>
                      <w:szCs w:val="21"/>
                    </w:rPr>
                    <w:t>48</w:t>
                  </w:r>
                </w:p>
              </w:tc>
              <w:tc>
                <w:tcPr>
                  <w:tcW w:w="210" w:type="pct"/>
                  <w:noWrap/>
                  <w:vAlign w:val="center"/>
                </w:tcPr>
                <w:p w14:paraId="5892C39B">
                  <w:pPr>
                    <w:jc w:val="center"/>
                    <w:rPr>
                      <w:sz w:val="21"/>
                      <w:szCs w:val="21"/>
                    </w:rPr>
                  </w:pPr>
                  <w:r>
                    <w:rPr>
                      <w:rFonts w:hint="eastAsia"/>
                      <w:sz w:val="21"/>
                      <w:szCs w:val="21"/>
                    </w:rPr>
                    <w:t>80</w:t>
                  </w:r>
                </w:p>
              </w:tc>
              <w:tc>
                <w:tcPr>
                  <w:tcW w:w="210" w:type="pct"/>
                  <w:noWrap/>
                  <w:vAlign w:val="center"/>
                </w:tcPr>
                <w:p w14:paraId="35E72337">
                  <w:pPr>
                    <w:spacing w:line="276" w:lineRule="auto"/>
                    <w:jc w:val="center"/>
                    <w:rPr>
                      <w:sz w:val="21"/>
                      <w:szCs w:val="21"/>
                    </w:rPr>
                  </w:pPr>
                  <w:r>
                    <w:rPr>
                      <w:rFonts w:hint="eastAsia"/>
                      <w:sz w:val="21"/>
                      <w:szCs w:val="21"/>
                    </w:rPr>
                    <w:t>53</w:t>
                  </w:r>
                </w:p>
              </w:tc>
              <w:tc>
                <w:tcPr>
                  <w:tcW w:w="210" w:type="pct"/>
                  <w:noWrap/>
                  <w:vAlign w:val="center"/>
                </w:tcPr>
                <w:p w14:paraId="415F0A1D">
                  <w:pPr>
                    <w:spacing w:line="276" w:lineRule="auto"/>
                    <w:jc w:val="center"/>
                    <w:rPr>
                      <w:sz w:val="21"/>
                      <w:szCs w:val="21"/>
                    </w:rPr>
                  </w:pPr>
                  <w:r>
                    <w:rPr>
                      <w:rFonts w:hint="eastAsia"/>
                      <w:sz w:val="21"/>
                      <w:szCs w:val="21"/>
                    </w:rPr>
                    <w:t>33</w:t>
                  </w:r>
                </w:p>
              </w:tc>
              <w:tc>
                <w:tcPr>
                  <w:tcW w:w="210" w:type="pct"/>
                  <w:noWrap/>
                  <w:vAlign w:val="center"/>
                </w:tcPr>
                <w:p w14:paraId="506C7B34">
                  <w:pPr>
                    <w:spacing w:line="276" w:lineRule="auto"/>
                    <w:jc w:val="center"/>
                    <w:rPr>
                      <w:sz w:val="21"/>
                      <w:szCs w:val="21"/>
                    </w:rPr>
                  </w:pPr>
                  <w:r>
                    <w:rPr>
                      <w:rFonts w:hint="eastAsia"/>
                      <w:sz w:val="21"/>
                      <w:szCs w:val="21"/>
                    </w:rPr>
                    <w:t>41</w:t>
                  </w:r>
                </w:p>
              </w:tc>
              <w:tc>
                <w:tcPr>
                  <w:tcW w:w="213" w:type="pct"/>
                  <w:noWrap/>
                  <w:vAlign w:val="center"/>
                </w:tcPr>
                <w:p w14:paraId="5BE93DED">
                  <w:pPr>
                    <w:spacing w:line="276" w:lineRule="auto"/>
                    <w:jc w:val="center"/>
                    <w:rPr>
                      <w:sz w:val="21"/>
                      <w:szCs w:val="21"/>
                    </w:rPr>
                  </w:pPr>
                  <w:r>
                    <w:rPr>
                      <w:rFonts w:hint="eastAsia"/>
                      <w:sz w:val="21"/>
                      <w:szCs w:val="21"/>
                    </w:rPr>
                    <w:t>37</w:t>
                  </w:r>
                </w:p>
              </w:tc>
              <w:tc>
                <w:tcPr>
                  <w:tcW w:w="209" w:type="pct"/>
                  <w:vMerge w:val="continue"/>
                  <w:noWrap/>
                  <w:vAlign w:val="center"/>
                </w:tcPr>
                <w:p w14:paraId="69CB4A6E">
                  <w:pPr>
                    <w:spacing w:line="276" w:lineRule="auto"/>
                    <w:jc w:val="center"/>
                    <w:rPr>
                      <w:sz w:val="21"/>
                      <w:szCs w:val="21"/>
                    </w:rPr>
                  </w:pPr>
                </w:p>
              </w:tc>
              <w:tc>
                <w:tcPr>
                  <w:tcW w:w="280" w:type="pct"/>
                  <w:noWrap/>
                  <w:vAlign w:val="center"/>
                </w:tcPr>
                <w:p w14:paraId="48B27834">
                  <w:pPr>
                    <w:spacing w:line="276" w:lineRule="auto"/>
                    <w:jc w:val="center"/>
                    <w:rPr>
                      <w:sz w:val="21"/>
                      <w:szCs w:val="21"/>
                    </w:rPr>
                  </w:pPr>
                  <w:r>
                    <w:rPr>
                      <w:rFonts w:hint="eastAsia"/>
                      <w:sz w:val="21"/>
                      <w:szCs w:val="21"/>
                    </w:rPr>
                    <w:t>15</w:t>
                  </w:r>
                </w:p>
              </w:tc>
              <w:tc>
                <w:tcPr>
                  <w:tcW w:w="178" w:type="pct"/>
                  <w:noWrap/>
                  <w:vAlign w:val="center"/>
                </w:tcPr>
                <w:p w14:paraId="04E209DF">
                  <w:pPr>
                    <w:spacing w:line="276" w:lineRule="auto"/>
                    <w:jc w:val="center"/>
                    <w:rPr>
                      <w:sz w:val="21"/>
                      <w:szCs w:val="21"/>
                    </w:rPr>
                  </w:pPr>
                  <w:r>
                    <w:rPr>
                      <w:rFonts w:hint="eastAsia"/>
                      <w:sz w:val="21"/>
                      <w:szCs w:val="21"/>
                    </w:rPr>
                    <w:t>38</w:t>
                  </w:r>
                </w:p>
              </w:tc>
              <w:tc>
                <w:tcPr>
                  <w:tcW w:w="178" w:type="pct"/>
                  <w:noWrap/>
                  <w:vAlign w:val="center"/>
                </w:tcPr>
                <w:p w14:paraId="43989BCF">
                  <w:pPr>
                    <w:spacing w:line="276" w:lineRule="auto"/>
                    <w:jc w:val="center"/>
                    <w:rPr>
                      <w:sz w:val="21"/>
                      <w:szCs w:val="21"/>
                    </w:rPr>
                  </w:pPr>
                  <w:r>
                    <w:rPr>
                      <w:rFonts w:hint="eastAsia"/>
                      <w:sz w:val="21"/>
                      <w:szCs w:val="21"/>
                    </w:rPr>
                    <w:t>18</w:t>
                  </w:r>
                </w:p>
              </w:tc>
              <w:tc>
                <w:tcPr>
                  <w:tcW w:w="178" w:type="pct"/>
                  <w:noWrap/>
                  <w:vAlign w:val="center"/>
                </w:tcPr>
                <w:p w14:paraId="565B58AB">
                  <w:pPr>
                    <w:spacing w:line="276" w:lineRule="auto"/>
                    <w:jc w:val="center"/>
                    <w:rPr>
                      <w:sz w:val="21"/>
                      <w:szCs w:val="21"/>
                    </w:rPr>
                  </w:pPr>
                  <w:r>
                    <w:rPr>
                      <w:rFonts w:hint="eastAsia"/>
                      <w:sz w:val="21"/>
                      <w:szCs w:val="21"/>
                    </w:rPr>
                    <w:t>26</w:t>
                  </w:r>
                </w:p>
              </w:tc>
              <w:tc>
                <w:tcPr>
                  <w:tcW w:w="178" w:type="pct"/>
                  <w:noWrap/>
                  <w:vAlign w:val="center"/>
                </w:tcPr>
                <w:p w14:paraId="60F7668A">
                  <w:pPr>
                    <w:spacing w:line="276" w:lineRule="auto"/>
                    <w:jc w:val="center"/>
                    <w:rPr>
                      <w:sz w:val="21"/>
                      <w:szCs w:val="21"/>
                    </w:rPr>
                  </w:pPr>
                  <w:r>
                    <w:rPr>
                      <w:rFonts w:hint="eastAsia"/>
                      <w:sz w:val="21"/>
                      <w:szCs w:val="21"/>
                    </w:rPr>
                    <w:t>22</w:t>
                  </w:r>
                </w:p>
              </w:tc>
              <w:tc>
                <w:tcPr>
                  <w:tcW w:w="232" w:type="pct"/>
                  <w:noWrap/>
                  <w:vAlign w:val="center"/>
                </w:tcPr>
                <w:p w14:paraId="54C3F47C">
                  <w:pPr>
                    <w:spacing w:line="276" w:lineRule="auto"/>
                    <w:jc w:val="center"/>
                    <w:rPr>
                      <w:sz w:val="21"/>
                      <w:szCs w:val="21"/>
                    </w:rPr>
                  </w:pPr>
                  <w:r>
                    <w:rPr>
                      <w:rFonts w:hint="eastAsia"/>
                      <w:sz w:val="21"/>
                      <w:szCs w:val="21"/>
                    </w:rPr>
                    <w:t>1</w:t>
                  </w:r>
                  <w:r>
                    <w:rPr>
                      <w:sz w:val="21"/>
                      <w:szCs w:val="21"/>
                    </w:rPr>
                    <w:t>m</w:t>
                  </w:r>
                </w:p>
              </w:tc>
            </w:tr>
            <w:tr w14:paraId="4EFB79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FF80DFD">
                  <w:pPr>
                    <w:spacing w:line="276" w:lineRule="auto"/>
                    <w:jc w:val="center"/>
                    <w:rPr>
                      <w:sz w:val="21"/>
                      <w:szCs w:val="21"/>
                    </w:rPr>
                  </w:pPr>
                </w:p>
              </w:tc>
              <w:tc>
                <w:tcPr>
                  <w:tcW w:w="456" w:type="pct"/>
                  <w:noWrap/>
                  <w:vAlign w:val="center"/>
                </w:tcPr>
                <w:p w14:paraId="5B6F17A2">
                  <w:pPr>
                    <w:spacing w:line="276" w:lineRule="auto"/>
                    <w:jc w:val="center"/>
                    <w:rPr>
                      <w:sz w:val="21"/>
                      <w:szCs w:val="21"/>
                    </w:rPr>
                  </w:pPr>
                  <w:r>
                    <w:rPr>
                      <w:rFonts w:hint="eastAsia"/>
                      <w:sz w:val="21"/>
                      <w:szCs w:val="21"/>
                    </w:rPr>
                    <w:t>电动攻丝机×1</w:t>
                  </w:r>
                </w:p>
              </w:tc>
              <w:tc>
                <w:tcPr>
                  <w:tcW w:w="327" w:type="pct"/>
                  <w:noWrap/>
                  <w:vAlign w:val="center"/>
                </w:tcPr>
                <w:p w14:paraId="06F23A54">
                  <w:pPr>
                    <w:spacing w:line="276" w:lineRule="auto"/>
                    <w:jc w:val="center"/>
                    <w:rPr>
                      <w:sz w:val="21"/>
                      <w:szCs w:val="21"/>
                    </w:rPr>
                  </w:pPr>
                  <w:r>
                    <w:rPr>
                      <w:rFonts w:hint="eastAsia"/>
                      <w:sz w:val="21"/>
                      <w:szCs w:val="21"/>
                    </w:rPr>
                    <w:t>75</w:t>
                  </w:r>
                </w:p>
              </w:tc>
              <w:tc>
                <w:tcPr>
                  <w:tcW w:w="198" w:type="pct"/>
                  <w:vMerge w:val="continue"/>
                  <w:noWrap/>
                  <w:vAlign w:val="center"/>
                </w:tcPr>
                <w:p w14:paraId="577680D1">
                  <w:pPr>
                    <w:spacing w:line="276" w:lineRule="auto"/>
                    <w:jc w:val="center"/>
                    <w:rPr>
                      <w:sz w:val="21"/>
                      <w:szCs w:val="21"/>
                    </w:rPr>
                  </w:pPr>
                </w:p>
              </w:tc>
              <w:tc>
                <w:tcPr>
                  <w:tcW w:w="210" w:type="pct"/>
                  <w:tcBorders>
                    <w:top w:val="single" w:color="auto" w:sz="4" w:space="0"/>
                    <w:bottom w:val="single" w:color="auto" w:sz="4" w:space="0"/>
                  </w:tcBorders>
                  <w:noWrap/>
                  <w:vAlign w:val="center"/>
                </w:tcPr>
                <w:p w14:paraId="6E1C6BCF">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4719350E">
                  <w:pPr>
                    <w:spacing w:line="276" w:lineRule="auto"/>
                    <w:jc w:val="center"/>
                    <w:rPr>
                      <w:sz w:val="21"/>
                      <w:szCs w:val="21"/>
                    </w:rPr>
                  </w:pPr>
                  <w:r>
                    <w:rPr>
                      <w:rFonts w:hint="eastAsia"/>
                      <w:sz w:val="21"/>
                      <w:szCs w:val="21"/>
                    </w:rPr>
                    <w:t>20</w:t>
                  </w:r>
                </w:p>
              </w:tc>
              <w:tc>
                <w:tcPr>
                  <w:tcW w:w="210" w:type="pct"/>
                  <w:tcBorders>
                    <w:top w:val="single" w:color="auto" w:sz="4" w:space="0"/>
                    <w:bottom w:val="single" w:color="auto" w:sz="4" w:space="0"/>
                  </w:tcBorders>
                  <w:noWrap/>
                  <w:vAlign w:val="center"/>
                </w:tcPr>
                <w:p w14:paraId="5107E3DA">
                  <w:pPr>
                    <w:spacing w:line="276" w:lineRule="auto"/>
                    <w:jc w:val="center"/>
                    <w:rPr>
                      <w:sz w:val="21"/>
                      <w:szCs w:val="21"/>
                    </w:rPr>
                  </w:pPr>
                  <w:r>
                    <w:rPr>
                      <w:rFonts w:hint="eastAsia"/>
                      <w:sz w:val="21"/>
                      <w:szCs w:val="21"/>
                    </w:rPr>
                    <w:t>1.5</w:t>
                  </w:r>
                </w:p>
              </w:tc>
              <w:tc>
                <w:tcPr>
                  <w:tcW w:w="210" w:type="pct"/>
                  <w:noWrap/>
                  <w:vAlign w:val="center"/>
                </w:tcPr>
                <w:p w14:paraId="096A6A53">
                  <w:pPr>
                    <w:jc w:val="center"/>
                    <w:rPr>
                      <w:sz w:val="21"/>
                      <w:szCs w:val="21"/>
                    </w:rPr>
                  </w:pPr>
                  <w:r>
                    <w:rPr>
                      <w:rFonts w:hint="eastAsia"/>
                      <w:sz w:val="21"/>
                      <w:szCs w:val="21"/>
                    </w:rPr>
                    <w:t>12</w:t>
                  </w:r>
                </w:p>
              </w:tc>
              <w:tc>
                <w:tcPr>
                  <w:tcW w:w="210" w:type="pct"/>
                  <w:noWrap/>
                  <w:vAlign w:val="center"/>
                </w:tcPr>
                <w:p w14:paraId="53A34080">
                  <w:pPr>
                    <w:jc w:val="center"/>
                    <w:rPr>
                      <w:sz w:val="21"/>
                      <w:szCs w:val="21"/>
                    </w:rPr>
                  </w:pPr>
                  <w:r>
                    <w:rPr>
                      <w:rFonts w:hint="eastAsia"/>
                      <w:sz w:val="21"/>
                      <w:szCs w:val="21"/>
                    </w:rPr>
                    <w:t>120</w:t>
                  </w:r>
                </w:p>
              </w:tc>
              <w:tc>
                <w:tcPr>
                  <w:tcW w:w="210" w:type="pct"/>
                  <w:noWrap/>
                  <w:vAlign w:val="center"/>
                </w:tcPr>
                <w:p w14:paraId="7ACBD28D">
                  <w:pPr>
                    <w:jc w:val="center"/>
                    <w:rPr>
                      <w:sz w:val="21"/>
                      <w:szCs w:val="21"/>
                    </w:rPr>
                  </w:pPr>
                  <w:r>
                    <w:rPr>
                      <w:rFonts w:hint="eastAsia"/>
                      <w:sz w:val="21"/>
                      <w:szCs w:val="21"/>
                    </w:rPr>
                    <w:t>48</w:t>
                  </w:r>
                </w:p>
              </w:tc>
              <w:tc>
                <w:tcPr>
                  <w:tcW w:w="210" w:type="pct"/>
                  <w:noWrap/>
                  <w:vAlign w:val="center"/>
                </w:tcPr>
                <w:p w14:paraId="0330CBC3">
                  <w:pPr>
                    <w:jc w:val="center"/>
                    <w:rPr>
                      <w:sz w:val="21"/>
                      <w:szCs w:val="21"/>
                    </w:rPr>
                  </w:pPr>
                  <w:r>
                    <w:rPr>
                      <w:rFonts w:hint="eastAsia"/>
                      <w:sz w:val="21"/>
                      <w:szCs w:val="21"/>
                    </w:rPr>
                    <w:t>80</w:t>
                  </w:r>
                </w:p>
              </w:tc>
              <w:tc>
                <w:tcPr>
                  <w:tcW w:w="210" w:type="pct"/>
                  <w:noWrap/>
                  <w:vAlign w:val="center"/>
                </w:tcPr>
                <w:p w14:paraId="0388B585">
                  <w:pPr>
                    <w:spacing w:line="276" w:lineRule="auto"/>
                    <w:jc w:val="center"/>
                    <w:rPr>
                      <w:sz w:val="21"/>
                      <w:szCs w:val="21"/>
                    </w:rPr>
                  </w:pPr>
                  <w:r>
                    <w:rPr>
                      <w:rFonts w:hint="eastAsia"/>
                      <w:sz w:val="21"/>
                      <w:szCs w:val="21"/>
                    </w:rPr>
                    <w:t>53</w:t>
                  </w:r>
                </w:p>
              </w:tc>
              <w:tc>
                <w:tcPr>
                  <w:tcW w:w="210" w:type="pct"/>
                  <w:noWrap/>
                  <w:vAlign w:val="center"/>
                </w:tcPr>
                <w:p w14:paraId="4D8A43FF">
                  <w:pPr>
                    <w:spacing w:line="276" w:lineRule="auto"/>
                    <w:jc w:val="center"/>
                    <w:rPr>
                      <w:sz w:val="21"/>
                      <w:szCs w:val="21"/>
                    </w:rPr>
                  </w:pPr>
                  <w:r>
                    <w:rPr>
                      <w:rFonts w:hint="eastAsia"/>
                      <w:sz w:val="21"/>
                      <w:szCs w:val="21"/>
                    </w:rPr>
                    <w:t>33</w:t>
                  </w:r>
                </w:p>
              </w:tc>
              <w:tc>
                <w:tcPr>
                  <w:tcW w:w="210" w:type="pct"/>
                  <w:noWrap/>
                  <w:vAlign w:val="center"/>
                </w:tcPr>
                <w:p w14:paraId="6B434DF8">
                  <w:pPr>
                    <w:spacing w:line="276" w:lineRule="auto"/>
                    <w:jc w:val="center"/>
                    <w:rPr>
                      <w:sz w:val="21"/>
                      <w:szCs w:val="21"/>
                    </w:rPr>
                  </w:pPr>
                  <w:r>
                    <w:rPr>
                      <w:rFonts w:hint="eastAsia"/>
                      <w:sz w:val="21"/>
                      <w:szCs w:val="21"/>
                    </w:rPr>
                    <w:t>41</w:t>
                  </w:r>
                </w:p>
              </w:tc>
              <w:tc>
                <w:tcPr>
                  <w:tcW w:w="213" w:type="pct"/>
                  <w:noWrap/>
                  <w:vAlign w:val="center"/>
                </w:tcPr>
                <w:p w14:paraId="42B71501">
                  <w:pPr>
                    <w:spacing w:line="276" w:lineRule="auto"/>
                    <w:jc w:val="center"/>
                    <w:rPr>
                      <w:sz w:val="21"/>
                      <w:szCs w:val="21"/>
                    </w:rPr>
                  </w:pPr>
                  <w:r>
                    <w:rPr>
                      <w:rFonts w:hint="eastAsia"/>
                      <w:sz w:val="21"/>
                      <w:szCs w:val="21"/>
                    </w:rPr>
                    <w:t>37</w:t>
                  </w:r>
                </w:p>
              </w:tc>
              <w:tc>
                <w:tcPr>
                  <w:tcW w:w="209" w:type="pct"/>
                  <w:vMerge w:val="continue"/>
                  <w:noWrap/>
                  <w:vAlign w:val="center"/>
                </w:tcPr>
                <w:p w14:paraId="54959850">
                  <w:pPr>
                    <w:spacing w:line="276" w:lineRule="auto"/>
                    <w:jc w:val="center"/>
                    <w:rPr>
                      <w:sz w:val="21"/>
                      <w:szCs w:val="21"/>
                    </w:rPr>
                  </w:pPr>
                </w:p>
              </w:tc>
              <w:tc>
                <w:tcPr>
                  <w:tcW w:w="280" w:type="pct"/>
                  <w:noWrap/>
                  <w:vAlign w:val="center"/>
                </w:tcPr>
                <w:p w14:paraId="4FDE9F59">
                  <w:pPr>
                    <w:spacing w:line="276" w:lineRule="auto"/>
                    <w:jc w:val="center"/>
                    <w:rPr>
                      <w:sz w:val="21"/>
                      <w:szCs w:val="21"/>
                    </w:rPr>
                  </w:pPr>
                  <w:r>
                    <w:rPr>
                      <w:rFonts w:hint="eastAsia"/>
                      <w:sz w:val="21"/>
                      <w:szCs w:val="21"/>
                    </w:rPr>
                    <w:t>15</w:t>
                  </w:r>
                </w:p>
              </w:tc>
              <w:tc>
                <w:tcPr>
                  <w:tcW w:w="178" w:type="pct"/>
                  <w:noWrap/>
                  <w:vAlign w:val="center"/>
                </w:tcPr>
                <w:p w14:paraId="0D7D3F30">
                  <w:pPr>
                    <w:spacing w:line="276" w:lineRule="auto"/>
                    <w:jc w:val="center"/>
                    <w:rPr>
                      <w:sz w:val="21"/>
                      <w:szCs w:val="21"/>
                    </w:rPr>
                  </w:pPr>
                  <w:r>
                    <w:rPr>
                      <w:rFonts w:hint="eastAsia"/>
                      <w:sz w:val="21"/>
                      <w:szCs w:val="21"/>
                    </w:rPr>
                    <w:t>38</w:t>
                  </w:r>
                </w:p>
              </w:tc>
              <w:tc>
                <w:tcPr>
                  <w:tcW w:w="178" w:type="pct"/>
                  <w:noWrap/>
                  <w:vAlign w:val="center"/>
                </w:tcPr>
                <w:p w14:paraId="2F379A46">
                  <w:pPr>
                    <w:spacing w:line="276" w:lineRule="auto"/>
                    <w:jc w:val="center"/>
                    <w:rPr>
                      <w:sz w:val="21"/>
                      <w:szCs w:val="21"/>
                    </w:rPr>
                  </w:pPr>
                  <w:r>
                    <w:rPr>
                      <w:rFonts w:hint="eastAsia"/>
                      <w:sz w:val="21"/>
                      <w:szCs w:val="21"/>
                    </w:rPr>
                    <w:t>18</w:t>
                  </w:r>
                </w:p>
              </w:tc>
              <w:tc>
                <w:tcPr>
                  <w:tcW w:w="178" w:type="pct"/>
                  <w:noWrap/>
                  <w:vAlign w:val="center"/>
                </w:tcPr>
                <w:p w14:paraId="5A2862B1">
                  <w:pPr>
                    <w:spacing w:line="276" w:lineRule="auto"/>
                    <w:jc w:val="center"/>
                    <w:rPr>
                      <w:sz w:val="21"/>
                      <w:szCs w:val="21"/>
                    </w:rPr>
                  </w:pPr>
                  <w:r>
                    <w:rPr>
                      <w:rFonts w:hint="eastAsia"/>
                      <w:sz w:val="21"/>
                      <w:szCs w:val="21"/>
                    </w:rPr>
                    <w:t>26</w:t>
                  </w:r>
                </w:p>
              </w:tc>
              <w:tc>
                <w:tcPr>
                  <w:tcW w:w="178" w:type="pct"/>
                  <w:noWrap/>
                  <w:vAlign w:val="center"/>
                </w:tcPr>
                <w:p w14:paraId="09141864">
                  <w:pPr>
                    <w:spacing w:line="276" w:lineRule="auto"/>
                    <w:jc w:val="center"/>
                    <w:rPr>
                      <w:sz w:val="21"/>
                      <w:szCs w:val="21"/>
                    </w:rPr>
                  </w:pPr>
                  <w:r>
                    <w:rPr>
                      <w:rFonts w:hint="eastAsia"/>
                      <w:sz w:val="21"/>
                      <w:szCs w:val="21"/>
                    </w:rPr>
                    <w:t>22</w:t>
                  </w:r>
                </w:p>
              </w:tc>
              <w:tc>
                <w:tcPr>
                  <w:tcW w:w="232" w:type="pct"/>
                  <w:noWrap/>
                  <w:vAlign w:val="center"/>
                </w:tcPr>
                <w:p w14:paraId="6F721585">
                  <w:pPr>
                    <w:spacing w:line="276" w:lineRule="auto"/>
                    <w:jc w:val="center"/>
                    <w:rPr>
                      <w:sz w:val="21"/>
                      <w:szCs w:val="21"/>
                    </w:rPr>
                  </w:pPr>
                  <w:r>
                    <w:rPr>
                      <w:rFonts w:hint="eastAsia"/>
                      <w:sz w:val="21"/>
                      <w:szCs w:val="21"/>
                    </w:rPr>
                    <w:t>1</w:t>
                  </w:r>
                  <w:r>
                    <w:rPr>
                      <w:sz w:val="21"/>
                      <w:szCs w:val="21"/>
                    </w:rPr>
                    <w:t>m</w:t>
                  </w:r>
                </w:p>
              </w:tc>
            </w:tr>
            <w:tr w14:paraId="671154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299E8D3E">
                  <w:pPr>
                    <w:spacing w:line="276" w:lineRule="auto"/>
                    <w:jc w:val="center"/>
                    <w:rPr>
                      <w:sz w:val="21"/>
                      <w:szCs w:val="21"/>
                    </w:rPr>
                  </w:pPr>
                  <w:r>
                    <w:rPr>
                      <w:rFonts w:hint="eastAsia"/>
                      <w:sz w:val="21"/>
                      <w:szCs w:val="21"/>
                    </w:rPr>
                    <w:t>抛丸区</w:t>
                  </w:r>
                </w:p>
              </w:tc>
              <w:tc>
                <w:tcPr>
                  <w:tcW w:w="456" w:type="pct"/>
                  <w:noWrap/>
                  <w:vAlign w:val="center"/>
                </w:tcPr>
                <w:p w14:paraId="42EAEBF3">
                  <w:pPr>
                    <w:spacing w:line="276" w:lineRule="auto"/>
                    <w:jc w:val="center"/>
                    <w:rPr>
                      <w:bCs/>
                      <w:sz w:val="21"/>
                      <w:szCs w:val="21"/>
                    </w:rPr>
                  </w:pPr>
                  <w:r>
                    <w:rPr>
                      <w:rFonts w:hint="eastAsia"/>
                      <w:sz w:val="21"/>
                      <w:szCs w:val="21"/>
                    </w:rPr>
                    <w:t>自动抛丸机×4</w:t>
                  </w:r>
                </w:p>
              </w:tc>
              <w:tc>
                <w:tcPr>
                  <w:tcW w:w="327" w:type="pct"/>
                  <w:noWrap/>
                  <w:vAlign w:val="center"/>
                </w:tcPr>
                <w:p w14:paraId="0636BDE4">
                  <w:pPr>
                    <w:spacing w:line="276" w:lineRule="auto"/>
                    <w:jc w:val="center"/>
                    <w:rPr>
                      <w:sz w:val="21"/>
                      <w:szCs w:val="21"/>
                    </w:rPr>
                  </w:pPr>
                  <w:r>
                    <w:rPr>
                      <w:rFonts w:hint="eastAsia"/>
                      <w:sz w:val="21"/>
                      <w:szCs w:val="21"/>
                    </w:rPr>
                    <w:t>81（叠加）</w:t>
                  </w:r>
                </w:p>
              </w:tc>
              <w:tc>
                <w:tcPr>
                  <w:tcW w:w="198" w:type="pct"/>
                  <w:vMerge w:val="continue"/>
                  <w:noWrap/>
                  <w:vAlign w:val="center"/>
                </w:tcPr>
                <w:p w14:paraId="24DA2F17">
                  <w:pPr>
                    <w:spacing w:line="276" w:lineRule="auto"/>
                    <w:jc w:val="center"/>
                    <w:rPr>
                      <w:sz w:val="21"/>
                      <w:szCs w:val="21"/>
                    </w:rPr>
                  </w:pPr>
                </w:p>
              </w:tc>
              <w:tc>
                <w:tcPr>
                  <w:tcW w:w="210" w:type="pct"/>
                  <w:tcBorders>
                    <w:top w:val="single" w:color="auto" w:sz="4" w:space="0"/>
                    <w:bottom w:val="single" w:color="auto" w:sz="4" w:space="0"/>
                  </w:tcBorders>
                  <w:noWrap/>
                  <w:vAlign w:val="center"/>
                </w:tcPr>
                <w:p w14:paraId="3D51D164">
                  <w:pPr>
                    <w:spacing w:line="276" w:lineRule="auto"/>
                    <w:jc w:val="center"/>
                    <w:rPr>
                      <w:sz w:val="21"/>
                      <w:szCs w:val="21"/>
                    </w:rPr>
                  </w:pPr>
                  <w:r>
                    <w:rPr>
                      <w:rFonts w:hint="eastAsia"/>
                      <w:sz w:val="21"/>
                      <w:szCs w:val="21"/>
                    </w:rPr>
                    <w:t>12</w:t>
                  </w:r>
                </w:p>
              </w:tc>
              <w:tc>
                <w:tcPr>
                  <w:tcW w:w="210" w:type="pct"/>
                  <w:tcBorders>
                    <w:top w:val="single" w:color="auto" w:sz="4" w:space="0"/>
                    <w:bottom w:val="single" w:color="auto" w:sz="4" w:space="0"/>
                  </w:tcBorders>
                  <w:noWrap/>
                  <w:vAlign w:val="center"/>
                </w:tcPr>
                <w:p w14:paraId="52597867">
                  <w:pPr>
                    <w:spacing w:line="276" w:lineRule="auto"/>
                    <w:jc w:val="center"/>
                    <w:rPr>
                      <w:sz w:val="21"/>
                      <w:szCs w:val="21"/>
                    </w:rPr>
                  </w:pPr>
                  <w:r>
                    <w:rPr>
                      <w:rFonts w:hint="eastAsia"/>
                      <w:sz w:val="21"/>
                      <w:szCs w:val="21"/>
                    </w:rPr>
                    <w:t>46</w:t>
                  </w:r>
                </w:p>
              </w:tc>
              <w:tc>
                <w:tcPr>
                  <w:tcW w:w="210" w:type="pct"/>
                  <w:tcBorders>
                    <w:top w:val="single" w:color="auto" w:sz="4" w:space="0"/>
                    <w:bottom w:val="single" w:color="auto" w:sz="4" w:space="0"/>
                  </w:tcBorders>
                  <w:noWrap/>
                  <w:vAlign w:val="center"/>
                </w:tcPr>
                <w:p w14:paraId="07EFC700">
                  <w:pPr>
                    <w:spacing w:line="276" w:lineRule="auto"/>
                    <w:jc w:val="center"/>
                    <w:rPr>
                      <w:sz w:val="21"/>
                      <w:szCs w:val="21"/>
                    </w:rPr>
                  </w:pPr>
                  <w:r>
                    <w:rPr>
                      <w:rFonts w:hint="eastAsia"/>
                      <w:sz w:val="21"/>
                      <w:szCs w:val="21"/>
                    </w:rPr>
                    <w:t>1.5</w:t>
                  </w:r>
                </w:p>
              </w:tc>
              <w:tc>
                <w:tcPr>
                  <w:tcW w:w="210" w:type="pct"/>
                  <w:noWrap/>
                  <w:vAlign w:val="center"/>
                </w:tcPr>
                <w:p w14:paraId="0D509D4B">
                  <w:pPr>
                    <w:jc w:val="center"/>
                    <w:rPr>
                      <w:sz w:val="21"/>
                      <w:szCs w:val="21"/>
                    </w:rPr>
                  </w:pPr>
                  <w:r>
                    <w:rPr>
                      <w:rFonts w:hint="eastAsia"/>
                      <w:sz w:val="21"/>
                      <w:szCs w:val="21"/>
                    </w:rPr>
                    <w:t>18</w:t>
                  </w:r>
                </w:p>
              </w:tc>
              <w:tc>
                <w:tcPr>
                  <w:tcW w:w="210" w:type="pct"/>
                  <w:noWrap/>
                  <w:vAlign w:val="center"/>
                </w:tcPr>
                <w:p w14:paraId="7E6F04AD">
                  <w:pPr>
                    <w:jc w:val="center"/>
                    <w:rPr>
                      <w:sz w:val="21"/>
                      <w:szCs w:val="21"/>
                    </w:rPr>
                  </w:pPr>
                  <w:r>
                    <w:rPr>
                      <w:rFonts w:hint="eastAsia"/>
                      <w:sz w:val="21"/>
                      <w:szCs w:val="21"/>
                    </w:rPr>
                    <w:t>146</w:t>
                  </w:r>
                </w:p>
              </w:tc>
              <w:tc>
                <w:tcPr>
                  <w:tcW w:w="210" w:type="pct"/>
                  <w:noWrap/>
                  <w:vAlign w:val="center"/>
                </w:tcPr>
                <w:p w14:paraId="1065607F">
                  <w:pPr>
                    <w:jc w:val="center"/>
                    <w:rPr>
                      <w:sz w:val="21"/>
                      <w:szCs w:val="21"/>
                    </w:rPr>
                  </w:pPr>
                  <w:r>
                    <w:rPr>
                      <w:rFonts w:hint="eastAsia"/>
                      <w:sz w:val="21"/>
                      <w:szCs w:val="21"/>
                    </w:rPr>
                    <w:t>42</w:t>
                  </w:r>
                </w:p>
              </w:tc>
              <w:tc>
                <w:tcPr>
                  <w:tcW w:w="210" w:type="pct"/>
                  <w:noWrap/>
                  <w:vAlign w:val="center"/>
                </w:tcPr>
                <w:p w14:paraId="4F7EC699">
                  <w:pPr>
                    <w:jc w:val="center"/>
                    <w:rPr>
                      <w:sz w:val="21"/>
                      <w:szCs w:val="21"/>
                    </w:rPr>
                  </w:pPr>
                  <w:r>
                    <w:rPr>
                      <w:rFonts w:hint="eastAsia"/>
                      <w:sz w:val="21"/>
                      <w:szCs w:val="21"/>
                    </w:rPr>
                    <w:t>54</w:t>
                  </w:r>
                </w:p>
              </w:tc>
              <w:tc>
                <w:tcPr>
                  <w:tcW w:w="210" w:type="pct"/>
                  <w:noWrap/>
                  <w:vAlign w:val="center"/>
                </w:tcPr>
                <w:p w14:paraId="5F99D7D3">
                  <w:pPr>
                    <w:spacing w:line="276" w:lineRule="auto"/>
                    <w:jc w:val="center"/>
                    <w:rPr>
                      <w:sz w:val="21"/>
                      <w:szCs w:val="21"/>
                    </w:rPr>
                  </w:pPr>
                  <w:r>
                    <w:rPr>
                      <w:rFonts w:hint="eastAsia"/>
                      <w:sz w:val="21"/>
                      <w:szCs w:val="21"/>
                    </w:rPr>
                    <w:t>56</w:t>
                  </w:r>
                </w:p>
              </w:tc>
              <w:tc>
                <w:tcPr>
                  <w:tcW w:w="210" w:type="pct"/>
                  <w:noWrap/>
                  <w:vAlign w:val="center"/>
                </w:tcPr>
                <w:p w14:paraId="0A409395">
                  <w:pPr>
                    <w:spacing w:line="276" w:lineRule="auto"/>
                    <w:jc w:val="center"/>
                    <w:rPr>
                      <w:sz w:val="21"/>
                      <w:szCs w:val="21"/>
                    </w:rPr>
                  </w:pPr>
                  <w:r>
                    <w:rPr>
                      <w:rFonts w:hint="eastAsia"/>
                      <w:sz w:val="21"/>
                      <w:szCs w:val="21"/>
                    </w:rPr>
                    <w:t>38</w:t>
                  </w:r>
                </w:p>
              </w:tc>
              <w:tc>
                <w:tcPr>
                  <w:tcW w:w="210" w:type="pct"/>
                  <w:noWrap/>
                  <w:vAlign w:val="center"/>
                </w:tcPr>
                <w:p w14:paraId="3F3F76EF">
                  <w:pPr>
                    <w:spacing w:line="276" w:lineRule="auto"/>
                    <w:jc w:val="center"/>
                    <w:rPr>
                      <w:sz w:val="21"/>
                      <w:szCs w:val="21"/>
                    </w:rPr>
                  </w:pPr>
                  <w:r>
                    <w:rPr>
                      <w:rFonts w:hint="eastAsia"/>
                      <w:sz w:val="21"/>
                      <w:szCs w:val="21"/>
                    </w:rPr>
                    <w:t>49</w:t>
                  </w:r>
                </w:p>
              </w:tc>
              <w:tc>
                <w:tcPr>
                  <w:tcW w:w="213" w:type="pct"/>
                  <w:noWrap/>
                  <w:vAlign w:val="center"/>
                </w:tcPr>
                <w:p w14:paraId="41E684C9">
                  <w:pPr>
                    <w:spacing w:line="276" w:lineRule="auto"/>
                    <w:jc w:val="center"/>
                    <w:rPr>
                      <w:sz w:val="21"/>
                      <w:szCs w:val="21"/>
                    </w:rPr>
                  </w:pPr>
                  <w:r>
                    <w:rPr>
                      <w:rFonts w:hint="eastAsia"/>
                      <w:sz w:val="21"/>
                      <w:szCs w:val="21"/>
                    </w:rPr>
                    <w:t>46</w:t>
                  </w:r>
                </w:p>
              </w:tc>
              <w:tc>
                <w:tcPr>
                  <w:tcW w:w="209" w:type="pct"/>
                  <w:vMerge w:val="continue"/>
                  <w:noWrap/>
                  <w:vAlign w:val="center"/>
                </w:tcPr>
                <w:p w14:paraId="3E33DEE4">
                  <w:pPr>
                    <w:spacing w:line="276" w:lineRule="auto"/>
                    <w:jc w:val="center"/>
                    <w:rPr>
                      <w:sz w:val="21"/>
                      <w:szCs w:val="21"/>
                    </w:rPr>
                  </w:pPr>
                </w:p>
              </w:tc>
              <w:tc>
                <w:tcPr>
                  <w:tcW w:w="280" w:type="pct"/>
                  <w:noWrap/>
                  <w:vAlign w:val="center"/>
                </w:tcPr>
                <w:p w14:paraId="109193B8">
                  <w:pPr>
                    <w:spacing w:line="276" w:lineRule="auto"/>
                    <w:jc w:val="center"/>
                    <w:rPr>
                      <w:sz w:val="21"/>
                      <w:szCs w:val="21"/>
                    </w:rPr>
                  </w:pPr>
                  <w:r>
                    <w:rPr>
                      <w:rFonts w:hint="eastAsia"/>
                      <w:sz w:val="21"/>
                      <w:szCs w:val="21"/>
                    </w:rPr>
                    <w:t>15</w:t>
                  </w:r>
                </w:p>
              </w:tc>
              <w:tc>
                <w:tcPr>
                  <w:tcW w:w="178" w:type="pct"/>
                  <w:noWrap/>
                  <w:vAlign w:val="center"/>
                </w:tcPr>
                <w:p w14:paraId="6A77DDDC">
                  <w:pPr>
                    <w:spacing w:line="276" w:lineRule="auto"/>
                    <w:jc w:val="center"/>
                    <w:rPr>
                      <w:sz w:val="21"/>
                      <w:szCs w:val="21"/>
                    </w:rPr>
                  </w:pPr>
                  <w:r>
                    <w:rPr>
                      <w:rFonts w:hint="eastAsia"/>
                      <w:sz w:val="21"/>
                      <w:szCs w:val="21"/>
                    </w:rPr>
                    <w:t>41</w:t>
                  </w:r>
                </w:p>
              </w:tc>
              <w:tc>
                <w:tcPr>
                  <w:tcW w:w="178" w:type="pct"/>
                  <w:noWrap/>
                  <w:vAlign w:val="center"/>
                </w:tcPr>
                <w:p w14:paraId="50F71987">
                  <w:pPr>
                    <w:spacing w:line="276" w:lineRule="auto"/>
                    <w:jc w:val="center"/>
                    <w:rPr>
                      <w:sz w:val="21"/>
                      <w:szCs w:val="21"/>
                    </w:rPr>
                  </w:pPr>
                  <w:r>
                    <w:rPr>
                      <w:rFonts w:hint="eastAsia"/>
                      <w:sz w:val="21"/>
                      <w:szCs w:val="21"/>
                    </w:rPr>
                    <w:t>23</w:t>
                  </w:r>
                </w:p>
              </w:tc>
              <w:tc>
                <w:tcPr>
                  <w:tcW w:w="178" w:type="pct"/>
                  <w:noWrap/>
                  <w:vAlign w:val="center"/>
                </w:tcPr>
                <w:p w14:paraId="6A71B60B">
                  <w:pPr>
                    <w:spacing w:line="276" w:lineRule="auto"/>
                    <w:jc w:val="center"/>
                    <w:rPr>
                      <w:sz w:val="21"/>
                      <w:szCs w:val="21"/>
                    </w:rPr>
                  </w:pPr>
                  <w:r>
                    <w:rPr>
                      <w:rFonts w:hint="eastAsia"/>
                      <w:sz w:val="21"/>
                      <w:szCs w:val="21"/>
                    </w:rPr>
                    <w:t>34</w:t>
                  </w:r>
                </w:p>
              </w:tc>
              <w:tc>
                <w:tcPr>
                  <w:tcW w:w="178" w:type="pct"/>
                  <w:noWrap/>
                  <w:vAlign w:val="center"/>
                </w:tcPr>
                <w:p w14:paraId="16D060BF">
                  <w:pPr>
                    <w:spacing w:line="276" w:lineRule="auto"/>
                    <w:jc w:val="center"/>
                    <w:rPr>
                      <w:sz w:val="21"/>
                      <w:szCs w:val="21"/>
                    </w:rPr>
                  </w:pPr>
                  <w:r>
                    <w:rPr>
                      <w:rFonts w:hint="eastAsia"/>
                      <w:sz w:val="21"/>
                      <w:szCs w:val="21"/>
                    </w:rPr>
                    <w:t>31</w:t>
                  </w:r>
                </w:p>
              </w:tc>
              <w:tc>
                <w:tcPr>
                  <w:tcW w:w="232" w:type="pct"/>
                  <w:noWrap/>
                  <w:vAlign w:val="center"/>
                </w:tcPr>
                <w:p w14:paraId="59404228">
                  <w:pPr>
                    <w:spacing w:line="276" w:lineRule="auto"/>
                    <w:jc w:val="center"/>
                    <w:rPr>
                      <w:sz w:val="21"/>
                      <w:szCs w:val="21"/>
                    </w:rPr>
                  </w:pPr>
                  <w:r>
                    <w:rPr>
                      <w:rFonts w:hint="eastAsia"/>
                      <w:sz w:val="21"/>
                      <w:szCs w:val="21"/>
                    </w:rPr>
                    <w:t>1</w:t>
                  </w:r>
                  <w:r>
                    <w:rPr>
                      <w:sz w:val="21"/>
                      <w:szCs w:val="21"/>
                    </w:rPr>
                    <w:t>m</w:t>
                  </w:r>
                </w:p>
              </w:tc>
            </w:tr>
            <w:tr w14:paraId="5CE9B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62AB68B5">
                  <w:pPr>
                    <w:spacing w:line="276" w:lineRule="auto"/>
                    <w:jc w:val="center"/>
                    <w:rPr>
                      <w:sz w:val="21"/>
                      <w:szCs w:val="21"/>
                    </w:rPr>
                  </w:pPr>
                </w:p>
              </w:tc>
              <w:tc>
                <w:tcPr>
                  <w:tcW w:w="456" w:type="pct"/>
                  <w:noWrap/>
                  <w:vAlign w:val="center"/>
                </w:tcPr>
                <w:p w14:paraId="0700A34F">
                  <w:pPr>
                    <w:spacing w:line="276" w:lineRule="auto"/>
                    <w:jc w:val="center"/>
                    <w:rPr>
                      <w:sz w:val="21"/>
                      <w:szCs w:val="21"/>
                    </w:rPr>
                  </w:pPr>
                  <w:r>
                    <w:rPr>
                      <w:rFonts w:hint="eastAsia"/>
                      <w:sz w:val="21"/>
                      <w:szCs w:val="21"/>
                    </w:rPr>
                    <w:t>振光机×1</w:t>
                  </w:r>
                </w:p>
              </w:tc>
              <w:tc>
                <w:tcPr>
                  <w:tcW w:w="327" w:type="pct"/>
                  <w:noWrap/>
                  <w:vAlign w:val="center"/>
                </w:tcPr>
                <w:p w14:paraId="06AC3C4A">
                  <w:pPr>
                    <w:spacing w:line="276" w:lineRule="auto"/>
                    <w:jc w:val="center"/>
                    <w:rPr>
                      <w:sz w:val="21"/>
                      <w:szCs w:val="21"/>
                    </w:rPr>
                  </w:pPr>
                  <w:r>
                    <w:rPr>
                      <w:rFonts w:hint="eastAsia"/>
                      <w:sz w:val="21"/>
                      <w:szCs w:val="21"/>
                    </w:rPr>
                    <w:t>80</w:t>
                  </w:r>
                </w:p>
              </w:tc>
              <w:tc>
                <w:tcPr>
                  <w:tcW w:w="198" w:type="pct"/>
                  <w:vMerge w:val="continue"/>
                  <w:noWrap/>
                  <w:vAlign w:val="center"/>
                </w:tcPr>
                <w:p w14:paraId="2DEB2EA6">
                  <w:pPr>
                    <w:spacing w:line="276" w:lineRule="auto"/>
                    <w:jc w:val="center"/>
                    <w:rPr>
                      <w:sz w:val="21"/>
                      <w:szCs w:val="21"/>
                    </w:rPr>
                  </w:pPr>
                </w:p>
              </w:tc>
              <w:tc>
                <w:tcPr>
                  <w:tcW w:w="210" w:type="pct"/>
                  <w:tcBorders>
                    <w:top w:val="single" w:color="auto" w:sz="4" w:space="0"/>
                    <w:bottom w:val="single" w:color="auto" w:sz="4" w:space="0"/>
                  </w:tcBorders>
                  <w:noWrap/>
                  <w:vAlign w:val="center"/>
                </w:tcPr>
                <w:p w14:paraId="1E125D2E">
                  <w:pPr>
                    <w:spacing w:line="276" w:lineRule="auto"/>
                    <w:jc w:val="center"/>
                    <w:rPr>
                      <w:sz w:val="21"/>
                      <w:szCs w:val="21"/>
                    </w:rPr>
                  </w:pPr>
                  <w:r>
                    <w:rPr>
                      <w:rFonts w:hint="eastAsia"/>
                      <w:sz w:val="21"/>
                      <w:szCs w:val="21"/>
                    </w:rPr>
                    <w:t>15</w:t>
                  </w:r>
                </w:p>
              </w:tc>
              <w:tc>
                <w:tcPr>
                  <w:tcW w:w="210" w:type="pct"/>
                  <w:tcBorders>
                    <w:top w:val="single" w:color="auto" w:sz="4" w:space="0"/>
                    <w:bottom w:val="single" w:color="auto" w:sz="4" w:space="0"/>
                  </w:tcBorders>
                  <w:noWrap/>
                  <w:vAlign w:val="center"/>
                </w:tcPr>
                <w:p w14:paraId="526EF259">
                  <w:pPr>
                    <w:spacing w:line="276" w:lineRule="auto"/>
                    <w:jc w:val="center"/>
                    <w:rPr>
                      <w:sz w:val="21"/>
                      <w:szCs w:val="21"/>
                    </w:rPr>
                  </w:pPr>
                  <w:r>
                    <w:rPr>
                      <w:rFonts w:hint="eastAsia"/>
                      <w:sz w:val="21"/>
                      <w:szCs w:val="21"/>
                    </w:rPr>
                    <w:t>46</w:t>
                  </w:r>
                </w:p>
              </w:tc>
              <w:tc>
                <w:tcPr>
                  <w:tcW w:w="210" w:type="pct"/>
                  <w:tcBorders>
                    <w:top w:val="single" w:color="auto" w:sz="4" w:space="0"/>
                    <w:bottom w:val="single" w:color="auto" w:sz="4" w:space="0"/>
                  </w:tcBorders>
                  <w:noWrap/>
                  <w:vAlign w:val="center"/>
                </w:tcPr>
                <w:p w14:paraId="59077CE2">
                  <w:pPr>
                    <w:spacing w:line="276" w:lineRule="auto"/>
                    <w:jc w:val="center"/>
                    <w:rPr>
                      <w:sz w:val="21"/>
                      <w:szCs w:val="21"/>
                    </w:rPr>
                  </w:pPr>
                  <w:r>
                    <w:rPr>
                      <w:rFonts w:hint="eastAsia"/>
                      <w:sz w:val="21"/>
                      <w:szCs w:val="21"/>
                    </w:rPr>
                    <w:t>1.5</w:t>
                  </w:r>
                </w:p>
              </w:tc>
              <w:tc>
                <w:tcPr>
                  <w:tcW w:w="210" w:type="pct"/>
                  <w:noWrap/>
                  <w:vAlign w:val="center"/>
                </w:tcPr>
                <w:p w14:paraId="37500C28">
                  <w:pPr>
                    <w:jc w:val="center"/>
                    <w:rPr>
                      <w:sz w:val="21"/>
                      <w:szCs w:val="21"/>
                    </w:rPr>
                  </w:pPr>
                  <w:r>
                    <w:rPr>
                      <w:rFonts w:hint="eastAsia"/>
                      <w:sz w:val="21"/>
                      <w:szCs w:val="21"/>
                    </w:rPr>
                    <w:t>15</w:t>
                  </w:r>
                </w:p>
              </w:tc>
              <w:tc>
                <w:tcPr>
                  <w:tcW w:w="210" w:type="pct"/>
                  <w:noWrap/>
                  <w:vAlign w:val="center"/>
                </w:tcPr>
                <w:p w14:paraId="4A34FDAF">
                  <w:pPr>
                    <w:jc w:val="center"/>
                    <w:rPr>
                      <w:sz w:val="21"/>
                      <w:szCs w:val="21"/>
                    </w:rPr>
                  </w:pPr>
                  <w:r>
                    <w:rPr>
                      <w:rFonts w:hint="eastAsia"/>
                      <w:sz w:val="21"/>
                      <w:szCs w:val="21"/>
                    </w:rPr>
                    <w:t>146</w:t>
                  </w:r>
                </w:p>
              </w:tc>
              <w:tc>
                <w:tcPr>
                  <w:tcW w:w="210" w:type="pct"/>
                  <w:noWrap/>
                  <w:vAlign w:val="center"/>
                </w:tcPr>
                <w:p w14:paraId="05B08527">
                  <w:pPr>
                    <w:jc w:val="center"/>
                    <w:rPr>
                      <w:sz w:val="21"/>
                      <w:szCs w:val="21"/>
                    </w:rPr>
                  </w:pPr>
                  <w:r>
                    <w:rPr>
                      <w:rFonts w:hint="eastAsia"/>
                      <w:sz w:val="21"/>
                      <w:szCs w:val="21"/>
                    </w:rPr>
                    <w:t>45</w:t>
                  </w:r>
                </w:p>
              </w:tc>
              <w:tc>
                <w:tcPr>
                  <w:tcW w:w="210" w:type="pct"/>
                  <w:noWrap/>
                  <w:vAlign w:val="center"/>
                </w:tcPr>
                <w:p w14:paraId="7EAA0198">
                  <w:pPr>
                    <w:jc w:val="center"/>
                    <w:rPr>
                      <w:sz w:val="21"/>
                      <w:szCs w:val="21"/>
                    </w:rPr>
                  </w:pPr>
                  <w:r>
                    <w:rPr>
                      <w:rFonts w:hint="eastAsia"/>
                      <w:sz w:val="21"/>
                      <w:szCs w:val="21"/>
                    </w:rPr>
                    <w:t>54</w:t>
                  </w:r>
                </w:p>
              </w:tc>
              <w:tc>
                <w:tcPr>
                  <w:tcW w:w="210" w:type="pct"/>
                  <w:noWrap/>
                  <w:vAlign w:val="center"/>
                </w:tcPr>
                <w:p w14:paraId="23EB6F48">
                  <w:pPr>
                    <w:spacing w:line="276" w:lineRule="auto"/>
                    <w:jc w:val="center"/>
                    <w:rPr>
                      <w:sz w:val="21"/>
                      <w:szCs w:val="21"/>
                    </w:rPr>
                  </w:pPr>
                  <w:r>
                    <w:rPr>
                      <w:rFonts w:hint="eastAsia"/>
                      <w:sz w:val="21"/>
                      <w:szCs w:val="21"/>
                    </w:rPr>
                    <w:t>56</w:t>
                  </w:r>
                </w:p>
              </w:tc>
              <w:tc>
                <w:tcPr>
                  <w:tcW w:w="210" w:type="pct"/>
                  <w:noWrap/>
                  <w:vAlign w:val="center"/>
                </w:tcPr>
                <w:p w14:paraId="4BDDC681">
                  <w:pPr>
                    <w:spacing w:line="276" w:lineRule="auto"/>
                    <w:jc w:val="center"/>
                    <w:rPr>
                      <w:sz w:val="21"/>
                      <w:szCs w:val="21"/>
                    </w:rPr>
                  </w:pPr>
                  <w:r>
                    <w:rPr>
                      <w:rFonts w:hint="eastAsia"/>
                      <w:sz w:val="21"/>
                      <w:szCs w:val="21"/>
                    </w:rPr>
                    <w:t>37</w:t>
                  </w:r>
                </w:p>
              </w:tc>
              <w:tc>
                <w:tcPr>
                  <w:tcW w:w="210" w:type="pct"/>
                  <w:noWrap/>
                  <w:vAlign w:val="center"/>
                </w:tcPr>
                <w:p w14:paraId="7FF0D9DF">
                  <w:pPr>
                    <w:spacing w:line="276" w:lineRule="auto"/>
                    <w:jc w:val="center"/>
                    <w:rPr>
                      <w:sz w:val="21"/>
                      <w:szCs w:val="21"/>
                    </w:rPr>
                  </w:pPr>
                  <w:r>
                    <w:rPr>
                      <w:rFonts w:hint="eastAsia"/>
                      <w:sz w:val="21"/>
                      <w:szCs w:val="21"/>
                    </w:rPr>
                    <w:t>47</w:t>
                  </w:r>
                </w:p>
              </w:tc>
              <w:tc>
                <w:tcPr>
                  <w:tcW w:w="213" w:type="pct"/>
                  <w:noWrap/>
                  <w:vAlign w:val="center"/>
                </w:tcPr>
                <w:p w14:paraId="1AE12848">
                  <w:pPr>
                    <w:spacing w:line="276" w:lineRule="auto"/>
                    <w:jc w:val="center"/>
                    <w:rPr>
                      <w:sz w:val="21"/>
                      <w:szCs w:val="21"/>
                    </w:rPr>
                  </w:pPr>
                  <w:r>
                    <w:rPr>
                      <w:rFonts w:hint="eastAsia"/>
                      <w:sz w:val="21"/>
                      <w:szCs w:val="21"/>
                    </w:rPr>
                    <w:t>45</w:t>
                  </w:r>
                </w:p>
              </w:tc>
              <w:tc>
                <w:tcPr>
                  <w:tcW w:w="209" w:type="pct"/>
                  <w:vMerge w:val="continue"/>
                  <w:noWrap/>
                  <w:vAlign w:val="center"/>
                </w:tcPr>
                <w:p w14:paraId="46080DF0">
                  <w:pPr>
                    <w:spacing w:line="276" w:lineRule="auto"/>
                    <w:jc w:val="center"/>
                    <w:rPr>
                      <w:sz w:val="21"/>
                      <w:szCs w:val="21"/>
                    </w:rPr>
                  </w:pPr>
                </w:p>
              </w:tc>
              <w:tc>
                <w:tcPr>
                  <w:tcW w:w="280" w:type="pct"/>
                  <w:noWrap/>
                  <w:vAlign w:val="center"/>
                </w:tcPr>
                <w:p w14:paraId="6C08FADB">
                  <w:pPr>
                    <w:spacing w:line="276" w:lineRule="auto"/>
                    <w:jc w:val="center"/>
                    <w:rPr>
                      <w:sz w:val="21"/>
                      <w:szCs w:val="21"/>
                    </w:rPr>
                  </w:pPr>
                  <w:r>
                    <w:rPr>
                      <w:rFonts w:hint="eastAsia"/>
                      <w:sz w:val="21"/>
                      <w:szCs w:val="21"/>
                    </w:rPr>
                    <w:t>15</w:t>
                  </w:r>
                </w:p>
              </w:tc>
              <w:tc>
                <w:tcPr>
                  <w:tcW w:w="178" w:type="pct"/>
                  <w:noWrap/>
                  <w:vAlign w:val="center"/>
                </w:tcPr>
                <w:p w14:paraId="5EC34937">
                  <w:pPr>
                    <w:spacing w:line="276" w:lineRule="auto"/>
                    <w:jc w:val="center"/>
                    <w:rPr>
                      <w:sz w:val="21"/>
                      <w:szCs w:val="21"/>
                    </w:rPr>
                  </w:pPr>
                  <w:r>
                    <w:rPr>
                      <w:rFonts w:hint="eastAsia"/>
                      <w:sz w:val="21"/>
                      <w:szCs w:val="21"/>
                    </w:rPr>
                    <w:t>41</w:t>
                  </w:r>
                </w:p>
              </w:tc>
              <w:tc>
                <w:tcPr>
                  <w:tcW w:w="178" w:type="pct"/>
                  <w:noWrap/>
                  <w:vAlign w:val="center"/>
                </w:tcPr>
                <w:p w14:paraId="0C230D53">
                  <w:pPr>
                    <w:spacing w:line="276" w:lineRule="auto"/>
                    <w:jc w:val="center"/>
                    <w:rPr>
                      <w:sz w:val="21"/>
                      <w:szCs w:val="21"/>
                    </w:rPr>
                  </w:pPr>
                  <w:r>
                    <w:rPr>
                      <w:rFonts w:hint="eastAsia"/>
                      <w:sz w:val="21"/>
                      <w:szCs w:val="21"/>
                    </w:rPr>
                    <w:t>22</w:t>
                  </w:r>
                </w:p>
              </w:tc>
              <w:tc>
                <w:tcPr>
                  <w:tcW w:w="178" w:type="pct"/>
                  <w:noWrap/>
                  <w:vAlign w:val="center"/>
                </w:tcPr>
                <w:p w14:paraId="6F870CE2">
                  <w:pPr>
                    <w:spacing w:line="276" w:lineRule="auto"/>
                    <w:jc w:val="center"/>
                    <w:rPr>
                      <w:sz w:val="21"/>
                      <w:szCs w:val="21"/>
                    </w:rPr>
                  </w:pPr>
                  <w:r>
                    <w:rPr>
                      <w:rFonts w:hint="eastAsia"/>
                      <w:sz w:val="21"/>
                      <w:szCs w:val="21"/>
                    </w:rPr>
                    <w:t>32</w:t>
                  </w:r>
                </w:p>
              </w:tc>
              <w:tc>
                <w:tcPr>
                  <w:tcW w:w="178" w:type="pct"/>
                  <w:noWrap/>
                  <w:vAlign w:val="center"/>
                </w:tcPr>
                <w:p w14:paraId="5BDF1BF0">
                  <w:pPr>
                    <w:spacing w:line="276" w:lineRule="auto"/>
                    <w:jc w:val="center"/>
                    <w:rPr>
                      <w:sz w:val="21"/>
                      <w:szCs w:val="21"/>
                    </w:rPr>
                  </w:pPr>
                  <w:r>
                    <w:rPr>
                      <w:rFonts w:hint="eastAsia"/>
                      <w:sz w:val="21"/>
                      <w:szCs w:val="21"/>
                    </w:rPr>
                    <w:t>30</w:t>
                  </w:r>
                </w:p>
              </w:tc>
              <w:tc>
                <w:tcPr>
                  <w:tcW w:w="232" w:type="pct"/>
                  <w:noWrap/>
                  <w:vAlign w:val="center"/>
                </w:tcPr>
                <w:p w14:paraId="4137A50B">
                  <w:pPr>
                    <w:spacing w:line="276" w:lineRule="auto"/>
                    <w:jc w:val="center"/>
                    <w:rPr>
                      <w:sz w:val="21"/>
                      <w:szCs w:val="21"/>
                    </w:rPr>
                  </w:pPr>
                  <w:r>
                    <w:rPr>
                      <w:rFonts w:hint="eastAsia"/>
                      <w:sz w:val="21"/>
                      <w:szCs w:val="21"/>
                    </w:rPr>
                    <w:t>1</w:t>
                  </w:r>
                  <w:r>
                    <w:rPr>
                      <w:sz w:val="21"/>
                      <w:szCs w:val="21"/>
                    </w:rPr>
                    <w:t>m</w:t>
                  </w:r>
                </w:p>
              </w:tc>
            </w:tr>
            <w:tr w14:paraId="7BB6F5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noWrap/>
                  <w:vAlign w:val="center"/>
                </w:tcPr>
                <w:p w14:paraId="07402C17">
                  <w:pPr>
                    <w:spacing w:line="276" w:lineRule="auto"/>
                    <w:jc w:val="center"/>
                    <w:rPr>
                      <w:sz w:val="21"/>
                      <w:szCs w:val="21"/>
                    </w:rPr>
                  </w:pPr>
                  <w:r>
                    <w:rPr>
                      <w:rFonts w:hint="eastAsia"/>
                      <w:sz w:val="21"/>
                      <w:szCs w:val="21"/>
                    </w:rPr>
                    <w:t>清洗区</w:t>
                  </w:r>
                </w:p>
              </w:tc>
              <w:tc>
                <w:tcPr>
                  <w:tcW w:w="456" w:type="pct"/>
                  <w:noWrap/>
                  <w:vAlign w:val="center"/>
                </w:tcPr>
                <w:p w14:paraId="42B77AEF">
                  <w:pPr>
                    <w:spacing w:line="276" w:lineRule="auto"/>
                    <w:jc w:val="center"/>
                    <w:rPr>
                      <w:sz w:val="21"/>
                      <w:szCs w:val="21"/>
                    </w:rPr>
                  </w:pPr>
                  <w:r>
                    <w:rPr>
                      <w:rFonts w:hint="eastAsia"/>
                      <w:sz w:val="21"/>
                      <w:szCs w:val="21"/>
                    </w:rPr>
                    <w:t>超声波清洗机×2</w:t>
                  </w:r>
                </w:p>
              </w:tc>
              <w:tc>
                <w:tcPr>
                  <w:tcW w:w="327" w:type="pct"/>
                  <w:noWrap/>
                  <w:vAlign w:val="center"/>
                </w:tcPr>
                <w:p w14:paraId="21587BBA">
                  <w:pPr>
                    <w:spacing w:line="276" w:lineRule="auto"/>
                    <w:jc w:val="center"/>
                    <w:rPr>
                      <w:sz w:val="21"/>
                      <w:szCs w:val="21"/>
                    </w:rPr>
                  </w:pPr>
                  <w:r>
                    <w:rPr>
                      <w:rFonts w:hint="eastAsia"/>
                      <w:sz w:val="21"/>
                      <w:szCs w:val="21"/>
                    </w:rPr>
                    <w:t>83（叠加）</w:t>
                  </w:r>
                </w:p>
              </w:tc>
              <w:tc>
                <w:tcPr>
                  <w:tcW w:w="198" w:type="pct"/>
                  <w:vMerge w:val="continue"/>
                  <w:noWrap/>
                  <w:vAlign w:val="center"/>
                </w:tcPr>
                <w:p w14:paraId="342F0ADC">
                  <w:pPr>
                    <w:spacing w:line="276" w:lineRule="auto"/>
                    <w:jc w:val="center"/>
                    <w:rPr>
                      <w:sz w:val="21"/>
                      <w:szCs w:val="21"/>
                    </w:rPr>
                  </w:pPr>
                </w:p>
              </w:tc>
              <w:tc>
                <w:tcPr>
                  <w:tcW w:w="210" w:type="pct"/>
                  <w:tcBorders>
                    <w:top w:val="single" w:color="auto" w:sz="4" w:space="0"/>
                    <w:bottom w:val="single" w:color="auto" w:sz="4" w:space="0"/>
                  </w:tcBorders>
                  <w:noWrap/>
                  <w:vAlign w:val="center"/>
                </w:tcPr>
                <w:p w14:paraId="2E40A9D0">
                  <w:pPr>
                    <w:spacing w:line="276" w:lineRule="auto"/>
                    <w:jc w:val="center"/>
                    <w:rPr>
                      <w:sz w:val="21"/>
                      <w:szCs w:val="21"/>
                    </w:rPr>
                  </w:pPr>
                  <w:r>
                    <w:rPr>
                      <w:rFonts w:hint="eastAsia"/>
                      <w:sz w:val="21"/>
                      <w:szCs w:val="21"/>
                    </w:rPr>
                    <w:t>25</w:t>
                  </w:r>
                </w:p>
              </w:tc>
              <w:tc>
                <w:tcPr>
                  <w:tcW w:w="210" w:type="pct"/>
                  <w:tcBorders>
                    <w:top w:val="single" w:color="auto" w:sz="4" w:space="0"/>
                    <w:bottom w:val="single" w:color="auto" w:sz="4" w:space="0"/>
                  </w:tcBorders>
                  <w:noWrap/>
                  <w:vAlign w:val="center"/>
                </w:tcPr>
                <w:p w14:paraId="5C0B53CD">
                  <w:pPr>
                    <w:spacing w:line="276" w:lineRule="auto"/>
                    <w:jc w:val="center"/>
                    <w:rPr>
                      <w:sz w:val="21"/>
                      <w:szCs w:val="21"/>
                    </w:rPr>
                  </w:pPr>
                  <w:r>
                    <w:rPr>
                      <w:rFonts w:hint="eastAsia"/>
                      <w:sz w:val="21"/>
                      <w:szCs w:val="21"/>
                    </w:rPr>
                    <w:t>46</w:t>
                  </w:r>
                </w:p>
              </w:tc>
              <w:tc>
                <w:tcPr>
                  <w:tcW w:w="210" w:type="pct"/>
                  <w:tcBorders>
                    <w:top w:val="single" w:color="auto" w:sz="4" w:space="0"/>
                    <w:bottom w:val="single" w:color="auto" w:sz="4" w:space="0"/>
                  </w:tcBorders>
                  <w:noWrap/>
                  <w:vAlign w:val="center"/>
                </w:tcPr>
                <w:p w14:paraId="0D60E9A1">
                  <w:pPr>
                    <w:spacing w:line="276" w:lineRule="auto"/>
                    <w:jc w:val="center"/>
                    <w:rPr>
                      <w:sz w:val="21"/>
                      <w:szCs w:val="21"/>
                    </w:rPr>
                  </w:pPr>
                  <w:r>
                    <w:rPr>
                      <w:rFonts w:hint="eastAsia"/>
                      <w:sz w:val="21"/>
                      <w:szCs w:val="21"/>
                    </w:rPr>
                    <w:t>1.5</w:t>
                  </w:r>
                </w:p>
              </w:tc>
              <w:tc>
                <w:tcPr>
                  <w:tcW w:w="210" w:type="pct"/>
                  <w:noWrap/>
                  <w:vAlign w:val="center"/>
                </w:tcPr>
                <w:p w14:paraId="16EE0F7E">
                  <w:pPr>
                    <w:jc w:val="center"/>
                    <w:rPr>
                      <w:sz w:val="21"/>
                      <w:szCs w:val="21"/>
                    </w:rPr>
                  </w:pPr>
                  <w:r>
                    <w:rPr>
                      <w:rFonts w:hint="eastAsia"/>
                      <w:sz w:val="21"/>
                      <w:szCs w:val="21"/>
                    </w:rPr>
                    <w:t>5</w:t>
                  </w:r>
                </w:p>
              </w:tc>
              <w:tc>
                <w:tcPr>
                  <w:tcW w:w="210" w:type="pct"/>
                  <w:noWrap/>
                  <w:vAlign w:val="center"/>
                </w:tcPr>
                <w:p w14:paraId="31069B02">
                  <w:pPr>
                    <w:jc w:val="center"/>
                    <w:rPr>
                      <w:sz w:val="21"/>
                      <w:szCs w:val="21"/>
                    </w:rPr>
                  </w:pPr>
                  <w:r>
                    <w:rPr>
                      <w:rFonts w:hint="eastAsia"/>
                      <w:sz w:val="21"/>
                      <w:szCs w:val="21"/>
                    </w:rPr>
                    <w:t>146</w:t>
                  </w:r>
                </w:p>
              </w:tc>
              <w:tc>
                <w:tcPr>
                  <w:tcW w:w="210" w:type="pct"/>
                  <w:noWrap/>
                  <w:vAlign w:val="center"/>
                </w:tcPr>
                <w:p w14:paraId="1B13D78C">
                  <w:pPr>
                    <w:jc w:val="center"/>
                    <w:rPr>
                      <w:sz w:val="21"/>
                      <w:szCs w:val="21"/>
                    </w:rPr>
                  </w:pPr>
                  <w:r>
                    <w:rPr>
                      <w:rFonts w:hint="eastAsia"/>
                      <w:sz w:val="21"/>
                      <w:szCs w:val="21"/>
                    </w:rPr>
                    <w:t>55</w:t>
                  </w:r>
                </w:p>
              </w:tc>
              <w:tc>
                <w:tcPr>
                  <w:tcW w:w="210" w:type="pct"/>
                  <w:noWrap/>
                  <w:vAlign w:val="center"/>
                </w:tcPr>
                <w:p w14:paraId="1BCCA672">
                  <w:pPr>
                    <w:jc w:val="center"/>
                    <w:rPr>
                      <w:sz w:val="21"/>
                      <w:szCs w:val="21"/>
                    </w:rPr>
                  </w:pPr>
                  <w:r>
                    <w:rPr>
                      <w:rFonts w:hint="eastAsia"/>
                      <w:sz w:val="21"/>
                      <w:szCs w:val="21"/>
                    </w:rPr>
                    <w:t>54</w:t>
                  </w:r>
                </w:p>
              </w:tc>
              <w:tc>
                <w:tcPr>
                  <w:tcW w:w="210" w:type="pct"/>
                  <w:noWrap/>
                  <w:vAlign w:val="center"/>
                </w:tcPr>
                <w:p w14:paraId="0017AD78">
                  <w:pPr>
                    <w:spacing w:line="276" w:lineRule="auto"/>
                    <w:jc w:val="center"/>
                    <w:rPr>
                      <w:sz w:val="21"/>
                      <w:szCs w:val="21"/>
                    </w:rPr>
                  </w:pPr>
                  <w:r>
                    <w:rPr>
                      <w:rFonts w:hint="eastAsia"/>
                      <w:sz w:val="21"/>
                      <w:szCs w:val="21"/>
                    </w:rPr>
                    <w:t>69</w:t>
                  </w:r>
                </w:p>
              </w:tc>
              <w:tc>
                <w:tcPr>
                  <w:tcW w:w="210" w:type="pct"/>
                  <w:noWrap/>
                  <w:vAlign w:val="center"/>
                </w:tcPr>
                <w:p w14:paraId="44CC5950">
                  <w:pPr>
                    <w:spacing w:line="276" w:lineRule="auto"/>
                    <w:jc w:val="center"/>
                    <w:rPr>
                      <w:sz w:val="21"/>
                      <w:szCs w:val="21"/>
                    </w:rPr>
                  </w:pPr>
                  <w:r>
                    <w:rPr>
                      <w:rFonts w:hint="eastAsia"/>
                      <w:sz w:val="21"/>
                      <w:szCs w:val="21"/>
                    </w:rPr>
                    <w:t>40</w:t>
                  </w:r>
                </w:p>
              </w:tc>
              <w:tc>
                <w:tcPr>
                  <w:tcW w:w="210" w:type="pct"/>
                  <w:noWrap/>
                  <w:vAlign w:val="center"/>
                </w:tcPr>
                <w:p w14:paraId="6EA4F7C1">
                  <w:pPr>
                    <w:spacing w:line="276" w:lineRule="auto"/>
                    <w:jc w:val="center"/>
                    <w:rPr>
                      <w:sz w:val="21"/>
                      <w:szCs w:val="21"/>
                    </w:rPr>
                  </w:pPr>
                  <w:r>
                    <w:rPr>
                      <w:rFonts w:hint="eastAsia"/>
                      <w:sz w:val="21"/>
                      <w:szCs w:val="21"/>
                    </w:rPr>
                    <w:t>48</w:t>
                  </w:r>
                </w:p>
              </w:tc>
              <w:tc>
                <w:tcPr>
                  <w:tcW w:w="213" w:type="pct"/>
                  <w:noWrap/>
                  <w:vAlign w:val="center"/>
                </w:tcPr>
                <w:p w14:paraId="351C455C">
                  <w:pPr>
                    <w:spacing w:line="276" w:lineRule="auto"/>
                    <w:jc w:val="center"/>
                    <w:rPr>
                      <w:sz w:val="21"/>
                      <w:szCs w:val="21"/>
                    </w:rPr>
                  </w:pPr>
                  <w:r>
                    <w:rPr>
                      <w:rFonts w:hint="eastAsia"/>
                      <w:sz w:val="21"/>
                      <w:szCs w:val="21"/>
                    </w:rPr>
                    <w:t>48</w:t>
                  </w:r>
                </w:p>
              </w:tc>
              <w:tc>
                <w:tcPr>
                  <w:tcW w:w="209" w:type="pct"/>
                  <w:vMerge w:val="continue"/>
                  <w:noWrap/>
                  <w:vAlign w:val="center"/>
                </w:tcPr>
                <w:p w14:paraId="696D5E78">
                  <w:pPr>
                    <w:spacing w:line="276" w:lineRule="auto"/>
                    <w:jc w:val="center"/>
                    <w:rPr>
                      <w:sz w:val="21"/>
                      <w:szCs w:val="21"/>
                    </w:rPr>
                  </w:pPr>
                </w:p>
              </w:tc>
              <w:tc>
                <w:tcPr>
                  <w:tcW w:w="280" w:type="pct"/>
                  <w:noWrap/>
                  <w:vAlign w:val="center"/>
                </w:tcPr>
                <w:p w14:paraId="08A3C262">
                  <w:pPr>
                    <w:spacing w:line="276" w:lineRule="auto"/>
                    <w:jc w:val="center"/>
                    <w:rPr>
                      <w:sz w:val="21"/>
                      <w:szCs w:val="21"/>
                    </w:rPr>
                  </w:pPr>
                  <w:r>
                    <w:rPr>
                      <w:sz w:val="21"/>
                      <w:szCs w:val="21"/>
                    </w:rPr>
                    <w:t>15</w:t>
                  </w:r>
                </w:p>
              </w:tc>
              <w:tc>
                <w:tcPr>
                  <w:tcW w:w="178" w:type="pct"/>
                  <w:noWrap/>
                  <w:vAlign w:val="center"/>
                </w:tcPr>
                <w:p w14:paraId="4E4AA1ED">
                  <w:pPr>
                    <w:spacing w:line="276" w:lineRule="auto"/>
                    <w:jc w:val="center"/>
                    <w:rPr>
                      <w:sz w:val="21"/>
                      <w:szCs w:val="21"/>
                    </w:rPr>
                  </w:pPr>
                  <w:r>
                    <w:rPr>
                      <w:rFonts w:hint="eastAsia"/>
                      <w:sz w:val="21"/>
                      <w:szCs w:val="21"/>
                    </w:rPr>
                    <w:t>54</w:t>
                  </w:r>
                </w:p>
              </w:tc>
              <w:tc>
                <w:tcPr>
                  <w:tcW w:w="178" w:type="pct"/>
                  <w:noWrap/>
                  <w:vAlign w:val="center"/>
                </w:tcPr>
                <w:p w14:paraId="7456CF23">
                  <w:pPr>
                    <w:spacing w:line="276" w:lineRule="auto"/>
                    <w:jc w:val="center"/>
                    <w:rPr>
                      <w:sz w:val="21"/>
                      <w:szCs w:val="21"/>
                    </w:rPr>
                  </w:pPr>
                  <w:r>
                    <w:rPr>
                      <w:rFonts w:hint="eastAsia"/>
                      <w:sz w:val="21"/>
                      <w:szCs w:val="21"/>
                    </w:rPr>
                    <w:t>25</w:t>
                  </w:r>
                </w:p>
              </w:tc>
              <w:tc>
                <w:tcPr>
                  <w:tcW w:w="178" w:type="pct"/>
                  <w:noWrap/>
                  <w:vAlign w:val="center"/>
                </w:tcPr>
                <w:p w14:paraId="0A39A827">
                  <w:pPr>
                    <w:spacing w:line="276" w:lineRule="auto"/>
                    <w:jc w:val="center"/>
                    <w:rPr>
                      <w:sz w:val="21"/>
                      <w:szCs w:val="21"/>
                    </w:rPr>
                  </w:pPr>
                  <w:r>
                    <w:rPr>
                      <w:rFonts w:hint="eastAsia"/>
                      <w:sz w:val="21"/>
                      <w:szCs w:val="21"/>
                    </w:rPr>
                    <w:t>33</w:t>
                  </w:r>
                </w:p>
              </w:tc>
              <w:tc>
                <w:tcPr>
                  <w:tcW w:w="178" w:type="pct"/>
                  <w:noWrap/>
                  <w:vAlign w:val="center"/>
                </w:tcPr>
                <w:p w14:paraId="36390F3D">
                  <w:pPr>
                    <w:spacing w:line="276" w:lineRule="auto"/>
                    <w:jc w:val="center"/>
                    <w:rPr>
                      <w:sz w:val="21"/>
                      <w:szCs w:val="21"/>
                    </w:rPr>
                  </w:pPr>
                  <w:r>
                    <w:rPr>
                      <w:rFonts w:hint="eastAsia"/>
                      <w:sz w:val="21"/>
                      <w:szCs w:val="21"/>
                    </w:rPr>
                    <w:t>33</w:t>
                  </w:r>
                </w:p>
              </w:tc>
              <w:tc>
                <w:tcPr>
                  <w:tcW w:w="232" w:type="pct"/>
                  <w:noWrap/>
                  <w:vAlign w:val="center"/>
                </w:tcPr>
                <w:p w14:paraId="0202245C">
                  <w:pPr>
                    <w:spacing w:line="276" w:lineRule="auto"/>
                    <w:jc w:val="center"/>
                    <w:rPr>
                      <w:sz w:val="21"/>
                      <w:szCs w:val="21"/>
                    </w:rPr>
                  </w:pPr>
                  <w:r>
                    <w:rPr>
                      <w:rFonts w:hint="eastAsia"/>
                      <w:sz w:val="21"/>
                      <w:szCs w:val="21"/>
                    </w:rPr>
                    <w:t>1m</w:t>
                  </w:r>
                </w:p>
              </w:tc>
            </w:tr>
            <w:tr w14:paraId="397D2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noWrap/>
                  <w:vAlign w:val="center"/>
                </w:tcPr>
                <w:p w14:paraId="754B95A5">
                  <w:pPr>
                    <w:spacing w:line="276" w:lineRule="auto"/>
                    <w:jc w:val="center"/>
                    <w:rPr>
                      <w:sz w:val="21"/>
                      <w:szCs w:val="21"/>
                    </w:rPr>
                  </w:pPr>
                  <w:r>
                    <w:rPr>
                      <w:rFonts w:hint="eastAsia"/>
                      <w:sz w:val="21"/>
                      <w:szCs w:val="21"/>
                    </w:rPr>
                    <w:t>涂胶区</w:t>
                  </w:r>
                </w:p>
              </w:tc>
              <w:tc>
                <w:tcPr>
                  <w:tcW w:w="456" w:type="pct"/>
                  <w:noWrap/>
                  <w:vAlign w:val="center"/>
                </w:tcPr>
                <w:p w14:paraId="57CEE851">
                  <w:pPr>
                    <w:spacing w:line="276" w:lineRule="auto"/>
                    <w:jc w:val="center"/>
                    <w:rPr>
                      <w:sz w:val="21"/>
                      <w:szCs w:val="21"/>
                    </w:rPr>
                  </w:pPr>
                  <w:r>
                    <w:rPr>
                      <w:rFonts w:hint="eastAsia"/>
                      <w:sz w:val="21"/>
                      <w:szCs w:val="21"/>
                    </w:rPr>
                    <w:t>涂胶机×6</w:t>
                  </w:r>
                </w:p>
              </w:tc>
              <w:tc>
                <w:tcPr>
                  <w:tcW w:w="327" w:type="pct"/>
                  <w:noWrap/>
                  <w:vAlign w:val="center"/>
                </w:tcPr>
                <w:p w14:paraId="71223730">
                  <w:pPr>
                    <w:spacing w:line="276" w:lineRule="auto"/>
                    <w:jc w:val="center"/>
                    <w:rPr>
                      <w:sz w:val="21"/>
                      <w:szCs w:val="21"/>
                    </w:rPr>
                  </w:pPr>
                  <w:r>
                    <w:rPr>
                      <w:rFonts w:hint="eastAsia"/>
                      <w:sz w:val="21"/>
                      <w:szCs w:val="21"/>
                    </w:rPr>
                    <w:t>83（叠加）</w:t>
                  </w:r>
                </w:p>
              </w:tc>
              <w:tc>
                <w:tcPr>
                  <w:tcW w:w="198" w:type="pct"/>
                  <w:vMerge w:val="continue"/>
                  <w:noWrap/>
                  <w:vAlign w:val="center"/>
                </w:tcPr>
                <w:p w14:paraId="042B9BFE">
                  <w:pPr>
                    <w:spacing w:line="276" w:lineRule="auto"/>
                    <w:jc w:val="center"/>
                    <w:rPr>
                      <w:sz w:val="21"/>
                      <w:szCs w:val="21"/>
                    </w:rPr>
                  </w:pPr>
                </w:p>
              </w:tc>
              <w:tc>
                <w:tcPr>
                  <w:tcW w:w="210" w:type="pct"/>
                  <w:tcBorders>
                    <w:top w:val="single" w:color="auto" w:sz="4" w:space="0"/>
                    <w:bottom w:val="single" w:color="auto" w:sz="4" w:space="0"/>
                  </w:tcBorders>
                  <w:noWrap/>
                  <w:vAlign w:val="center"/>
                </w:tcPr>
                <w:p w14:paraId="1774B260">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2C81CAB1">
                  <w:pPr>
                    <w:spacing w:line="276" w:lineRule="auto"/>
                    <w:jc w:val="center"/>
                    <w:rPr>
                      <w:sz w:val="21"/>
                      <w:szCs w:val="21"/>
                    </w:rPr>
                  </w:pPr>
                  <w:r>
                    <w:rPr>
                      <w:rFonts w:hint="eastAsia"/>
                      <w:sz w:val="21"/>
                      <w:szCs w:val="21"/>
                    </w:rPr>
                    <w:t>60</w:t>
                  </w:r>
                </w:p>
              </w:tc>
              <w:tc>
                <w:tcPr>
                  <w:tcW w:w="210" w:type="pct"/>
                  <w:tcBorders>
                    <w:top w:val="single" w:color="auto" w:sz="4" w:space="0"/>
                    <w:bottom w:val="single" w:color="auto" w:sz="4" w:space="0"/>
                  </w:tcBorders>
                  <w:noWrap/>
                  <w:vAlign w:val="center"/>
                </w:tcPr>
                <w:p w14:paraId="28F4F82C">
                  <w:pPr>
                    <w:spacing w:line="276" w:lineRule="auto"/>
                    <w:jc w:val="center"/>
                    <w:rPr>
                      <w:sz w:val="21"/>
                      <w:szCs w:val="21"/>
                    </w:rPr>
                  </w:pPr>
                  <w:r>
                    <w:rPr>
                      <w:rFonts w:hint="eastAsia"/>
                      <w:sz w:val="21"/>
                      <w:szCs w:val="21"/>
                    </w:rPr>
                    <w:t>1.5</w:t>
                  </w:r>
                </w:p>
              </w:tc>
              <w:tc>
                <w:tcPr>
                  <w:tcW w:w="210" w:type="pct"/>
                  <w:noWrap/>
                  <w:vAlign w:val="center"/>
                </w:tcPr>
                <w:p w14:paraId="6C483D18">
                  <w:pPr>
                    <w:jc w:val="center"/>
                    <w:rPr>
                      <w:sz w:val="21"/>
                      <w:szCs w:val="21"/>
                    </w:rPr>
                  </w:pPr>
                  <w:r>
                    <w:rPr>
                      <w:rFonts w:hint="eastAsia"/>
                      <w:sz w:val="21"/>
                      <w:szCs w:val="21"/>
                    </w:rPr>
                    <w:t>12</w:t>
                  </w:r>
                </w:p>
              </w:tc>
              <w:tc>
                <w:tcPr>
                  <w:tcW w:w="210" w:type="pct"/>
                  <w:noWrap/>
                  <w:vAlign w:val="center"/>
                </w:tcPr>
                <w:p w14:paraId="65B60F7D">
                  <w:pPr>
                    <w:jc w:val="center"/>
                    <w:rPr>
                      <w:sz w:val="21"/>
                      <w:szCs w:val="21"/>
                    </w:rPr>
                  </w:pPr>
                  <w:r>
                    <w:rPr>
                      <w:rFonts w:hint="eastAsia"/>
                      <w:sz w:val="21"/>
                      <w:szCs w:val="21"/>
                    </w:rPr>
                    <w:t>160</w:t>
                  </w:r>
                </w:p>
              </w:tc>
              <w:tc>
                <w:tcPr>
                  <w:tcW w:w="210" w:type="pct"/>
                  <w:noWrap/>
                  <w:vAlign w:val="center"/>
                </w:tcPr>
                <w:p w14:paraId="3C13069E">
                  <w:pPr>
                    <w:jc w:val="center"/>
                    <w:rPr>
                      <w:sz w:val="21"/>
                      <w:szCs w:val="21"/>
                    </w:rPr>
                  </w:pPr>
                  <w:r>
                    <w:rPr>
                      <w:rFonts w:hint="eastAsia"/>
                      <w:sz w:val="21"/>
                      <w:szCs w:val="21"/>
                    </w:rPr>
                    <w:t>48</w:t>
                  </w:r>
                </w:p>
              </w:tc>
              <w:tc>
                <w:tcPr>
                  <w:tcW w:w="210" w:type="pct"/>
                  <w:noWrap/>
                  <w:vAlign w:val="center"/>
                </w:tcPr>
                <w:p w14:paraId="7FB2560B">
                  <w:pPr>
                    <w:jc w:val="center"/>
                    <w:rPr>
                      <w:sz w:val="21"/>
                      <w:szCs w:val="21"/>
                    </w:rPr>
                  </w:pPr>
                  <w:r>
                    <w:rPr>
                      <w:rFonts w:hint="eastAsia"/>
                      <w:sz w:val="21"/>
                      <w:szCs w:val="21"/>
                    </w:rPr>
                    <w:t>40</w:t>
                  </w:r>
                </w:p>
              </w:tc>
              <w:tc>
                <w:tcPr>
                  <w:tcW w:w="210" w:type="pct"/>
                  <w:noWrap/>
                  <w:vAlign w:val="center"/>
                </w:tcPr>
                <w:p w14:paraId="78BC77FA">
                  <w:pPr>
                    <w:spacing w:line="276" w:lineRule="auto"/>
                    <w:jc w:val="center"/>
                    <w:rPr>
                      <w:sz w:val="21"/>
                      <w:szCs w:val="21"/>
                    </w:rPr>
                  </w:pPr>
                  <w:r>
                    <w:rPr>
                      <w:rFonts w:hint="eastAsia"/>
                      <w:sz w:val="21"/>
                      <w:szCs w:val="21"/>
                    </w:rPr>
                    <w:t>61</w:t>
                  </w:r>
                </w:p>
              </w:tc>
              <w:tc>
                <w:tcPr>
                  <w:tcW w:w="210" w:type="pct"/>
                  <w:noWrap/>
                  <w:vAlign w:val="center"/>
                </w:tcPr>
                <w:p w14:paraId="010944B0">
                  <w:pPr>
                    <w:spacing w:line="276" w:lineRule="auto"/>
                    <w:jc w:val="center"/>
                    <w:rPr>
                      <w:sz w:val="21"/>
                      <w:szCs w:val="21"/>
                    </w:rPr>
                  </w:pPr>
                  <w:r>
                    <w:rPr>
                      <w:rFonts w:hint="eastAsia"/>
                      <w:sz w:val="21"/>
                      <w:szCs w:val="21"/>
                    </w:rPr>
                    <w:t>39</w:t>
                  </w:r>
                </w:p>
              </w:tc>
              <w:tc>
                <w:tcPr>
                  <w:tcW w:w="210" w:type="pct"/>
                  <w:noWrap/>
                  <w:vAlign w:val="center"/>
                </w:tcPr>
                <w:p w14:paraId="16B7756A">
                  <w:pPr>
                    <w:spacing w:line="276" w:lineRule="auto"/>
                    <w:jc w:val="center"/>
                    <w:rPr>
                      <w:sz w:val="21"/>
                      <w:szCs w:val="21"/>
                    </w:rPr>
                  </w:pPr>
                  <w:r>
                    <w:rPr>
                      <w:rFonts w:hint="eastAsia"/>
                      <w:sz w:val="21"/>
                      <w:szCs w:val="21"/>
                    </w:rPr>
                    <w:t>49</w:t>
                  </w:r>
                </w:p>
              </w:tc>
              <w:tc>
                <w:tcPr>
                  <w:tcW w:w="213" w:type="pct"/>
                  <w:noWrap/>
                  <w:vAlign w:val="center"/>
                </w:tcPr>
                <w:p w14:paraId="68435405">
                  <w:pPr>
                    <w:spacing w:line="276" w:lineRule="auto"/>
                    <w:jc w:val="center"/>
                    <w:rPr>
                      <w:sz w:val="21"/>
                      <w:szCs w:val="21"/>
                    </w:rPr>
                  </w:pPr>
                  <w:r>
                    <w:rPr>
                      <w:rFonts w:hint="eastAsia"/>
                      <w:sz w:val="21"/>
                      <w:szCs w:val="21"/>
                    </w:rPr>
                    <w:t>51</w:t>
                  </w:r>
                </w:p>
              </w:tc>
              <w:tc>
                <w:tcPr>
                  <w:tcW w:w="209" w:type="pct"/>
                  <w:vMerge w:val="continue"/>
                  <w:noWrap/>
                  <w:vAlign w:val="center"/>
                </w:tcPr>
                <w:p w14:paraId="789A7B3E">
                  <w:pPr>
                    <w:spacing w:line="276" w:lineRule="auto"/>
                    <w:jc w:val="center"/>
                    <w:rPr>
                      <w:sz w:val="21"/>
                      <w:szCs w:val="21"/>
                    </w:rPr>
                  </w:pPr>
                </w:p>
              </w:tc>
              <w:tc>
                <w:tcPr>
                  <w:tcW w:w="280" w:type="pct"/>
                  <w:noWrap/>
                  <w:vAlign w:val="center"/>
                </w:tcPr>
                <w:p w14:paraId="64AF888C">
                  <w:pPr>
                    <w:spacing w:line="276" w:lineRule="auto"/>
                    <w:jc w:val="center"/>
                    <w:rPr>
                      <w:sz w:val="21"/>
                      <w:szCs w:val="21"/>
                    </w:rPr>
                  </w:pPr>
                  <w:r>
                    <w:rPr>
                      <w:rFonts w:hint="eastAsia"/>
                      <w:sz w:val="21"/>
                      <w:szCs w:val="21"/>
                    </w:rPr>
                    <w:t>15</w:t>
                  </w:r>
                </w:p>
              </w:tc>
              <w:tc>
                <w:tcPr>
                  <w:tcW w:w="178" w:type="pct"/>
                  <w:noWrap/>
                  <w:vAlign w:val="center"/>
                </w:tcPr>
                <w:p w14:paraId="507DB10C">
                  <w:pPr>
                    <w:spacing w:line="276" w:lineRule="auto"/>
                    <w:jc w:val="center"/>
                    <w:rPr>
                      <w:sz w:val="21"/>
                      <w:szCs w:val="21"/>
                    </w:rPr>
                  </w:pPr>
                  <w:r>
                    <w:rPr>
                      <w:rFonts w:hint="eastAsia"/>
                      <w:sz w:val="21"/>
                      <w:szCs w:val="21"/>
                    </w:rPr>
                    <w:t>46</w:t>
                  </w:r>
                </w:p>
              </w:tc>
              <w:tc>
                <w:tcPr>
                  <w:tcW w:w="178" w:type="pct"/>
                  <w:noWrap/>
                  <w:vAlign w:val="center"/>
                </w:tcPr>
                <w:p w14:paraId="41A3BC6D">
                  <w:pPr>
                    <w:spacing w:line="276" w:lineRule="auto"/>
                    <w:jc w:val="center"/>
                    <w:rPr>
                      <w:sz w:val="21"/>
                      <w:szCs w:val="21"/>
                    </w:rPr>
                  </w:pPr>
                  <w:r>
                    <w:rPr>
                      <w:rFonts w:hint="eastAsia"/>
                      <w:sz w:val="21"/>
                      <w:szCs w:val="21"/>
                    </w:rPr>
                    <w:t>24</w:t>
                  </w:r>
                </w:p>
              </w:tc>
              <w:tc>
                <w:tcPr>
                  <w:tcW w:w="178" w:type="pct"/>
                  <w:noWrap/>
                  <w:vAlign w:val="center"/>
                </w:tcPr>
                <w:p w14:paraId="57C543CE">
                  <w:pPr>
                    <w:spacing w:line="276" w:lineRule="auto"/>
                    <w:jc w:val="center"/>
                    <w:rPr>
                      <w:sz w:val="21"/>
                      <w:szCs w:val="21"/>
                    </w:rPr>
                  </w:pPr>
                  <w:r>
                    <w:rPr>
                      <w:rFonts w:hint="eastAsia"/>
                      <w:sz w:val="21"/>
                      <w:szCs w:val="21"/>
                    </w:rPr>
                    <w:t>34</w:t>
                  </w:r>
                </w:p>
              </w:tc>
              <w:tc>
                <w:tcPr>
                  <w:tcW w:w="178" w:type="pct"/>
                  <w:noWrap/>
                  <w:vAlign w:val="center"/>
                </w:tcPr>
                <w:p w14:paraId="42732207">
                  <w:pPr>
                    <w:spacing w:line="276" w:lineRule="auto"/>
                    <w:jc w:val="center"/>
                    <w:rPr>
                      <w:sz w:val="21"/>
                      <w:szCs w:val="21"/>
                    </w:rPr>
                  </w:pPr>
                  <w:r>
                    <w:rPr>
                      <w:rFonts w:hint="eastAsia"/>
                      <w:sz w:val="21"/>
                      <w:szCs w:val="21"/>
                    </w:rPr>
                    <w:t>36</w:t>
                  </w:r>
                </w:p>
              </w:tc>
              <w:tc>
                <w:tcPr>
                  <w:tcW w:w="232" w:type="pct"/>
                  <w:noWrap/>
                  <w:vAlign w:val="center"/>
                </w:tcPr>
                <w:p w14:paraId="7ACCE3E6">
                  <w:pPr>
                    <w:spacing w:line="276" w:lineRule="auto"/>
                    <w:jc w:val="center"/>
                    <w:rPr>
                      <w:sz w:val="21"/>
                      <w:szCs w:val="21"/>
                    </w:rPr>
                  </w:pPr>
                  <w:r>
                    <w:rPr>
                      <w:rFonts w:hint="eastAsia"/>
                      <w:sz w:val="21"/>
                      <w:szCs w:val="21"/>
                    </w:rPr>
                    <w:t>1m</w:t>
                  </w:r>
                </w:p>
              </w:tc>
            </w:tr>
            <w:tr w14:paraId="606966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5132C89E">
                  <w:pPr>
                    <w:spacing w:line="276" w:lineRule="auto"/>
                    <w:jc w:val="center"/>
                    <w:rPr>
                      <w:sz w:val="21"/>
                      <w:szCs w:val="21"/>
                    </w:rPr>
                  </w:pPr>
                  <w:r>
                    <w:rPr>
                      <w:rFonts w:hint="eastAsia"/>
                      <w:sz w:val="21"/>
                      <w:szCs w:val="21"/>
                    </w:rPr>
                    <w:t>硫化注胶区</w:t>
                  </w:r>
                </w:p>
              </w:tc>
              <w:tc>
                <w:tcPr>
                  <w:tcW w:w="456" w:type="pct"/>
                  <w:noWrap/>
                  <w:vAlign w:val="center"/>
                </w:tcPr>
                <w:p w14:paraId="05136D11">
                  <w:pPr>
                    <w:spacing w:line="276" w:lineRule="auto"/>
                    <w:jc w:val="center"/>
                    <w:rPr>
                      <w:sz w:val="21"/>
                      <w:szCs w:val="21"/>
                    </w:rPr>
                  </w:pPr>
                  <w:r>
                    <w:rPr>
                      <w:rFonts w:hint="eastAsia"/>
                      <w:sz w:val="21"/>
                      <w:szCs w:val="21"/>
                    </w:rPr>
                    <w:t>硫化注射机×12</w:t>
                  </w:r>
                </w:p>
              </w:tc>
              <w:tc>
                <w:tcPr>
                  <w:tcW w:w="327" w:type="pct"/>
                  <w:noWrap/>
                  <w:vAlign w:val="center"/>
                </w:tcPr>
                <w:p w14:paraId="3D8B08AA">
                  <w:pPr>
                    <w:spacing w:line="276" w:lineRule="auto"/>
                    <w:jc w:val="center"/>
                    <w:rPr>
                      <w:sz w:val="21"/>
                      <w:szCs w:val="21"/>
                    </w:rPr>
                  </w:pPr>
                  <w:r>
                    <w:rPr>
                      <w:rFonts w:hint="eastAsia"/>
                      <w:sz w:val="21"/>
                      <w:szCs w:val="21"/>
                    </w:rPr>
                    <w:t>86（叠加）</w:t>
                  </w:r>
                </w:p>
              </w:tc>
              <w:tc>
                <w:tcPr>
                  <w:tcW w:w="198" w:type="pct"/>
                  <w:vMerge w:val="continue"/>
                  <w:noWrap/>
                  <w:vAlign w:val="center"/>
                </w:tcPr>
                <w:p w14:paraId="325EB7F1">
                  <w:pPr>
                    <w:spacing w:line="276" w:lineRule="auto"/>
                    <w:jc w:val="center"/>
                    <w:rPr>
                      <w:sz w:val="21"/>
                      <w:szCs w:val="21"/>
                    </w:rPr>
                  </w:pPr>
                </w:p>
              </w:tc>
              <w:tc>
                <w:tcPr>
                  <w:tcW w:w="210" w:type="pct"/>
                  <w:tcBorders>
                    <w:top w:val="single" w:color="auto" w:sz="4" w:space="0"/>
                    <w:bottom w:val="single" w:color="auto" w:sz="4" w:space="0"/>
                  </w:tcBorders>
                  <w:noWrap/>
                  <w:vAlign w:val="center"/>
                </w:tcPr>
                <w:p w14:paraId="6ED7C523">
                  <w:pPr>
                    <w:spacing w:line="276" w:lineRule="auto"/>
                    <w:jc w:val="center"/>
                    <w:rPr>
                      <w:sz w:val="21"/>
                      <w:szCs w:val="21"/>
                    </w:rPr>
                  </w:pPr>
                  <w:r>
                    <w:rPr>
                      <w:rFonts w:hint="eastAsia"/>
                      <w:sz w:val="21"/>
                      <w:szCs w:val="21"/>
                    </w:rPr>
                    <w:t>12</w:t>
                  </w:r>
                </w:p>
              </w:tc>
              <w:tc>
                <w:tcPr>
                  <w:tcW w:w="210" w:type="pct"/>
                  <w:tcBorders>
                    <w:top w:val="single" w:color="auto" w:sz="4" w:space="0"/>
                    <w:bottom w:val="single" w:color="auto" w:sz="4" w:space="0"/>
                  </w:tcBorders>
                  <w:noWrap/>
                  <w:vAlign w:val="center"/>
                </w:tcPr>
                <w:p w14:paraId="48DF546E">
                  <w:pPr>
                    <w:spacing w:line="276" w:lineRule="auto"/>
                    <w:jc w:val="center"/>
                    <w:rPr>
                      <w:sz w:val="21"/>
                      <w:szCs w:val="21"/>
                    </w:rPr>
                  </w:pPr>
                  <w:r>
                    <w:rPr>
                      <w:rFonts w:hint="eastAsia"/>
                      <w:sz w:val="21"/>
                      <w:szCs w:val="21"/>
                    </w:rPr>
                    <w:t>60</w:t>
                  </w:r>
                </w:p>
              </w:tc>
              <w:tc>
                <w:tcPr>
                  <w:tcW w:w="210" w:type="pct"/>
                  <w:tcBorders>
                    <w:top w:val="single" w:color="auto" w:sz="4" w:space="0"/>
                    <w:bottom w:val="single" w:color="auto" w:sz="4" w:space="0"/>
                  </w:tcBorders>
                  <w:noWrap/>
                  <w:vAlign w:val="center"/>
                </w:tcPr>
                <w:p w14:paraId="711F50DE">
                  <w:pPr>
                    <w:spacing w:line="276" w:lineRule="auto"/>
                    <w:jc w:val="center"/>
                    <w:rPr>
                      <w:sz w:val="21"/>
                      <w:szCs w:val="21"/>
                    </w:rPr>
                  </w:pPr>
                  <w:r>
                    <w:rPr>
                      <w:rFonts w:hint="eastAsia"/>
                      <w:sz w:val="21"/>
                      <w:szCs w:val="21"/>
                    </w:rPr>
                    <w:t>1.5</w:t>
                  </w:r>
                </w:p>
              </w:tc>
              <w:tc>
                <w:tcPr>
                  <w:tcW w:w="210" w:type="pct"/>
                  <w:noWrap/>
                  <w:vAlign w:val="center"/>
                </w:tcPr>
                <w:p w14:paraId="2DE1DE0F">
                  <w:pPr>
                    <w:jc w:val="center"/>
                    <w:rPr>
                      <w:sz w:val="21"/>
                      <w:szCs w:val="21"/>
                    </w:rPr>
                  </w:pPr>
                  <w:r>
                    <w:rPr>
                      <w:rFonts w:hint="eastAsia"/>
                      <w:sz w:val="21"/>
                      <w:szCs w:val="21"/>
                    </w:rPr>
                    <w:t>12</w:t>
                  </w:r>
                </w:p>
              </w:tc>
              <w:tc>
                <w:tcPr>
                  <w:tcW w:w="210" w:type="pct"/>
                  <w:noWrap/>
                  <w:vAlign w:val="center"/>
                </w:tcPr>
                <w:p w14:paraId="4024FF37">
                  <w:pPr>
                    <w:jc w:val="center"/>
                    <w:rPr>
                      <w:sz w:val="21"/>
                      <w:szCs w:val="21"/>
                    </w:rPr>
                  </w:pPr>
                  <w:r>
                    <w:rPr>
                      <w:rFonts w:hint="eastAsia"/>
                      <w:sz w:val="21"/>
                      <w:szCs w:val="21"/>
                    </w:rPr>
                    <w:t>160</w:t>
                  </w:r>
                </w:p>
              </w:tc>
              <w:tc>
                <w:tcPr>
                  <w:tcW w:w="210" w:type="pct"/>
                  <w:noWrap/>
                  <w:vAlign w:val="center"/>
                </w:tcPr>
                <w:p w14:paraId="4A041366">
                  <w:pPr>
                    <w:jc w:val="center"/>
                    <w:rPr>
                      <w:sz w:val="21"/>
                      <w:szCs w:val="21"/>
                    </w:rPr>
                  </w:pPr>
                  <w:r>
                    <w:rPr>
                      <w:rFonts w:hint="eastAsia"/>
                      <w:sz w:val="21"/>
                      <w:szCs w:val="21"/>
                    </w:rPr>
                    <w:t>48</w:t>
                  </w:r>
                </w:p>
              </w:tc>
              <w:tc>
                <w:tcPr>
                  <w:tcW w:w="210" w:type="pct"/>
                  <w:noWrap/>
                  <w:vAlign w:val="center"/>
                </w:tcPr>
                <w:p w14:paraId="45DBF4D7">
                  <w:pPr>
                    <w:jc w:val="center"/>
                    <w:rPr>
                      <w:sz w:val="21"/>
                      <w:szCs w:val="21"/>
                    </w:rPr>
                  </w:pPr>
                  <w:r>
                    <w:rPr>
                      <w:rFonts w:hint="eastAsia"/>
                      <w:sz w:val="21"/>
                      <w:szCs w:val="21"/>
                    </w:rPr>
                    <w:t>40</w:t>
                  </w:r>
                </w:p>
              </w:tc>
              <w:tc>
                <w:tcPr>
                  <w:tcW w:w="210" w:type="pct"/>
                  <w:noWrap/>
                  <w:vAlign w:val="center"/>
                </w:tcPr>
                <w:p w14:paraId="49CC4EA5">
                  <w:pPr>
                    <w:spacing w:line="276" w:lineRule="auto"/>
                    <w:jc w:val="center"/>
                    <w:rPr>
                      <w:sz w:val="21"/>
                      <w:szCs w:val="21"/>
                    </w:rPr>
                  </w:pPr>
                  <w:r>
                    <w:rPr>
                      <w:rFonts w:hint="eastAsia"/>
                      <w:sz w:val="21"/>
                      <w:szCs w:val="21"/>
                    </w:rPr>
                    <w:t>64</w:t>
                  </w:r>
                </w:p>
              </w:tc>
              <w:tc>
                <w:tcPr>
                  <w:tcW w:w="210" w:type="pct"/>
                  <w:noWrap/>
                  <w:vAlign w:val="center"/>
                </w:tcPr>
                <w:p w14:paraId="2284FE92">
                  <w:pPr>
                    <w:spacing w:line="276" w:lineRule="auto"/>
                    <w:jc w:val="center"/>
                    <w:rPr>
                      <w:sz w:val="21"/>
                      <w:szCs w:val="21"/>
                    </w:rPr>
                  </w:pPr>
                  <w:r>
                    <w:rPr>
                      <w:rFonts w:hint="eastAsia"/>
                      <w:sz w:val="21"/>
                      <w:szCs w:val="21"/>
                    </w:rPr>
                    <w:t>42</w:t>
                  </w:r>
                </w:p>
              </w:tc>
              <w:tc>
                <w:tcPr>
                  <w:tcW w:w="210" w:type="pct"/>
                  <w:noWrap/>
                  <w:vAlign w:val="center"/>
                </w:tcPr>
                <w:p w14:paraId="3522A313">
                  <w:pPr>
                    <w:spacing w:line="276" w:lineRule="auto"/>
                    <w:jc w:val="center"/>
                    <w:rPr>
                      <w:sz w:val="21"/>
                      <w:szCs w:val="21"/>
                    </w:rPr>
                  </w:pPr>
                  <w:r>
                    <w:rPr>
                      <w:rFonts w:hint="eastAsia"/>
                      <w:sz w:val="21"/>
                      <w:szCs w:val="21"/>
                    </w:rPr>
                    <w:t>52</w:t>
                  </w:r>
                </w:p>
              </w:tc>
              <w:tc>
                <w:tcPr>
                  <w:tcW w:w="213" w:type="pct"/>
                  <w:noWrap/>
                  <w:vAlign w:val="center"/>
                </w:tcPr>
                <w:p w14:paraId="63D6CB6D">
                  <w:pPr>
                    <w:spacing w:line="276" w:lineRule="auto"/>
                    <w:jc w:val="center"/>
                    <w:rPr>
                      <w:sz w:val="21"/>
                      <w:szCs w:val="21"/>
                    </w:rPr>
                  </w:pPr>
                  <w:r>
                    <w:rPr>
                      <w:rFonts w:hint="eastAsia"/>
                      <w:sz w:val="21"/>
                      <w:szCs w:val="21"/>
                    </w:rPr>
                    <w:t>54</w:t>
                  </w:r>
                </w:p>
              </w:tc>
              <w:tc>
                <w:tcPr>
                  <w:tcW w:w="209" w:type="pct"/>
                  <w:vMerge w:val="continue"/>
                  <w:noWrap/>
                  <w:vAlign w:val="center"/>
                </w:tcPr>
                <w:p w14:paraId="2E438E12">
                  <w:pPr>
                    <w:spacing w:line="276" w:lineRule="auto"/>
                    <w:jc w:val="center"/>
                    <w:rPr>
                      <w:sz w:val="21"/>
                      <w:szCs w:val="21"/>
                    </w:rPr>
                  </w:pPr>
                </w:p>
              </w:tc>
              <w:tc>
                <w:tcPr>
                  <w:tcW w:w="280" w:type="pct"/>
                  <w:noWrap/>
                  <w:vAlign w:val="center"/>
                </w:tcPr>
                <w:p w14:paraId="6AA71216">
                  <w:pPr>
                    <w:spacing w:line="276" w:lineRule="auto"/>
                    <w:jc w:val="center"/>
                    <w:rPr>
                      <w:sz w:val="21"/>
                      <w:szCs w:val="21"/>
                    </w:rPr>
                  </w:pPr>
                  <w:r>
                    <w:rPr>
                      <w:rFonts w:hint="eastAsia"/>
                      <w:sz w:val="21"/>
                      <w:szCs w:val="21"/>
                    </w:rPr>
                    <w:t>15</w:t>
                  </w:r>
                </w:p>
              </w:tc>
              <w:tc>
                <w:tcPr>
                  <w:tcW w:w="178" w:type="pct"/>
                  <w:noWrap/>
                  <w:vAlign w:val="center"/>
                </w:tcPr>
                <w:p w14:paraId="412167A8">
                  <w:pPr>
                    <w:spacing w:line="276" w:lineRule="auto"/>
                    <w:jc w:val="center"/>
                    <w:rPr>
                      <w:sz w:val="21"/>
                      <w:szCs w:val="21"/>
                    </w:rPr>
                  </w:pPr>
                  <w:r>
                    <w:rPr>
                      <w:rFonts w:hint="eastAsia"/>
                      <w:sz w:val="21"/>
                      <w:szCs w:val="21"/>
                    </w:rPr>
                    <w:t>49</w:t>
                  </w:r>
                </w:p>
              </w:tc>
              <w:tc>
                <w:tcPr>
                  <w:tcW w:w="178" w:type="pct"/>
                  <w:noWrap/>
                  <w:vAlign w:val="center"/>
                </w:tcPr>
                <w:p w14:paraId="321FFC63">
                  <w:pPr>
                    <w:spacing w:line="276" w:lineRule="auto"/>
                    <w:jc w:val="center"/>
                    <w:rPr>
                      <w:sz w:val="21"/>
                      <w:szCs w:val="21"/>
                    </w:rPr>
                  </w:pPr>
                  <w:r>
                    <w:rPr>
                      <w:rFonts w:hint="eastAsia"/>
                      <w:sz w:val="21"/>
                      <w:szCs w:val="21"/>
                    </w:rPr>
                    <w:t>27</w:t>
                  </w:r>
                </w:p>
              </w:tc>
              <w:tc>
                <w:tcPr>
                  <w:tcW w:w="178" w:type="pct"/>
                  <w:noWrap/>
                  <w:vAlign w:val="center"/>
                </w:tcPr>
                <w:p w14:paraId="41CFAA5A">
                  <w:pPr>
                    <w:spacing w:line="276" w:lineRule="auto"/>
                    <w:jc w:val="center"/>
                    <w:rPr>
                      <w:sz w:val="21"/>
                      <w:szCs w:val="21"/>
                    </w:rPr>
                  </w:pPr>
                  <w:r>
                    <w:rPr>
                      <w:rFonts w:hint="eastAsia"/>
                      <w:sz w:val="21"/>
                      <w:szCs w:val="21"/>
                    </w:rPr>
                    <w:t>37</w:t>
                  </w:r>
                </w:p>
              </w:tc>
              <w:tc>
                <w:tcPr>
                  <w:tcW w:w="178" w:type="pct"/>
                  <w:noWrap/>
                  <w:vAlign w:val="center"/>
                </w:tcPr>
                <w:p w14:paraId="47E36487">
                  <w:pPr>
                    <w:spacing w:line="276" w:lineRule="auto"/>
                    <w:jc w:val="center"/>
                    <w:rPr>
                      <w:sz w:val="21"/>
                      <w:szCs w:val="21"/>
                    </w:rPr>
                  </w:pPr>
                  <w:r>
                    <w:rPr>
                      <w:rFonts w:hint="eastAsia"/>
                      <w:sz w:val="21"/>
                      <w:szCs w:val="21"/>
                    </w:rPr>
                    <w:t>39</w:t>
                  </w:r>
                </w:p>
              </w:tc>
              <w:tc>
                <w:tcPr>
                  <w:tcW w:w="232" w:type="pct"/>
                  <w:noWrap/>
                  <w:vAlign w:val="center"/>
                </w:tcPr>
                <w:p w14:paraId="4DD09457">
                  <w:pPr>
                    <w:spacing w:line="276" w:lineRule="auto"/>
                    <w:jc w:val="center"/>
                    <w:rPr>
                      <w:sz w:val="21"/>
                      <w:szCs w:val="21"/>
                    </w:rPr>
                  </w:pPr>
                  <w:r>
                    <w:rPr>
                      <w:rFonts w:hint="eastAsia"/>
                      <w:sz w:val="21"/>
                      <w:szCs w:val="21"/>
                    </w:rPr>
                    <w:t>1m</w:t>
                  </w:r>
                </w:p>
              </w:tc>
            </w:tr>
            <w:tr w14:paraId="23A9A3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5529D98">
                  <w:pPr>
                    <w:spacing w:line="276" w:lineRule="auto"/>
                    <w:jc w:val="center"/>
                    <w:rPr>
                      <w:sz w:val="21"/>
                      <w:szCs w:val="21"/>
                    </w:rPr>
                  </w:pPr>
                </w:p>
              </w:tc>
              <w:tc>
                <w:tcPr>
                  <w:tcW w:w="456" w:type="pct"/>
                  <w:noWrap/>
                  <w:vAlign w:val="center"/>
                </w:tcPr>
                <w:p w14:paraId="6C4E9554">
                  <w:pPr>
                    <w:spacing w:line="276" w:lineRule="auto"/>
                    <w:jc w:val="center"/>
                    <w:rPr>
                      <w:bCs/>
                      <w:sz w:val="21"/>
                      <w:szCs w:val="21"/>
                    </w:rPr>
                  </w:pPr>
                  <w:r>
                    <w:rPr>
                      <w:rFonts w:hint="eastAsia"/>
                      <w:sz w:val="21"/>
                      <w:szCs w:val="21"/>
                    </w:rPr>
                    <w:t>硫化立式注压机×1</w:t>
                  </w:r>
                </w:p>
              </w:tc>
              <w:tc>
                <w:tcPr>
                  <w:tcW w:w="327" w:type="pct"/>
                  <w:noWrap/>
                  <w:vAlign w:val="center"/>
                </w:tcPr>
                <w:p w14:paraId="61071BB1">
                  <w:pPr>
                    <w:spacing w:line="276" w:lineRule="auto"/>
                    <w:jc w:val="center"/>
                    <w:rPr>
                      <w:sz w:val="21"/>
                      <w:szCs w:val="21"/>
                    </w:rPr>
                  </w:pPr>
                  <w:r>
                    <w:rPr>
                      <w:rFonts w:hint="eastAsia"/>
                      <w:sz w:val="21"/>
                      <w:szCs w:val="21"/>
                    </w:rPr>
                    <w:t>75</w:t>
                  </w:r>
                </w:p>
              </w:tc>
              <w:tc>
                <w:tcPr>
                  <w:tcW w:w="198" w:type="pct"/>
                  <w:vMerge w:val="continue"/>
                  <w:noWrap/>
                  <w:vAlign w:val="center"/>
                </w:tcPr>
                <w:p w14:paraId="6D3FCFD2">
                  <w:pPr>
                    <w:spacing w:line="276" w:lineRule="auto"/>
                    <w:jc w:val="center"/>
                    <w:rPr>
                      <w:sz w:val="21"/>
                      <w:szCs w:val="21"/>
                    </w:rPr>
                  </w:pPr>
                </w:p>
              </w:tc>
              <w:tc>
                <w:tcPr>
                  <w:tcW w:w="210" w:type="pct"/>
                  <w:tcBorders>
                    <w:top w:val="single" w:color="auto" w:sz="4" w:space="0"/>
                    <w:bottom w:val="single" w:color="auto" w:sz="4" w:space="0"/>
                  </w:tcBorders>
                  <w:noWrap/>
                  <w:vAlign w:val="center"/>
                </w:tcPr>
                <w:p w14:paraId="0A5C28D2">
                  <w:pPr>
                    <w:spacing w:line="276" w:lineRule="auto"/>
                    <w:jc w:val="center"/>
                    <w:rPr>
                      <w:sz w:val="21"/>
                      <w:szCs w:val="21"/>
                    </w:rPr>
                  </w:pPr>
                  <w:r>
                    <w:rPr>
                      <w:rFonts w:hint="eastAsia"/>
                      <w:sz w:val="21"/>
                      <w:szCs w:val="21"/>
                    </w:rPr>
                    <w:t>12</w:t>
                  </w:r>
                </w:p>
              </w:tc>
              <w:tc>
                <w:tcPr>
                  <w:tcW w:w="210" w:type="pct"/>
                  <w:tcBorders>
                    <w:top w:val="single" w:color="auto" w:sz="4" w:space="0"/>
                    <w:bottom w:val="single" w:color="auto" w:sz="4" w:space="0"/>
                  </w:tcBorders>
                  <w:noWrap/>
                  <w:vAlign w:val="center"/>
                </w:tcPr>
                <w:p w14:paraId="7E6DB38E">
                  <w:pPr>
                    <w:spacing w:line="276" w:lineRule="auto"/>
                    <w:jc w:val="center"/>
                    <w:rPr>
                      <w:sz w:val="21"/>
                      <w:szCs w:val="21"/>
                    </w:rPr>
                  </w:pPr>
                  <w:r>
                    <w:rPr>
                      <w:rFonts w:hint="eastAsia"/>
                      <w:sz w:val="21"/>
                      <w:szCs w:val="21"/>
                    </w:rPr>
                    <w:t>80</w:t>
                  </w:r>
                </w:p>
              </w:tc>
              <w:tc>
                <w:tcPr>
                  <w:tcW w:w="210" w:type="pct"/>
                  <w:tcBorders>
                    <w:top w:val="single" w:color="auto" w:sz="4" w:space="0"/>
                    <w:bottom w:val="single" w:color="auto" w:sz="4" w:space="0"/>
                  </w:tcBorders>
                  <w:noWrap/>
                  <w:vAlign w:val="center"/>
                </w:tcPr>
                <w:p w14:paraId="0B8B105A">
                  <w:pPr>
                    <w:spacing w:line="276" w:lineRule="auto"/>
                    <w:jc w:val="center"/>
                    <w:rPr>
                      <w:sz w:val="21"/>
                      <w:szCs w:val="21"/>
                    </w:rPr>
                  </w:pPr>
                  <w:r>
                    <w:rPr>
                      <w:rFonts w:hint="eastAsia"/>
                      <w:sz w:val="21"/>
                      <w:szCs w:val="21"/>
                    </w:rPr>
                    <w:t>1.5</w:t>
                  </w:r>
                </w:p>
              </w:tc>
              <w:tc>
                <w:tcPr>
                  <w:tcW w:w="210" w:type="pct"/>
                  <w:noWrap/>
                  <w:vAlign w:val="center"/>
                </w:tcPr>
                <w:p w14:paraId="0923EC1D">
                  <w:pPr>
                    <w:jc w:val="center"/>
                    <w:rPr>
                      <w:sz w:val="21"/>
                      <w:szCs w:val="21"/>
                    </w:rPr>
                  </w:pPr>
                  <w:r>
                    <w:rPr>
                      <w:rFonts w:hint="eastAsia"/>
                      <w:sz w:val="21"/>
                      <w:szCs w:val="21"/>
                    </w:rPr>
                    <w:t>18</w:t>
                  </w:r>
                </w:p>
              </w:tc>
              <w:tc>
                <w:tcPr>
                  <w:tcW w:w="210" w:type="pct"/>
                  <w:noWrap/>
                  <w:vAlign w:val="center"/>
                </w:tcPr>
                <w:p w14:paraId="57A73CBF">
                  <w:pPr>
                    <w:jc w:val="center"/>
                    <w:rPr>
                      <w:sz w:val="21"/>
                      <w:szCs w:val="21"/>
                    </w:rPr>
                  </w:pPr>
                  <w:r>
                    <w:rPr>
                      <w:rFonts w:hint="eastAsia"/>
                      <w:sz w:val="21"/>
                      <w:szCs w:val="21"/>
                    </w:rPr>
                    <w:t>180</w:t>
                  </w:r>
                </w:p>
              </w:tc>
              <w:tc>
                <w:tcPr>
                  <w:tcW w:w="210" w:type="pct"/>
                  <w:noWrap/>
                  <w:vAlign w:val="center"/>
                </w:tcPr>
                <w:p w14:paraId="33C72BA5">
                  <w:pPr>
                    <w:jc w:val="center"/>
                    <w:rPr>
                      <w:sz w:val="21"/>
                      <w:szCs w:val="21"/>
                    </w:rPr>
                  </w:pPr>
                  <w:r>
                    <w:rPr>
                      <w:rFonts w:hint="eastAsia"/>
                      <w:sz w:val="21"/>
                      <w:szCs w:val="21"/>
                    </w:rPr>
                    <w:t>42</w:t>
                  </w:r>
                </w:p>
              </w:tc>
              <w:tc>
                <w:tcPr>
                  <w:tcW w:w="210" w:type="pct"/>
                  <w:noWrap/>
                  <w:vAlign w:val="center"/>
                </w:tcPr>
                <w:p w14:paraId="3A4C0E88">
                  <w:pPr>
                    <w:jc w:val="center"/>
                    <w:rPr>
                      <w:sz w:val="21"/>
                      <w:szCs w:val="21"/>
                    </w:rPr>
                  </w:pPr>
                  <w:r>
                    <w:rPr>
                      <w:rFonts w:hint="eastAsia"/>
                      <w:sz w:val="21"/>
                      <w:szCs w:val="21"/>
                    </w:rPr>
                    <w:t>20</w:t>
                  </w:r>
                </w:p>
              </w:tc>
              <w:tc>
                <w:tcPr>
                  <w:tcW w:w="210" w:type="pct"/>
                  <w:noWrap/>
                  <w:vAlign w:val="center"/>
                </w:tcPr>
                <w:p w14:paraId="345A8346">
                  <w:pPr>
                    <w:spacing w:line="276" w:lineRule="auto"/>
                    <w:jc w:val="center"/>
                    <w:rPr>
                      <w:sz w:val="21"/>
                      <w:szCs w:val="21"/>
                    </w:rPr>
                  </w:pPr>
                  <w:r>
                    <w:rPr>
                      <w:rFonts w:hint="eastAsia"/>
                      <w:sz w:val="21"/>
                      <w:szCs w:val="21"/>
                    </w:rPr>
                    <w:t>50</w:t>
                  </w:r>
                </w:p>
              </w:tc>
              <w:tc>
                <w:tcPr>
                  <w:tcW w:w="210" w:type="pct"/>
                  <w:noWrap/>
                  <w:vAlign w:val="center"/>
                </w:tcPr>
                <w:p w14:paraId="72F65D7D">
                  <w:pPr>
                    <w:spacing w:line="276" w:lineRule="auto"/>
                    <w:jc w:val="center"/>
                    <w:rPr>
                      <w:sz w:val="21"/>
                      <w:szCs w:val="21"/>
                    </w:rPr>
                  </w:pPr>
                  <w:r>
                    <w:rPr>
                      <w:rFonts w:hint="eastAsia"/>
                      <w:sz w:val="21"/>
                      <w:szCs w:val="21"/>
                    </w:rPr>
                    <w:t>30</w:t>
                  </w:r>
                </w:p>
              </w:tc>
              <w:tc>
                <w:tcPr>
                  <w:tcW w:w="210" w:type="pct"/>
                  <w:noWrap/>
                  <w:vAlign w:val="center"/>
                </w:tcPr>
                <w:p w14:paraId="69763C46">
                  <w:pPr>
                    <w:spacing w:line="276" w:lineRule="auto"/>
                    <w:jc w:val="center"/>
                    <w:rPr>
                      <w:sz w:val="21"/>
                      <w:szCs w:val="21"/>
                    </w:rPr>
                  </w:pPr>
                  <w:r>
                    <w:rPr>
                      <w:rFonts w:hint="eastAsia"/>
                      <w:sz w:val="21"/>
                      <w:szCs w:val="21"/>
                    </w:rPr>
                    <w:t>43</w:t>
                  </w:r>
                </w:p>
              </w:tc>
              <w:tc>
                <w:tcPr>
                  <w:tcW w:w="213" w:type="pct"/>
                  <w:noWrap/>
                  <w:vAlign w:val="center"/>
                </w:tcPr>
                <w:p w14:paraId="1DE26D04">
                  <w:pPr>
                    <w:spacing w:line="276" w:lineRule="auto"/>
                    <w:jc w:val="center"/>
                    <w:rPr>
                      <w:sz w:val="21"/>
                      <w:szCs w:val="21"/>
                    </w:rPr>
                  </w:pPr>
                  <w:r>
                    <w:rPr>
                      <w:rFonts w:hint="eastAsia"/>
                      <w:sz w:val="21"/>
                      <w:szCs w:val="21"/>
                    </w:rPr>
                    <w:t>49</w:t>
                  </w:r>
                </w:p>
              </w:tc>
              <w:tc>
                <w:tcPr>
                  <w:tcW w:w="209" w:type="pct"/>
                  <w:vMerge w:val="continue"/>
                  <w:noWrap/>
                  <w:vAlign w:val="center"/>
                </w:tcPr>
                <w:p w14:paraId="70E52F10">
                  <w:pPr>
                    <w:spacing w:line="276" w:lineRule="auto"/>
                    <w:jc w:val="center"/>
                    <w:rPr>
                      <w:sz w:val="21"/>
                      <w:szCs w:val="21"/>
                    </w:rPr>
                  </w:pPr>
                </w:p>
              </w:tc>
              <w:tc>
                <w:tcPr>
                  <w:tcW w:w="280" w:type="pct"/>
                  <w:noWrap/>
                  <w:vAlign w:val="center"/>
                </w:tcPr>
                <w:p w14:paraId="0A16E976">
                  <w:pPr>
                    <w:spacing w:line="276" w:lineRule="auto"/>
                    <w:jc w:val="center"/>
                    <w:rPr>
                      <w:sz w:val="21"/>
                      <w:szCs w:val="21"/>
                    </w:rPr>
                  </w:pPr>
                  <w:r>
                    <w:rPr>
                      <w:rFonts w:hint="eastAsia"/>
                      <w:sz w:val="21"/>
                      <w:szCs w:val="21"/>
                    </w:rPr>
                    <w:t>15</w:t>
                  </w:r>
                </w:p>
              </w:tc>
              <w:tc>
                <w:tcPr>
                  <w:tcW w:w="178" w:type="pct"/>
                  <w:noWrap/>
                  <w:vAlign w:val="center"/>
                </w:tcPr>
                <w:p w14:paraId="465B1AE7">
                  <w:pPr>
                    <w:spacing w:line="276" w:lineRule="auto"/>
                    <w:jc w:val="center"/>
                    <w:rPr>
                      <w:sz w:val="21"/>
                      <w:szCs w:val="21"/>
                    </w:rPr>
                  </w:pPr>
                  <w:r>
                    <w:rPr>
                      <w:rFonts w:hint="eastAsia"/>
                      <w:sz w:val="21"/>
                      <w:szCs w:val="21"/>
                    </w:rPr>
                    <w:t>35</w:t>
                  </w:r>
                </w:p>
              </w:tc>
              <w:tc>
                <w:tcPr>
                  <w:tcW w:w="178" w:type="pct"/>
                  <w:noWrap/>
                  <w:vAlign w:val="center"/>
                </w:tcPr>
                <w:p w14:paraId="52E3844A">
                  <w:pPr>
                    <w:spacing w:line="276" w:lineRule="auto"/>
                    <w:jc w:val="center"/>
                    <w:rPr>
                      <w:sz w:val="21"/>
                      <w:szCs w:val="21"/>
                    </w:rPr>
                  </w:pPr>
                  <w:r>
                    <w:rPr>
                      <w:rFonts w:hint="eastAsia"/>
                      <w:sz w:val="21"/>
                      <w:szCs w:val="21"/>
                    </w:rPr>
                    <w:t>15</w:t>
                  </w:r>
                </w:p>
              </w:tc>
              <w:tc>
                <w:tcPr>
                  <w:tcW w:w="178" w:type="pct"/>
                  <w:noWrap/>
                  <w:vAlign w:val="center"/>
                </w:tcPr>
                <w:p w14:paraId="6AEBD19E">
                  <w:pPr>
                    <w:spacing w:line="276" w:lineRule="auto"/>
                    <w:jc w:val="center"/>
                    <w:rPr>
                      <w:sz w:val="21"/>
                      <w:szCs w:val="21"/>
                    </w:rPr>
                  </w:pPr>
                  <w:r>
                    <w:rPr>
                      <w:rFonts w:hint="eastAsia"/>
                      <w:sz w:val="21"/>
                      <w:szCs w:val="21"/>
                    </w:rPr>
                    <w:t>28</w:t>
                  </w:r>
                </w:p>
              </w:tc>
              <w:tc>
                <w:tcPr>
                  <w:tcW w:w="178" w:type="pct"/>
                  <w:noWrap/>
                  <w:vAlign w:val="center"/>
                </w:tcPr>
                <w:p w14:paraId="39709505">
                  <w:pPr>
                    <w:spacing w:line="276" w:lineRule="auto"/>
                    <w:jc w:val="center"/>
                    <w:rPr>
                      <w:sz w:val="21"/>
                      <w:szCs w:val="21"/>
                    </w:rPr>
                  </w:pPr>
                  <w:r>
                    <w:rPr>
                      <w:rFonts w:hint="eastAsia"/>
                      <w:sz w:val="21"/>
                      <w:szCs w:val="21"/>
                    </w:rPr>
                    <w:t>34</w:t>
                  </w:r>
                </w:p>
              </w:tc>
              <w:tc>
                <w:tcPr>
                  <w:tcW w:w="232" w:type="pct"/>
                  <w:noWrap/>
                  <w:vAlign w:val="center"/>
                </w:tcPr>
                <w:p w14:paraId="120573BE">
                  <w:pPr>
                    <w:spacing w:line="276" w:lineRule="auto"/>
                    <w:jc w:val="center"/>
                    <w:rPr>
                      <w:sz w:val="21"/>
                      <w:szCs w:val="21"/>
                    </w:rPr>
                  </w:pPr>
                  <w:r>
                    <w:rPr>
                      <w:rFonts w:hint="eastAsia"/>
                      <w:sz w:val="21"/>
                      <w:szCs w:val="21"/>
                    </w:rPr>
                    <w:t>1</w:t>
                  </w:r>
                  <w:r>
                    <w:rPr>
                      <w:sz w:val="21"/>
                      <w:szCs w:val="21"/>
                    </w:rPr>
                    <w:t>m</w:t>
                  </w:r>
                </w:p>
              </w:tc>
            </w:tr>
            <w:tr w14:paraId="311B9F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72F13FFD">
                  <w:pPr>
                    <w:spacing w:line="276" w:lineRule="auto"/>
                    <w:jc w:val="center"/>
                    <w:rPr>
                      <w:sz w:val="21"/>
                      <w:szCs w:val="21"/>
                    </w:rPr>
                  </w:pPr>
                  <w:r>
                    <w:rPr>
                      <w:rFonts w:hint="eastAsia"/>
                      <w:sz w:val="21"/>
                      <w:szCs w:val="21"/>
                    </w:rPr>
                    <w:t>抛边区</w:t>
                  </w:r>
                </w:p>
              </w:tc>
              <w:tc>
                <w:tcPr>
                  <w:tcW w:w="456" w:type="pct"/>
                  <w:noWrap/>
                  <w:vAlign w:val="center"/>
                </w:tcPr>
                <w:p w14:paraId="53616AF0">
                  <w:pPr>
                    <w:spacing w:line="276" w:lineRule="auto"/>
                    <w:jc w:val="center"/>
                    <w:rPr>
                      <w:sz w:val="21"/>
                      <w:szCs w:val="21"/>
                    </w:rPr>
                  </w:pPr>
                  <w:r>
                    <w:rPr>
                      <w:rFonts w:hint="eastAsia"/>
                      <w:sz w:val="21"/>
                      <w:szCs w:val="21"/>
                    </w:rPr>
                    <w:t>自动抛边机×7</w:t>
                  </w:r>
                </w:p>
              </w:tc>
              <w:tc>
                <w:tcPr>
                  <w:tcW w:w="327" w:type="pct"/>
                  <w:noWrap/>
                  <w:vAlign w:val="center"/>
                </w:tcPr>
                <w:p w14:paraId="2BE5EF02">
                  <w:pPr>
                    <w:spacing w:line="276" w:lineRule="auto"/>
                    <w:jc w:val="center"/>
                    <w:rPr>
                      <w:sz w:val="21"/>
                      <w:szCs w:val="21"/>
                    </w:rPr>
                  </w:pPr>
                  <w:r>
                    <w:rPr>
                      <w:rFonts w:hint="eastAsia"/>
                      <w:sz w:val="21"/>
                      <w:szCs w:val="21"/>
                    </w:rPr>
                    <w:t>83（叠加）</w:t>
                  </w:r>
                </w:p>
              </w:tc>
              <w:tc>
                <w:tcPr>
                  <w:tcW w:w="198" w:type="pct"/>
                  <w:vMerge w:val="continue"/>
                  <w:noWrap/>
                  <w:vAlign w:val="center"/>
                </w:tcPr>
                <w:p w14:paraId="566AD20F">
                  <w:pPr>
                    <w:spacing w:line="276" w:lineRule="auto"/>
                    <w:jc w:val="center"/>
                    <w:rPr>
                      <w:sz w:val="21"/>
                      <w:szCs w:val="21"/>
                    </w:rPr>
                  </w:pPr>
                </w:p>
              </w:tc>
              <w:tc>
                <w:tcPr>
                  <w:tcW w:w="210" w:type="pct"/>
                  <w:tcBorders>
                    <w:top w:val="single" w:color="auto" w:sz="4" w:space="0"/>
                    <w:bottom w:val="single" w:color="auto" w:sz="4" w:space="0"/>
                  </w:tcBorders>
                  <w:noWrap/>
                  <w:vAlign w:val="center"/>
                </w:tcPr>
                <w:p w14:paraId="4C5A5EE2">
                  <w:pPr>
                    <w:spacing w:line="276" w:lineRule="auto"/>
                    <w:jc w:val="center"/>
                    <w:rPr>
                      <w:sz w:val="21"/>
                      <w:szCs w:val="21"/>
                    </w:rPr>
                  </w:pPr>
                  <w:r>
                    <w:rPr>
                      <w:rFonts w:hint="eastAsia"/>
                      <w:sz w:val="21"/>
                      <w:szCs w:val="21"/>
                    </w:rPr>
                    <w:t>15</w:t>
                  </w:r>
                </w:p>
              </w:tc>
              <w:tc>
                <w:tcPr>
                  <w:tcW w:w="210" w:type="pct"/>
                  <w:tcBorders>
                    <w:top w:val="single" w:color="auto" w:sz="4" w:space="0"/>
                    <w:bottom w:val="single" w:color="auto" w:sz="4" w:space="0"/>
                  </w:tcBorders>
                  <w:noWrap/>
                  <w:vAlign w:val="center"/>
                </w:tcPr>
                <w:p w14:paraId="3CA17851">
                  <w:pPr>
                    <w:spacing w:line="276" w:lineRule="auto"/>
                    <w:jc w:val="center"/>
                    <w:rPr>
                      <w:sz w:val="21"/>
                      <w:szCs w:val="21"/>
                    </w:rPr>
                  </w:pPr>
                  <w:r>
                    <w:rPr>
                      <w:rFonts w:hint="eastAsia"/>
                      <w:sz w:val="21"/>
                      <w:szCs w:val="21"/>
                    </w:rPr>
                    <w:t>95</w:t>
                  </w:r>
                </w:p>
              </w:tc>
              <w:tc>
                <w:tcPr>
                  <w:tcW w:w="210" w:type="pct"/>
                  <w:tcBorders>
                    <w:top w:val="single" w:color="auto" w:sz="4" w:space="0"/>
                    <w:bottom w:val="single" w:color="auto" w:sz="4" w:space="0"/>
                  </w:tcBorders>
                  <w:noWrap/>
                  <w:vAlign w:val="center"/>
                </w:tcPr>
                <w:p w14:paraId="23517107">
                  <w:pPr>
                    <w:spacing w:line="276" w:lineRule="auto"/>
                    <w:jc w:val="center"/>
                    <w:rPr>
                      <w:sz w:val="21"/>
                      <w:szCs w:val="21"/>
                    </w:rPr>
                  </w:pPr>
                  <w:r>
                    <w:rPr>
                      <w:rFonts w:hint="eastAsia"/>
                      <w:sz w:val="21"/>
                      <w:szCs w:val="21"/>
                    </w:rPr>
                    <w:t>1.5</w:t>
                  </w:r>
                </w:p>
              </w:tc>
              <w:tc>
                <w:tcPr>
                  <w:tcW w:w="210" w:type="pct"/>
                  <w:noWrap/>
                  <w:vAlign w:val="center"/>
                </w:tcPr>
                <w:p w14:paraId="310EE5E6">
                  <w:pPr>
                    <w:jc w:val="center"/>
                    <w:rPr>
                      <w:sz w:val="21"/>
                      <w:szCs w:val="21"/>
                    </w:rPr>
                  </w:pPr>
                  <w:r>
                    <w:rPr>
                      <w:rFonts w:hint="eastAsia"/>
                      <w:sz w:val="21"/>
                      <w:szCs w:val="21"/>
                    </w:rPr>
                    <w:t>15</w:t>
                  </w:r>
                </w:p>
              </w:tc>
              <w:tc>
                <w:tcPr>
                  <w:tcW w:w="210" w:type="pct"/>
                  <w:noWrap/>
                  <w:vAlign w:val="center"/>
                </w:tcPr>
                <w:p w14:paraId="7FD02896">
                  <w:pPr>
                    <w:jc w:val="center"/>
                    <w:rPr>
                      <w:sz w:val="21"/>
                      <w:szCs w:val="21"/>
                    </w:rPr>
                  </w:pPr>
                  <w:r>
                    <w:rPr>
                      <w:rFonts w:hint="eastAsia"/>
                      <w:sz w:val="21"/>
                      <w:szCs w:val="21"/>
                    </w:rPr>
                    <w:t>195</w:t>
                  </w:r>
                </w:p>
              </w:tc>
              <w:tc>
                <w:tcPr>
                  <w:tcW w:w="210" w:type="pct"/>
                  <w:noWrap/>
                  <w:vAlign w:val="center"/>
                </w:tcPr>
                <w:p w14:paraId="2B007690">
                  <w:pPr>
                    <w:jc w:val="center"/>
                    <w:rPr>
                      <w:sz w:val="21"/>
                      <w:szCs w:val="21"/>
                    </w:rPr>
                  </w:pPr>
                  <w:r>
                    <w:rPr>
                      <w:rFonts w:hint="eastAsia"/>
                      <w:sz w:val="21"/>
                      <w:szCs w:val="21"/>
                    </w:rPr>
                    <w:t>45</w:t>
                  </w:r>
                </w:p>
              </w:tc>
              <w:tc>
                <w:tcPr>
                  <w:tcW w:w="210" w:type="pct"/>
                  <w:noWrap/>
                  <w:vAlign w:val="center"/>
                </w:tcPr>
                <w:p w14:paraId="697B010D">
                  <w:pPr>
                    <w:jc w:val="center"/>
                    <w:rPr>
                      <w:sz w:val="21"/>
                      <w:szCs w:val="21"/>
                    </w:rPr>
                  </w:pPr>
                  <w:r>
                    <w:rPr>
                      <w:rFonts w:hint="eastAsia"/>
                      <w:sz w:val="21"/>
                      <w:szCs w:val="21"/>
                    </w:rPr>
                    <w:t>5</w:t>
                  </w:r>
                </w:p>
              </w:tc>
              <w:tc>
                <w:tcPr>
                  <w:tcW w:w="210" w:type="pct"/>
                  <w:noWrap/>
                  <w:vAlign w:val="center"/>
                </w:tcPr>
                <w:p w14:paraId="0D984EFC">
                  <w:pPr>
                    <w:spacing w:line="276" w:lineRule="auto"/>
                    <w:jc w:val="center"/>
                    <w:rPr>
                      <w:sz w:val="21"/>
                      <w:szCs w:val="21"/>
                    </w:rPr>
                  </w:pPr>
                  <w:r>
                    <w:rPr>
                      <w:rFonts w:hint="eastAsia"/>
                      <w:sz w:val="21"/>
                      <w:szCs w:val="21"/>
                    </w:rPr>
                    <w:t>59</w:t>
                  </w:r>
                </w:p>
              </w:tc>
              <w:tc>
                <w:tcPr>
                  <w:tcW w:w="210" w:type="pct"/>
                  <w:noWrap/>
                  <w:vAlign w:val="center"/>
                </w:tcPr>
                <w:p w14:paraId="5CA4E6C2">
                  <w:pPr>
                    <w:spacing w:line="276" w:lineRule="auto"/>
                    <w:jc w:val="center"/>
                    <w:rPr>
                      <w:sz w:val="21"/>
                      <w:szCs w:val="21"/>
                    </w:rPr>
                  </w:pPr>
                  <w:r>
                    <w:rPr>
                      <w:rFonts w:hint="eastAsia"/>
                      <w:sz w:val="21"/>
                      <w:szCs w:val="21"/>
                    </w:rPr>
                    <w:t>37</w:t>
                  </w:r>
                </w:p>
              </w:tc>
              <w:tc>
                <w:tcPr>
                  <w:tcW w:w="210" w:type="pct"/>
                  <w:noWrap/>
                  <w:vAlign w:val="center"/>
                </w:tcPr>
                <w:p w14:paraId="79B2A7DA">
                  <w:pPr>
                    <w:spacing w:line="276" w:lineRule="auto"/>
                    <w:jc w:val="center"/>
                    <w:rPr>
                      <w:sz w:val="21"/>
                      <w:szCs w:val="21"/>
                    </w:rPr>
                  </w:pPr>
                  <w:r>
                    <w:rPr>
                      <w:rFonts w:hint="eastAsia"/>
                      <w:sz w:val="21"/>
                      <w:szCs w:val="21"/>
                    </w:rPr>
                    <w:t>50</w:t>
                  </w:r>
                </w:p>
              </w:tc>
              <w:tc>
                <w:tcPr>
                  <w:tcW w:w="213" w:type="pct"/>
                  <w:noWrap/>
                  <w:vAlign w:val="center"/>
                </w:tcPr>
                <w:p w14:paraId="0418634D">
                  <w:pPr>
                    <w:spacing w:line="276" w:lineRule="auto"/>
                    <w:jc w:val="center"/>
                    <w:rPr>
                      <w:sz w:val="21"/>
                      <w:szCs w:val="21"/>
                    </w:rPr>
                  </w:pPr>
                  <w:r>
                    <w:rPr>
                      <w:rFonts w:hint="eastAsia"/>
                      <w:sz w:val="21"/>
                      <w:szCs w:val="21"/>
                    </w:rPr>
                    <w:t>69</w:t>
                  </w:r>
                </w:p>
              </w:tc>
              <w:tc>
                <w:tcPr>
                  <w:tcW w:w="209" w:type="pct"/>
                  <w:vMerge w:val="continue"/>
                  <w:noWrap/>
                  <w:vAlign w:val="center"/>
                </w:tcPr>
                <w:p w14:paraId="5D0CBDB7">
                  <w:pPr>
                    <w:spacing w:line="276" w:lineRule="auto"/>
                    <w:jc w:val="center"/>
                    <w:rPr>
                      <w:sz w:val="21"/>
                      <w:szCs w:val="21"/>
                    </w:rPr>
                  </w:pPr>
                </w:p>
              </w:tc>
              <w:tc>
                <w:tcPr>
                  <w:tcW w:w="280" w:type="pct"/>
                  <w:noWrap/>
                  <w:vAlign w:val="center"/>
                </w:tcPr>
                <w:p w14:paraId="4C36330B">
                  <w:pPr>
                    <w:spacing w:line="276" w:lineRule="auto"/>
                    <w:jc w:val="center"/>
                    <w:rPr>
                      <w:sz w:val="21"/>
                      <w:szCs w:val="21"/>
                    </w:rPr>
                  </w:pPr>
                  <w:r>
                    <w:rPr>
                      <w:rFonts w:hint="eastAsia"/>
                      <w:sz w:val="21"/>
                      <w:szCs w:val="21"/>
                    </w:rPr>
                    <w:t>15</w:t>
                  </w:r>
                </w:p>
              </w:tc>
              <w:tc>
                <w:tcPr>
                  <w:tcW w:w="178" w:type="pct"/>
                  <w:noWrap/>
                  <w:vAlign w:val="center"/>
                </w:tcPr>
                <w:p w14:paraId="023BC22D">
                  <w:pPr>
                    <w:spacing w:line="276" w:lineRule="auto"/>
                    <w:jc w:val="center"/>
                    <w:rPr>
                      <w:sz w:val="21"/>
                      <w:szCs w:val="21"/>
                    </w:rPr>
                  </w:pPr>
                  <w:r>
                    <w:rPr>
                      <w:rFonts w:hint="eastAsia"/>
                      <w:sz w:val="21"/>
                      <w:szCs w:val="21"/>
                    </w:rPr>
                    <w:t>44</w:t>
                  </w:r>
                </w:p>
              </w:tc>
              <w:tc>
                <w:tcPr>
                  <w:tcW w:w="178" w:type="pct"/>
                  <w:noWrap/>
                  <w:vAlign w:val="center"/>
                </w:tcPr>
                <w:p w14:paraId="124201E7">
                  <w:pPr>
                    <w:spacing w:line="276" w:lineRule="auto"/>
                    <w:jc w:val="center"/>
                    <w:rPr>
                      <w:sz w:val="21"/>
                      <w:szCs w:val="21"/>
                    </w:rPr>
                  </w:pPr>
                  <w:r>
                    <w:rPr>
                      <w:rFonts w:hint="eastAsia"/>
                      <w:sz w:val="21"/>
                      <w:szCs w:val="21"/>
                    </w:rPr>
                    <w:t>22</w:t>
                  </w:r>
                </w:p>
              </w:tc>
              <w:tc>
                <w:tcPr>
                  <w:tcW w:w="178" w:type="pct"/>
                  <w:noWrap/>
                  <w:vAlign w:val="center"/>
                </w:tcPr>
                <w:p w14:paraId="45DC191F">
                  <w:pPr>
                    <w:spacing w:line="276" w:lineRule="auto"/>
                    <w:jc w:val="center"/>
                    <w:rPr>
                      <w:sz w:val="21"/>
                      <w:szCs w:val="21"/>
                    </w:rPr>
                  </w:pPr>
                  <w:r>
                    <w:rPr>
                      <w:rFonts w:hint="eastAsia"/>
                      <w:sz w:val="21"/>
                      <w:szCs w:val="21"/>
                    </w:rPr>
                    <w:t>35</w:t>
                  </w:r>
                </w:p>
              </w:tc>
              <w:tc>
                <w:tcPr>
                  <w:tcW w:w="178" w:type="pct"/>
                  <w:noWrap/>
                  <w:vAlign w:val="center"/>
                </w:tcPr>
                <w:p w14:paraId="5795D8FF">
                  <w:pPr>
                    <w:spacing w:line="276" w:lineRule="auto"/>
                    <w:jc w:val="center"/>
                    <w:rPr>
                      <w:sz w:val="21"/>
                      <w:szCs w:val="21"/>
                    </w:rPr>
                  </w:pPr>
                  <w:r>
                    <w:rPr>
                      <w:rFonts w:hint="eastAsia"/>
                      <w:sz w:val="21"/>
                      <w:szCs w:val="21"/>
                    </w:rPr>
                    <w:t>54</w:t>
                  </w:r>
                </w:p>
              </w:tc>
              <w:tc>
                <w:tcPr>
                  <w:tcW w:w="232" w:type="pct"/>
                  <w:noWrap/>
                  <w:vAlign w:val="center"/>
                </w:tcPr>
                <w:p w14:paraId="06CCDC5D">
                  <w:pPr>
                    <w:spacing w:line="276" w:lineRule="auto"/>
                    <w:jc w:val="center"/>
                    <w:rPr>
                      <w:sz w:val="21"/>
                      <w:szCs w:val="21"/>
                    </w:rPr>
                  </w:pPr>
                  <w:r>
                    <w:rPr>
                      <w:rFonts w:hint="eastAsia"/>
                      <w:sz w:val="21"/>
                      <w:szCs w:val="21"/>
                    </w:rPr>
                    <w:t>1m</w:t>
                  </w:r>
                </w:p>
              </w:tc>
            </w:tr>
            <w:tr w14:paraId="33B69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38D7D1B2">
                  <w:pPr>
                    <w:spacing w:line="276" w:lineRule="auto"/>
                    <w:jc w:val="center"/>
                    <w:rPr>
                      <w:sz w:val="21"/>
                      <w:szCs w:val="21"/>
                    </w:rPr>
                  </w:pPr>
                </w:p>
              </w:tc>
              <w:tc>
                <w:tcPr>
                  <w:tcW w:w="456" w:type="pct"/>
                  <w:noWrap/>
                  <w:vAlign w:val="center"/>
                </w:tcPr>
                <w:p w14:paraId="37A946D2">
                  <w:pPr>
                    <w:spacing w:line="276" w:lineRule="auto"/>
                    <w:jc w:val="center"/>
                    <w:rPr>
                      <w:sz w:val="21"/>
                      <w:szCs w:val="21"/>
                    </w:rPr>
                  </w:pPr>
                  <w:r>
                    <w:rPr>
                      <w:rFonts w:hint="eastAsia"/>
                      <w:sz w:val="21"/>
                      <w:szCs w:val="21"/>
                    </w:rPr>
                    <w:t>自动扣管机×3</w:t>
                  </w:r>
                </w:p>
              </w:tc>
              <w:tc>
                <w:tcPr>
                  <w:tcW w:w="327" w:type="pct"/>
                  <w:noWrap/>
                  <w:vAlign w:val="center"/>
                </w:tcPr>
                <w:p w14:paraId="79469234">
                  <w:pPr>
                    <w:spacing w:line="276" w:lineRule="auto"/>
                    <w:jc w:val="center"/>
                    <w:rPr>
                      <w:sz w:val="21"/>
                      <w:szCs w:val="21"/>
                    </w:rPr>
                  </w:pPr>
                  <w:r>
                    <w:rPr>
                      <w:rFonts w:hint="eastAsia"/>
                      <w:sz w:val="21"/>
                      <w:szCs w:val="21"/>
                    </w:rPr>
                    <w:t>80（叠加）</w:t>
                  </w:r>
                </w:p>
              </w:tc>
              <w:tc>
                <w:tcPr>
                  <w:tcW w:w="198" w:type="pct"/>
                  <w:vMerge w:val="continue"/>
                  <w:noWrap/>
                  <w:vAlign w:val="center"/>
                </w:tcPr>
                <w:p w14:paraId="67DDDDAB">
                  <w:pPr>
                    <w:spacing w:line="276" w:lineRule="auto"/>
                    <w:jc w:val="center"/>
                    <w:rPr>
                      <w:sz w:val="21"/>
                      <w:szCs w:val="21"/>
                    </w:rPr>
                  </w:pPr>
                </w:p>
              </w:tc>
              <w:tc>
                <w:tcPr>
                  <w:tcW w:w="210" w:type="pct"/>
                  <w:tcBorders>
                    <w:top w:val="single" w:color="auto" w:sz="4" w:space="0"/>
                    <w:bottom w:val="single" w:color="auto" w:sz="4" w:space="0"/>
                  </w:tcBorders>
                  <w:noWrap/>
                  <w:vAlign w:val="center"/>
                </w:tcPr>
                <w:p w14:paraId="50292976">
                  <w:pPr>
                    <w:spacing w:line="276" w:lineRule="auto"/>
                    <w:jc w:val="center"/>
                    <w:rPr>
                      <w:sz w:val="21"/>
                      <w:szCs w:val="21"/>
                    </w:rPr>
                  </w:pPr>
                  <w:r>
                    <w:rPr>
                      <w:rFonts w:hint="eastAsia"/>
                      <w:sz w:val="21"/>
                      <w:szCs w:val="21"/>
                    </w:rPr>
                    <w:t>15</w:t>
                  </w:r>
                </w:p>
              </w:tc>
              <w:tc>
                <w:tcPr>
                  <w:tcW w:w="210" w:type="pct"/>
                  <w:tcBorders>
                    <w:top w:val="single" w:color="auto" w:sz="4" w:space="0"/>
                    <w:bottom w:val="single" w:color="auto" w:sz="4" w:space="0"/>
                  </w:tcBorders>
                  <w:noWrap/>
                  <w:vAlign w:val="center"/>
                </w:tcPr>
                <w:p w14:paraId="180A4B95">
                  <w:pPr>
                    <w:spacing w:line="276" w:lineRule="auto"/>
                    <w:jc w:val="center"/>
                    <w:rPr>
                      <w:sz w:val="21"/>
                      <w:szCs w:val="21"/>
                    </w:rPr>
                  </w:pPr>
                  <w:r>
                    <w:rPr>
                      <w:rFonts w:hint="eastAsia"/>
                      <w:sz w:val="21"/>
                      <w:szCs w:val="21"/>
                    </w:rPr>
                    <w:t>95</w:t>
                  </w:r>
                </w:p>
              </w:tc>
              <w:tc>
                <w:tcPr>
                  <w:tcW w:w="210" w:type="pct"/>
                  <w:tcBorders>
                    <w:top w:val="single" w:color="auto" w:sz="4" w:space="0"/>
                    <w:bottom w:val="single" w:color="auto" w:sz="4" w:space="0"/>
                  </w:tcBorders>
                  <w:noWrap/>
                  <w:vAlign w:val="center"/>
                </w:tcPr>
                <w:p w14:paraId="3E1F2F44">
                  <w:pPr>
                    <w:spacing w:line="276" w:lineRule="auto"/>
                    <w:jc w:val="center"/>
                    <w:rPr>
                      <w:sz w:val="21"/>
                      <w:szCs w:val="21"/>
                    </w:rPr>
                  </w:pPr>
                  <w:r>
                    <w:rPr>
                      <w:rFonts w:hint="eastAsia"/>
                      <w:sz w:val="21"/>
                      <w:szCs w:val="21"/>
                    </w:rPr>
                    <w:t>1.5</w:t>
                  </w:r>
                </w:p>
              </w:tc>
              <w:tc>
                <w:tcPr>
                  <w:tcW w:w="210" w:type="pct"/>
                  <w:noWrap/>
                  <w:vAlign w:val="center"/>
                </w:tcPr>
                <w:p w14:paraId="088A6631">
                  <w:pPr>
                    <w:jc w:val="center"/>
                    <w:rPr>
                      <w:sz w:val="21"/>
                      <w:szCs w:val="21"/>
                    </w:rPr>
                  </w:pPr>
                  <w:r>
                    <w:rPr>
                      <w:rFonts w:hint="eastAsia"/>
                      <w:sz w:val="21"/>
                      <w:szCs w:val="21"/>
                    </w:rPr>
                    <w:t>15</w:t>
                  </w:r>
                </w:p>
              </w:tc>
              <w:tc>
                <w:tcPr>
                  <w:tcW w:w="210" w:type="pct"/>
                  <w:noWrap/>
                  <w:vAlign w:val="center"/>
                </w:tcPr>
                <w:p w14:paraId="5A63028B">
                  <w:pPr>
                    <w:jc w:val="center"/>
                    <w:rPr>
                      <w:sz w:val="21"/>
                      <w:szCs w:val="21"/>
                    </w:rPr>
                  </w:pPr>
                  <w:r>
                    <w:rPr>
                      <w:rFonts w:hint="eastAsia"/>
                      <w:sz w:val="21"/>
                      <w:szCs w:val="21"/>
                    </w:rPr>
                    <w:t>195</w:t>
                  </w:r>
                </w:p>
              </w:tc>
              <w:tc>
                <w:tcPr>
                  <w:tcW w:w="210" w:type="pct"/>
                  <w:noWrap/>
                  <w:vAlign w:val="center"/>
                </w:tcPr>
                <w:p w14:paraId="42027F38">
                  <w:pPr>
                    <w:jc w:val="center"/>
                    <w:rPr>
                      <w:sz w:val="21"/>
                      <w:szCs w:val="21"/>
                    </w:rPr>
                  </w:pPr>
                  <w:r>
                    <w:rPr>
                      <w:rFonts w:hint="eastAsia"/>
                      <w:sz w:val="21"/>
                      <w:szCs w:val="21"/>
                    </w:rPr>
                    <w:t>45</w:t>
                  </w:r>
                </w:p>
              </w:tc>
              <w:tc>
                <w:tcPr>
                  <w:tcW w:w="210" w:type="pct"/>
                  <w:noWrap/>
                  <w:vAlign w:val="center"/>
                </w:tcPr>
                <w:p w14:paraId="58E273CA">
                  <w:pPr>
                    <w:jc w:val="center"/>
                    <w:rPr>
                      <w:sz w:val="21"/>
                      <w:szCs w:val="21"/>
                    </w:rPr>
                  </w:pPr>
                  <w:r>
                    <w:rPr>
                      <w:rFonts w:hint="eastAsia"/>
                      <w:sz w:val="21"/>
                      <w:szCs w:val="21"/>
                    </w:rPr>
                    <w:t>5</w:t>
                  </w:r>
                </w:p>
              </w:tc>
              <w:tc>
                <w:tcPr>
                  <w:tcW w:w="210" w:type="pct"/>
                  <w:noWrap/>
                  <w:vAlign w:val="center"/>
                </w:tcPr>
                <w:p w14:paraId="31FF877D">
                  <w:pPr>
                    <w:spacing w:line="276" w:lineRule="auto"/>
                    <w:jc w:val="center"/>
                    <w:rPr>
                      <w:sz w:val="21"/>
                      <w:szCs w:val="21"/>
                    </w:rPr>
                  </w:pPr>
                  <w:r>
                    <w:rPr>
                      <w:rFonts w:hint="eastAsia"/>
                      <w:sz w:val="21"/>
                      <w:szCs w:val="21"/>
                    </w:rPr>
                    <w:t>56</w:t>
                  </w:r>
                </w:p>
              </w:tc>
              <w:tc>
                <w:tcPr>
                  <w:tcW w:w="210" w:type="pct"/>
                  <w:noWrap/>
                  <w:vAlign w:val="center"/>
                </w:tcPr>
                <w:p w14:paraId="37F3F28A">
                  <w:pPr>
                    <w:spacing w:line="276" w:lineRule="auto"/>
                    <w:jc w:val="center"/>
                    <w:rPr>
                      <w:sz w:val="21"/>
                      <w:szCs w:val="21"/>
                    </w:rPr>
                  </w:pPr>
                  <w:r>
                    <w:rPr>
                      <w:rFonts w:hint="eastAsia"/>
                      <w:sz w:val="21"/>
                      <w:szCs w:val="21"/>
                    </w:rPr>
                    <w:t>34</w:t>
                  </w:r>
                </w:p>
              </w:tc>
              <w:tc>
                <w:tcPr>
                  <w:tcW w:w="210" w:type="pct"/>
                  <w:noWrap/>
                  <w:vAlign w:val="center"/>
                </w:tcPr>
                <w:p w14:paraId="4971C3EC">
                  <w:pPr>
                    <w:spacing w:line="276" w:lineRule="auto"/>
                    <w:jc w:val="center"/>
                    <w:rPr>
                      <w:sz w:val="21"/>
                      <w:szCs w:val="21"/>
                    </w:rPr>
                  </w:pPr>
                  <w:r>
                    <w:rPr>
                      <w:rFonts w:hint="eastAsia"/>
                      <w:sz w:val="21"/>
                      <w:szCs w:val="21"/>
                    </w:rPr>
                    <w:t>47</w:t>
                  </w:r>
                </w:p>
              </w:tc>
              <w:tc>
                <w:tcPr>
                  <w:tcW w:w="213" w:type="pct"/>
                  <w:noWrap/>
                  <w:vAlign w:val="center"/>
                </w:tcPr>
                <w:p w14:paraId="4781555B">
                  <w:pPr>
                    <w:spacing w:line="276" w:lineRule="auto"/>
                    <w:jc w:val="center"/>
                    <w:rPr>
                      <w:sz w:val="21"/>
                      <w:szCs w:val="21"/>
                    </w:rPr>
                  </w:pPr>
                  <w:r>
                    <w:rPr>
                      <w:rFonts w:hint="eastAsia"/>
                      <w:sz w:val="21"/>
                      <w:szCs w:val="21"/>
                    </w:rPr>
                    <w:t>66</w:t>
                  </w:r>
                </w:p>
              </w:tc>
              <w:tc>
                <w:tcPr>
                  <w:tcW w:w="209" w:type="pct"/>
                  <w:vMerge w:val="continue"/>
                  <w:noWrap/>
                  <w:vAlign w:val="center"/>
                </w:tcPr>
                <w:p w14:paraId="2EF91788">
                  <w:pPr>
                    <w:spacing w:line="276" w:lineRule="auto"/>
                    <w:jc w:val="center"/>
                    <w:rPr>
                      <w:sz w:val="21"/>
                      <w:szCs w:val="21"/>
                    </w:rPr>
                  </w:pPr>
                </w:p>
              </w:tc>
              <w:tc>
                <w:tcPr>
                  <w:tcW w:w="280" w:type="pct"/>
                  <w:noWrap/>
                  <w:vAlign w:val="center"/>
                </w:tcPr>
                <w:p w14:paraId="5D84AFB3">
                  <w:pPr>
                    <w:spacing w:line="276" w:lineRule="auto"/>
                    <w:jc w:val="center"/>
                    <w:rPr>
                      <w:sz w:val="21"/>
                      <w:szCs w:val="21"/>
                    </w:rPr>
                  </w:pPr>
                  <w:r>
                    <w:rPr>
                      <w:rFonts w:hint="eastAsia"/>
                      <w:sz w:val="21"/>
                      <w:szCs w:val="21"/>
                    </w:rPr>
                    <w:t>15</w:t>
                  </w:r>
                </w:p>
              </w:tc>
              <w:tc>
                <w:tcPr>
                  <w:tcW w:w="178" w:type="pct"/>
                  <w:noWrap/>
                  <w:vAlign w:val="center"/>
                </w:tcPr>
                <w:p w14:paraId="4190A46B">
                  <w:pPr>
                    <w:spacing w:line="276" w:lineRule="auto"/>
                    <w:jc w:val="center"/>
                    <w:rPr>
                      <w:sz w:val="21"/>
                      <w:szCs w:val="21"/>
                    </w:rPr>
                  </w:pPr>
                  <w:r>
                    <w:rPr>
                      <w:rFonts w:hint="eastAsia"/>
                      <w:sz w:val="21"/>
                      <w:szCs w:val="21"/>
                    </w:rPr>
                    <w:t>41</w:t>
                  </w:r>
                </w:p>
              </w:tc>
              <w:tc>
                <w:tcPr>
                  <w:tcW w:w="178" w:type="pct"/>
                  <w:noWrap/>
                  <w:vAlign w:val="center"/>
                </w:tcPr>
                <w:p w14:paraId="56AD3E8B">
                  <w:pPr>
                    <w:spacing w:line="276" w:lineRule="auto"/>
                    <w:jc w:val="center"/>
                    <w:rPr>
                      <w:sz w:val="21"/>
                      <w:szCs w:val="21"/>
                    </w:rPr>
                  </w:pPr>
                  <w:r>
                    <w:rPr>
                      <w:rFonts w:hint="eastAsia"/>
                      <w:sz w:val="21"/>
                      <w:szCs w:val="21"/>
                    </w:rPr>
                    <w:t>19</w:t>
                  </w:r>
                </w:p>
              </w:tc>
              <w:tc>
                <w:tcPr>
                  <w:tcW w:w="178" w:type="pct"/>
                  <w:noWrap/>
                  <w:vAlign w:val="center"/>
                </w:tcPr>
                <w:p w14:paraId="0DFD5777">
                  <w:pPr>
                    <w:spacing w:line="276" w:lineRule="auto"/>
                    <w:jc w:val="center"/>
                    <w:rPr>
                      <w:sz w:val="21"/>
                      <w:szCs w:val="21"/>
                    </w:rPr>
                  </w:pPr>
                  <w:r>
                    <w:rPr>
                      <w:rFonts w:hint="eastAsia"/>
                      <w:sz w:val="21"/>
                      <w:szCs w:val="21"/>
                    </w:rPr>
                    <w:t>32</w:t>
                  </w:r>
                </w:p>
              </w:tc>
              <w:tc>
                <w:tcPr>
                  <w:tcW w:w="178" w:type="pct"/>
                  <w:noWrap/>
                  <w:vAlign w:val="center"/>
                </w:tcPr>
                <w:p w14:paraId="3CF4432A">
                  <w:pPr>
                    <w:spacing w:line="276" w:lineRule="auto"/>
                    <w:jc w:val="center"/>
                    <w:rPr>
                      <w:sz w:val="21"/>
                      <w:szCs w:val="21"/>
                    </w:rPr>
                  </w:pPr>
                  <w:r>
                    <w:rPr>
                      <w:rFonts w:hint="eastAsia"/>
                      <w:sz w:val="21"/>
                      <w:szCs w:val="21"/>
                    </w:rPr>
                    <w:t>51</w:t>
                  </w:r>
                </w:p>
              </w:tc>
              <w:tc>
                <w:tcPr>
                  <w:tcW w:w="232" w:type="pct"/>
                  <w:noWrap/>
                  <w:vAlign w:val="center"/>
                </w:tcPr>
                <w:p w14:paraId="76AF5A32">
                  <w:pPr>
                    <w:spacing w:line="276" w:lineRule="auto"/>
                    <w:jc w:val="center"/>
                    <w:rPr>
                      <w:sz w:val="21"/>
                      <w:szCs w:val="21"/>
                    </w:rPr>
                  </w:pPr>
                  <w:r>
                    <w:rPr>
                      <w:rFonts w:hint="eastAsia"/>
                      <w:sz w:val="21"/>
                      <w:szCs w:val="21"/>
                    </w:rPr>
                    <w:t>1m</w:t>
                  </w:r>
                </w:p>
              </w:tc>
            </w:tr>
            <w:tr w14:paraId="23A08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restart"/>
                  <w:noWrap/>
                  <w:vAlign w:val="center"/>
                </w:tcPr>
                <w:p w14:paraId="5CD9D77A">
                  <w:pPr>
                    <w:spacing w:line="276" w:lineRule="auto"/>
                    <w:jc w:val="center"/>
                    <w:rPr>
                      <w:sz w:val="21"/>
                      <w:szCs w:val="21"/>
                    </w:rPr>
                  </w:pPr>
                  <w:r>
                    <w:rPr>
                      <w:rFonts w:hint="eastAsia"/>
                      <w:sz w:val="21"/>
                      <w:szCs w:val="21"/>
                    </w:rPr>
                    <w:t>装配区</w:t>
                  </w:r>
                </w:p>
              </w:tc>
              <w:tc>
                <w:tcPr>
                  <w:tcW w:w="456" w:type="pct"/>
                  <w:noWrap/>
                  <w:vAlign w:val="center"/>
                </w:tcPr>
                <w:p w14:paraId="3E4091B2">
                  <w:pPr>
                    <w:spacing w:line="276" w:lineRule="auto"/>
                    <w:jc w:val="center"/>
                    <w:rPr>
                      <w:bCs/>
                      <w:sz w:val="21"/>
                      <w:szCs w:val="21"/>
                    </w:rPr>
                  </w:pPr>
                  <w:r>
                    <w:rPr>
                      <w:rFonts w:hint="eastAsia"/>
                      <w:sz w:val="21"/>
                      <w:szCs w:val="21"/>
                    </w:rPr>
                    <w:t>金清单柱液压机×5</w:t>
                  </w:r>
                </w:p>
              </w:tc>
              <w:tc>
                <w:tcPr>
                  <w:tcW w:w="327" w:type="pct"/>
                  <w:noWrap/>
                  <w:vAlign w:val="center"/>
                </w:tcPr>
                <w:p w14:paraId="3E697D2B">
                  <w:pPr>
                    <w:spacing w:line="276" w:lineRule="auto"/>
                    <w:jc w:val="center"/>
                    <w:rPr>
                      <w:sz w:val="21"/>
                      <w:szCs w:val="21"/>
                    </w:rPr>
                  </w:pPr>
                  <w:r>
                    <w:rPr>
                      <w:rFonts w:hint="eastAsia"/>
                      <w:sz w:val="21"/>
                      <w:szCs w:val="21"/>
                    </w:rPr>
                    <w:t>82（叠加）</w:t>
                  </w:r>
                </w:p>
              </w:tc>
              <w:tc>
                <w:tcPr>
                  <w:tcW w:w="198" w:type="pct"/>
                  <w:vMerge w:val="continue"/>
                  <w:noWrap/>
                  <w:vAlign w:val="center"/>
                </w:tcPr>
                <w:p w14:paraId="3965104E">
                  <w:pPr>
                    <w:spacing w:line="276" w:lineRule="auto"/>
                    <w:jc w:val="center"/>
                    <w:rPr>
                      <w:sz w:val="21"/>
                      <w:szCs w:val="21"/>
                    </w:rPr>
                  </w:pPr>
                </w:p>
              </w:tc>
              <w:tc>
                <w:tcPr>
                  <w:tcW w:w="210" w:type="pct"/>
                  <w:tcBorders>
                    <w:top w:val="single" w:color="auto" w:sz="4" w:space="0"/>
                    <w:bottom w:val="single" w:color="auto" w:sz="4" w:space="0"/>
                  </w:tcBorders>
                  <w:noWrap/>
                  <w:vAlign w:val="center"/>
                </w:tcPr>
                <w:p w14:paraId="2CBFD131">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2CCE58BB">
                  <w:pPr>
                    <w:spacing w:line="276" w:lineRule="auto"/>
                    <w:jc w:val="center"/>
                    <w:rPr>
                      <w:sz w:val="21"/>
                      <w:szCs w:val="21"/>
                    </w:rPr>
                  </w:pPr>
                  <w:r>
                    <w:rPr>
                      <w:rFonts w:hint="eastAsia"/>
                      <w:sz w:val="21"/>
                      <w:szCs w:val="21"/>
                    </w:rPr>
                    <w:t>-80</w:t>
                  </w:r>
                </w:p>
              </w:tc>
              <w:tc>
                <w:tcPr>
                  <w:tcW w:w="210" w:type="pct"/>
                  <w:tcBorders>
                    <w:top w:val="single" w:color="auto" w:sz="4" w:space="0"/>
                    <w:bottom w:val="single" w:color="auto" w:sz="4" w:space="0"/>
                  </w:tcBorders>
                  <w:noWrap/>
                  <w:vAlign w:val="center"/>
                </w:tcPr>
                <w:p w14:paraId="66CC7451">
                  <w:pPr>
                    <w:spacing w:line="276" w:lineRule="auto"/>
                    <w:jc w:val="center"/>
                    <w:rPr>
                      <w:sz w:val="21"/>
                      <w:szCs w:val="21"/>
                    </w:rPr>
                  </w:pPr>
                  <w:r>
                    <w:rPr>
                      <w:rFonts w:hint="eastAsia"/>
                      <w:sz w:val="21"/>
                      <w:szCs w:val="21"/>
                    </w:rPr>
                    <w:t>11.4</w:t>
                  </w:r>
                </w:p>
              </w:tc>
              <w:tc>
                <w:tcPr>
                  <w:tcW w:w="210" w:type="pct"/>
                  <w:noWrap/>
                  <w:vAlign w:val="center"/>
                </w:tcPr>
                <w:p w14:paraId="4BD29367">
                  <w:pPr>
                    <w:spacing w:line="276" w:lineRule="auto"/>
                    <w:jc w:val="center"/>
                    <w:rPr>
                      <w:sz w:val="21"/>
                      <w:szCs w:val="21"/>
                    </w:rPr>
                  </w:pPr>
                  <w:r>
                    <w:rPr>
                      <w:rFonts w:hint="eastAsia"/>
                      <w:sz w:val="21"/>
                      <w:szCs w:val="21"/>
                    </w:rPr>
                    <w:t>12</w:t>
                  </w:r>
                </w:p>
              </w:tc>
              <w:tc>
                <w:tcPr>
                  <w:tcW w:w="210" w:type="pct"/>
                  <w:noWrap/>
                  <w:vAlign w:val="center"/>
                </w:tcPr>
                <w:p w14:paraId="7A1F78B7">
                  <w:pPr>
                    <w:spacing w:line="276" w:lineRule="auto"/>
                    <w:jc w:val="center"/>
                    <w:rPr>
                      <w:sz w:val="21"/>
                      <w:szCs w:val="21"/>
                    </w:rPr>
                  </w:pPr>
                  <w:r>
                    <w:rPr>
                      <w:rFonts w:hint="eastAsia"/>
                      <w:sz w:val="21"/>
                      <w:szCs w:val="21"/>
                    </w:rPr>
                    <w:t>20</w:t>
                  </w:r>
                </w:p>
              </w:tc>
              <w:tc>
                <w:tcPr>
                  <w:tcW w:w="210" w:type="pct"/>
                  <w:noWrap/>
                  <w:vAlign w:val="center"/>
                </w:tcPr>
                <w:p w14:paraId="16A9CA44">
                  <w:pPr>
                    <w:spacing w:line="276" w:lineRule="auto"/>
                    <w:jc w:val="center"/>
                    <w:rPr>
                      <w:sz w:val="21"/>
                      <w:szCs w:val="21"/>
                    </w:rPr>
                  </w:pPr>
                  <w:r>
                    <w:rPr>
                      <w:rFonts w:hint="eastAsia"/>
                      <w:sz w:val="21"/>
                      <w:szCs w:val="21"/>
                    </w:rPr>
                    <w:t>48</w:t>
                  </w:r>
                </w:p>
              </w:tc>
              <w:tc>
                <w:tcPr>
                  <w:tcW w:w="210" w:type="pct"/>
                  <w:noWrap/>
                  <w:vAlign w:val="center"/>
                </w:tcPr>
                <w:p w14:paraId="72CCA8B6">
                  <w:pPr>
                    <w:spacing w:line="276" w:lineRule="auto"/>
                    <w:jc w:val="center"/>
                    <w:rPr>
                      <w:sz w:val="21"/>
                      <w:szCs w:val="21"/>
                    </w:rPr>
                  </w:pPr>
                  <w:r>
                    <w:rPr>
                      <w:rFonts w:hint="eastAsia"/>
                      <w:sz w:val="21"/>
                      <w:szCs w:val="21"/>
                    </w:rPr>
                    <w:t>180</w:t>
                  </w:r>
                </w:p>
              </w:tc>
              <w:tc>
                <w:tcPr>
                  <w:tcW w:w="210" w:type="pct"/>
                  <w:noWrap/>
                  <w:vAlign w:val="center"/>
                </w:tcPr>
                <w:p w14:paraId="542873ED">
                  <w:pPr>
                    <w:spacing w:line="276" w:lineRule="auto"/>
                    <w:jc w:val="center"/>
                    <w:rPr>
                      <w:sz w:val="21"/>
                      <w:szCs w:val="21"/>
                    </w:rPr>
                  </w:pPr>
                  <w:r>
                    <w:rPr>
                      <w:rFonts w:hint="eastAsia"/>
                      <w:sz w:val="21"/>
                      <w:szCs w:val="21"/>
                    </w:rPr>
                    <w:t>60</w:t>
                  </w:r>
                </w:p>
              </w:tc>
              <w:tc>
                <w:tcPr>
                  <w:tcW w:w="210" w:type="pct"/>
                  <w:noWrap/>
                  <w:vAlign w:val="center"/>
                </w:tcPr>
                <w:p w14:paraId="2FEF7458">
                  <w:pPr>
                    <w:spacing w:line="276" w:lineRule="auto"/>
                    <w:jc w:val="center"/>
                    <w:rPr>
                      <w:sz w:val="21"/>
                      <w:szCs w:val="21"/>
                    </w:rPr>
                  </w:pPr>
                  <w:r>
                    <w:rPr>
                      <w:rFonts w:hint="eastAsia"/>
                      <w:sz w:val="21"/>
                      <w:szCs w:val="21"/>
                    </w:rPr>
                    <w:t>56</w:t>
                  </w:r>
                </w:p>
              </w:tc>
              <w:tc>
                <w:tcPr>
                  <w:tcW w:w="210" w:type="pct"/>
                  <w:noWrap/>
                  <w:vAlign w:val="center"/>
                </w:tcPr>
                <w:p w14:paraId="62400046">
                  <w:pPr>
                    <w:spacing w:line="276" w:lineRule="auto"/>
                    <w:jc w:val="center"/>
                    <w:rPr>
                      <w:sz w:val="21"/>
                      <w:szCs w:val="21"/>
                    </w:rPr>
                  </w:pPr>
                  <w:r>
                    <w:rPr>
                      <w:rFonts w:hint="eastAsia"/>
                      <w:sz w:val="21"/>
                      <w:szCs w:val="21"/>
                    </w:rPr>
                    <w:t>48</w:t>
                  </w:r>
                </w:p>
              </w:tc>
              <w:tc>
                <w:tcPr>
                  <w:tcW w:w="213" w:type="pct"/>
                  <w:noWrap/>
                  <w:vAlign w:val="center"/>
                </w:tcPr>
                <w:p w14:paraId="311784E9">
                  <w:pPr>
                    <w:spacing w:line="276" w:lineRule="auto"/>
                    <w:jc w:val="center"/>
                    <w:rPr>
                      <w:sz w:val="21"/>
                      <w:szCs w:val="21"/>
                    </w:rPr>
                  </w:pPr>
                  <w:r>
                    <w:rPr>
                      <w:rFonts w:hint="eastAsia"/>
                      <w:sz w:val="21"/>
                      <w:szCs w:val="21"/>
                    </w:rPr>
                    <w:t>37</w:t>
                  </w:r>
                </w:p>
              </w:tc>
              <w:tc>
                <w:tcPr>
                  <w:tcW w:w="209" w:type="pct"/>
                  <w:vMerge w:val="continue"/>
                  <w:noWrap/>
                  <w:vAlign w:val="center"/>
                </w:tcPr>
                <w:p w14:paraId="024EA4C9">
                  <w:pPr>
                    <w:spacing w:line="276" w:lineRule="auto"/>
                    <w:jc w:val="center"/>
                    <w:rPr>
                      <w:sz w:val="21"/>
                      <w:szCs w:val="21"/>
                    </w:rPr>
                  </w:pPr>
                </w:p>
              </w:tc>
              <w:tc>
                <w:tcPr>
                  <w:tcW w:w="280" w:type="pct"/>
                  <w:noWrap/>
                  <w:vAlign w:val="center"/>
                </w:tcPr>
                <w:p w14:paraId="5FB8AF09">
                  <w:pPr>
                    <w:spacing w:line="276" w:lineRule="auto"/>
                    <w:jc w:val="center"/>
                    <w:rPr>
                      <w:sz w:val="21"/>
                      <w:szCs w:val="21"/>
                    </w:rPr>
                  </w:pPr>
                  <w:r>
                    <w:rPr>
                      <w:rFonts w:hint="eastAsia"/>
                      <w:sz w:val="21"/>
                      <w:szCs w:val="21"/>
                    </w:rPr>
                    <w:t>15</w:t>
                  </w:r>
                </w:p>
              </w:tc>
              <w:tc>
                <w:tcPr>
                  <w:tcW w:w="178" w:type="pct"/>
                  <w:noWrap/>
                  <w:vAlign w:val="center"/>
                </w:tcPr>
                <w:p w14:paraId="797A762E">
                  <w:pPr>
                    <w:spacing w:line="276" w:lineRule="auto"/>
                    <w:jc w:val="center"/>
                    <w:rPr>
                      <w:sz w:val="21"/>
                      <w:szCs w:val="21"/>
                    </w:rPr>
                  </w:pPr>
                  <w:r>
                    <w:rPr>
                      <w:rFonts w:hint="eastAsia"/>
                      <w:sz w:val="21"/>
                      <w:szCs w:val="21"/>
                    </w:rPr>
                    <w:t>45</w:t>
                  </w:r>
                </w:p>
              </w:tc>
              <w:tc>
                <w:tcPr>
                  <w:tcW w:w="178" w:type="pct"/>
                  <w:noWrap/>
                  <w:vAlign w:val="center"/>
                </w:tcPr>
                <w:p w14:paraId="5E2D56D7">
                  <w:pPr>
                    <w:spacing w:line="276" w:lineRule="auto"/>
                    <w:jc w:val="center"/>
                    <w:rPr>
                      <w:sz w:val="21"/>
                      <w:szCs w:val="21"/>
                    </w:rPr>
                  </w:pPr>
                  <w:r>
                    <w:rPr>
                      <w:rFonts w:hint="eastAsia"/>
                      <w:sz w:val="21"/>
                      <w:szCs w:val="21"/>
                    </w:rPr>
                    <w:t>41</w:t>
                  </w:r>
                </w:p>
              </w:tc>
              <w:tc>
                <w:tcPr>
                  <w:tcW w:w="178" w:type="pct"/>
                  <w:noWrap/>
                  <w:vAlign w:val="center"/>
                </w:tcPr>
                <w:p w14:paraId="5205615D">
                  <w:pPr>
                    <w:spacing w:line="276" w:lineRule="auto"/>
                    <w:jc w:val="center"/>
                    <w:rPr>
                      <w:sz w:val="21"/>
                      <w:szCs w:val="21"/>
                    </w:rPr>
                  </w:pPr>
                  <w:r>
                    <w:rPr>
                      <w:rFonts w:hint="eastAsia"/>
                      <w:sz w:val="21"/>
                      <w:szCs w:val="21"/>
                    </w:rPr>
                    <w:t>33</w:t>
                  </w:r>
                </w:p>
              </w:tc>
              <w:tc>
                <w:tcPr>
                  <w:tcW w:w="178" w:type="pct"/>
                  <w:noWrap/>
                  <w:vAlign w:val="center"/>
                </w:tcPr>
                <w:p w14:paraId="0A1F53D8">
                  <w:pPr>
                    <w:spacing w:line="276" w:lineRule="auto"/>
                    <w:jc w:val="center"/>
                    <w:rPr>
                      <w:sz w:val="21"/>
                      <w:szCs w:val="21"/>
                    </w:rPr>
                  </w:pPr>
                  <w:r>
                    <w:rPr>
                      <w:rFonts w:hint="eastAsia"/>
                      <w:sz w:val="21"/>
                      <w:szCs w:val="21"/>
                    </w:rPr>
                    <w:t>22</w:t>
                  </w:r>
                </w:p>
              </w:tc>
              <w:tc>
                <w:tcPr>
                  <w:tcW w:w="232" w:type="pct"/>
                  <w:noWrap/>
                  <w:vAlign w:val="center"/>
                </w:tcPr>
                <w:p w14:paraId="3590359C">
                  <w:pPr>
                    <w:spacing w:line="276" w:lineRule="auto"/>
                    <w:jc w:val="center"/>
                    <w:rPr>
                      <w:sz w:val="21"/>
                      <w:szCs w:val="21"/>
                    </w:rPr>
                  </w:pPr>
                  <w:r>
                    <w:rPr>
                      <w:rFonts w:hint="eastAsia"/>
                      <w:sz w:val="21"/>
                      <w:szCs w:val="21"/>
                    </w:rPr>
                    <w:t>1</w:t>
                  </w:r>
                  <w:r>
                    <w:rPr>
                      <w:sz w:val="21"/>
                      <w:szCs w:val="21"/>
                    </w:rPr>
                    <w:t>m</w:t>
                  </w:r>
                </w:p>
              </w:tc>
            </w:tr>
            <w:tr w14:paraId="38271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9B5DA7F">
                  <w:pPr>
                    <w:spacing w:line="276" w:lineRule="auto"/>
                    <w:jc w:val="center"/>
                    <w:rPr>
                      <w:sz w:val="21"/>
                      <w:szCs w:val="21"/>
                    </w:rPr>
                  </w:pPr>
                </w:p>
              </w:tc>
              <w:tc>
                <w:tcPr>
                  <w:tcW w:w="456" w:type="pct"/>
                  <w:noWrap/>
                  <w:vAlign w:val="center"/>
                </w:tcPr>
                <w:p w14:paraId="45B32CB3">
                  <w:pPr>
                    <w:spacing w:line="276" w:lineRule="auto"/>
                    <w:jc w:val="center"/>
                    <w:rPr>
                      <w:bCs/>
                      <w:sz w:val="21"/>
                      <w:szCs w:val="21"/>
                    </w:rPr>
                  </w:pPr>
                  <w:r>
                    <w:rPr>
                      <w:rFonts w:hint="eastAsia"/>
                      <w:sz w:val="21"/>
                      <w:szCs w:val="21"/>
                    </w:rPr>
                    <w:t>英田单柱液压机×11</w:t>
                  </w:r>
                </w:p>
              </w:tc>
              <w:tc>
                <w:tcPr>
                  <w:tcW w:w="327" w:type="pct"/>
                  <w:noWrap/>
                  <w:vAlign w:val="center"/>
                </w:tcPr>
                <w:p w14:paraId="1887CA6A">
                  <w:pPr>
                    <w:spacing w:line="276" w:lineRule="auto"/>
                    <w:jc w:val="center"/>
                    <w:rPr>
                      <w:sz w:val="21"/>
                      <w:szCs w:val="21"/>
                    </w:rPr>
                  </w:pPr>
                  <w:r>
                    <w:rPr>
                      <w:rFonts w:hint="eastAsia"/>
                      <w:sz w:val="21"/>
                      <w:szCs w:val="21"/>
                    </w:rPr>
                    <w:t>85（叠加）</w:t>
                  </w:r>
                </w:p>
              </w:tc>
              <w:tc>
                <w:tcPr>
                  <w:tcW w:w="198" w:type="pct"/>
                  <w:vMerge w:val="continue"/>
                  <w:noWrap/>
                  <w:vAlign w:val="center"/>
                </w:tcPr>
                <w:p w14:paraId="39F00BA5">
                  <w:pPr>
                    <w:spacing w:line="276" w:lineRule="auto"/>
                    <w:jc w:val="center"/>
                    <w:rPr>
                      <w:sz w:val="21"/>
                      <w:szCs w:val="21"/>
                    </w:rPr>
                  </w:pPr>
                </w:p>
              </w:tc>
              <w:tc>
                <w:tcPr>
                  <w:tcW w:w="210" w:type="pct"/>
                  <w:tcBorders>
                    <w:top w:val="single" w:color="auto" w:sz="4" w:space="0"/>
                    <w:bottom w:val="single" w:color="auto" w:sz="4" w:space="0"/>
                  </w:tcBorders>
                  <w:noWrap/>
                  <w:vAlign w:val="center"/>
                </w:tcPr>
                <w:p w14:paraId="0A11B82E">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0AAA12B5">
                  <w:pPr>
                    <w:spacing w:line="276" w:lineRule="auto"/>
                    <w:jc w:val="center"/>
                    <w:rPr>
                      <w:sz w:val="21"/>
                      <w:szCs w:val="21"/>
                    </w:rPr>
                  </w:pPr>
                  <w:r>
                    <w:rPr>
                      <w:rFonts w:hint="eastAsia"/>
                      <w:sz w:val="21"/>
                      <w:szCs w:val="21"/>
                    </w:rPr>
                    <w:t>-70</w:t>
                  </w:r>
                </w:p>
              </w:tc>
              <w:tc>
                <w:tcPr>
                  <w:tcW w:w="210" w:type="pct"/>
                  <w:tcBorders>
                    <w:top w:val="single" w:color="auto" w:sz="4" w:space="0"/>
                    <w:bottom w:val="single" w:color="auto" w:sz="4" w:space="0"/>
                  </w:tcBorders>
                  <w:noWrap/>
                  <w:vAlign w:val="center"/>
                </w:tcPr>
                <w:p w14:paraId="39AC08A6">
                  <w:pPr>
                    <w:spacing w:line="276" w:lineRule="auto"/>
                    <w:jc w:val="center"/>
                    <w:rPr>
                      <w:sz w:val="21"/>
                      <w:szCs w:val="21"/>
                    </w:rPr>
                  </w:pPr>
                  <w:r>
                    <w:rPr>
                      <w:rFonts w:hint="eastAsia"/>
                      <w:sz w:val="21"/>
                      <w:szCs w:val="21"/>
                    </w:rPr>
                    <w:t>11.4</w:t>
                  </w:r>
                </w:p>
              </w:tc>
              <w:tc>
                <w:tcPr>
                  <w:tcW w:w="210" w:type="pct"/>
                  <w:noWrap/>
                  <w:vAlign w:val="center"/>
                </w:tcPr>
                <w:p w14:paraId="1604EAC4">
                  <w:pPr>
                    <w:spacing w:line="276" w:lineRule="auto"/>
                    <w:jc w:val="center"/>
                    <w:rPr>
                      <w:sz w:val="21"/>
                      <w:szCs w:val="21"/>
                    </w:rPr>
                  </w:pPr>
                  <w:r>
                    <w:rPr>
                      <w:rFonts w:hint="eastAsia"/>
                      <w:sz w:val="21"/>
                      <w:szCs w:val="21"/>
                    </w:rPr>
                    <w:t>12</w:t>
                  </w:r>
                </w:p>
              </w:tc>
              <w:tc>
                <w:tcPr>
                  <w:tcW w:w="210" w:type="pct"/>
                  <w:noWrap/>
                  <w:vAlign w:val="center"/>
                </w:tcPr>
                <w:p w14:paraId="5DBB857B">
                  <w:pPr>
                    <w:spacing w:line="276" w:lineRule="auto"/>
                    <w:jc w:val="center"/>
                    <w:rPr>
                      <w:sz w:val="21"/>
                      <w:szCs w:val="21"/>
                    </w:rPr>
                  </w:pPr>
                  <w:r>
                    <w:rPr>
                      <w:rFonts w:hint="eastAsia"/>
                      <w:sz w:val="21"/>
                      <w:szCs w:val="21"/>
                    </w:rPr>
                    <w:t>30</w:t>
                  </w:r>
                </w:p>
              </w:tc>
              <w:tc>
                <w:tcPr>
                  <w:tcW w:w="210" w:type="pct"/>
                  <w:noWrap/>
                  <w:vAlign w:val="center"/>
                </w:tcPr>
                <w:p w14:paraId="2CE4FE53">
                  <w:pPr>
                    <w:spacing w:line="276" w:lineRule="auto"/>
                    <w:jc w:val="center"/>
                    <w:rPr>
                      <w:sz w:val="21"/>
                      <w:szCs w:val="21"/>
                    </w:rPr>
                  </w:pPr>
                  <w:r>
                    <w:rPr>
                      <w:rFonts w:hint="eastAsia"/>
                      <w:sz w:val="21"/>
                      <w:szCs w:val="21"/>
                    </w:rPr>
                    <w:t>48</w:t>
                  </w:r>
                </w:p>
              </w:tc>
              <w:tc>
                <w:tcPr>
                  <w:tcW w:w="210" w:type="pct"/>
                  <w:noWrap/>
                  <w:vAlign w:val="center"/>
                </w:tcPr>
                <w:p w14:paraId="484CB1A9">
                  <w:pPr>
                    <w:spacing w:line="276" w:lineRule="auto"/>
                    <w:jc w:val="center"/>
                    <w:rPr>
                      <w:sz w:val="21"/>
                      <w:szCs w:val="21"/>
                    </w:rPr>
                  </w:pPr>
                  <w:r>
                    <w:rPr>
                      <w:rFonts w:hint="eastAsia"/>
                      <w:sz w:val="21"/>
                      <w:szCs w:val="21"/>
                    </w:rPr>
                    <w:t>170</w:t>
                  </w:r>
                </w:p>
              </w:tc>
              <w:tc>
                <w:tcPr>
                  <w:tcW w:w="210" w:type="pct"/>
                  <w:noWrap/>
                  <w:vAlign w:val="center"/>
                </w:tcPr>
                <w:p w14:paraId="62C79D5A">
                  <w:pPr>
                    <w:spacing w:line="276" w:lineRule="auto"/>
                    <w:jc w:val="center"/>
                    <w:rPr>
                      <w:sz w:val="21"/>
                      <w:szCs w:val="21"/>
                    </w:rPr>
                  </w:pPr>
                  <w:r>
                    <w:rPr>
                      <w:rFonts w:hint="eastAsia"/>
                      <w:sz w:val="21"/>
                      <w:szCs w:val="21"/>
                    </w:rPr>
                    <w:t>63</w:t>
                  </w:r>
                </w:p>
              </w:tc>
              <w:tc>
                <w:tcPr>
                  <w:tcW w:w="210" w:type="pct"/>
                  <w:noWrap/>
                  <w:vAlign w:val="center"/>
                </w:tcPr>
                <w:p w14:paraId="7F869FB2">
                  <w:pPr>
                    <w:spacing w:line="276" w:lineRule="auto"/>
                    <w:jc w:val="center"/>
                    <w:rPr>
                      <w:sz w:val="21"/>
                      <w:szCs w:val="21"/>
                    </w:rPr>
                  </w:pPr>
                  <w:r>
                    <w:rPr>
                      <w:rFonts w:hint="eastAsia"/>
                      <w:sz w:val="21"/>
                      <w:szCs w:val="21"/>
                    </w:rPr>
                    <w:t>55</w:t>
                  </w:r>
                </w:p>
              </w:tc>
              <w:tc>
                <w:tcPr>
                  <w:tcW w:w="210" w:type="pct"/>
                  <w:noWrap/>
                  <w:vAlign w:val="center"/>
                </w:tcPr>
                <w:p w14:paraId="7EE9ED4A">
                  <w:pPr>
                    <w:spacing w:line="276" w:lineRule="auto"/>
                    <w:jc w:val="center"/>
                    <w:rPr>
                      <w:sz w:val="21"/>
                      <w:szCs w:val="21"/>
                    </w:rPr>
                  </w:pPr>
                  <w:r>
                    <w:rPr>
                      <w:rFonts w:hint="eastAsia"/>
                      <w:sz w:val="21"/>
                      <w:szCs w:val="21"/>
                    </w:rPr>
                    <w:t>51</w:t>
                  </w:r>
                </w:p>
              </w:tc>
              <w:tc>
                <w:tcPr>
                  <w:tcW w:w="213" w:type="pct"/>
                  <w:noWrap/>
                  <w:vAlign w:val="center"/>
                </w:tcPr>
                <w:p w14:paraId="528250C1">
                  <w:pPr>
                    <w:spacing w:line="276" w:lineRule="auto"/>
                    <w:jc w:val="center"/>
                    <w:rPr>
                      <w:sz w:val="21"/>
                      <w:szCs w:val="21"/>
                    </w:rPr>
                  </w:pPr>
                  <w:r>
                    <w:rPr>
                      <w:rFonts w:hint="eastAsia"/>
                      <w:sz w:val="21"/>
                      <w:szCs w:val="21"/>
                    </w:rPr>
                    <w:t>40</w:t>
                  </w:r>
                </w:p>
              </w:tc>
              <w:tc>
                <w:tcPr>
                  <w:tcW w:w="209" w:type="pct"/>
                  <w:vMerge w:val="continue"/>
                  <w:noWrap/>
                  <w:vAlign w:val="center"/>
                </w:tcPr>
                <w:p w14:paraId="7FB9659D">
                  <w:pPr>
                    <w:spacing w:line="276" w:lineRule="auto"/>
                    <w:jc w:val="center"/>
                    <w:rPr>
                      <w:sz w:val="21"/>
                      <w:szCs w:val="21"/>
                    </w:rPr>
                  </w:pPr>
                </w:p>
              </w:tc>
              <w:tc>
                <w:tcPr>
                  <w:tcW w:w="280" w:type="pct"/>
                  <w:noWrap/>
                  <w:vAlign w:val="center"/>
                </w:tcPr>
                <w:p w14:paraId="6A186612">
                  <w:pPr>
                    <w:spacing w:line="276" w:lineRule="auto"/>
                    <w:jc w:val="center"/>
                    <w:rPr>
                      <w:sz w:val="21"/>
                      <w:szCs w:val="21"/>
                    </w:rPr>
                  </w:pPr>
                  <w:r>
                    <w:rPr>
                      <w:rFonts w:hint="eastAsia"/>
                      <w:sz w:val="21"/>
                      <w:szCs w:val="21"/>
                    </w:rPr>
                    <w:t>15</w:t>
                  </w:r>
                </w:p>
              </w:tc>
              <w:tc>
                <w:tcPr>
                  <w:tcW w:w="178" w:type="pct"/>
                  <w:noWrap/>
                  <w:vAlign w:val="center"/>
                </w:tcPr>
                <w:p w14:paraId="3E183B17">
                  <w:pPr>
                    <w:spacing w:line="276" w:lineRule="auto"/>
                    <w:jc w:val="center"/>
                    <w:rPr>
                      <w:sz w:val="21"/>
                      <w:szCs w:val="21"/>
                    </w:rPr>
                  </w:pPr>
                  <w:r>
                    <w:rPr>
                      <w:rFonts w:hint="eastAsia"/>
                      <w:sz w:val="21"/>
                      <w:szCs w:val="21"/>
                    </w:rPr>
                    <w:t>48</w:t>
                  </w:r>
                </w:p>
              </w:tc>
              <w:tc>
                <w:tcPr>
                  <w:tcW w:w="178" w:type="pct"/>
                  <w:noWrap/>
                  <w:vAlign w:val="center"/>
                </w:tcPr>
                <w:p w14:paraId="1B597793">
                  <w:pPr>
                    <w:spacing w:line="276" w:lineRule="auto"/>
                    <w:jc w:val="center"/>
                    <w:rPr>
                      <w:sz w:val="21"/>
                      <w:szCs w:val="21"/>
                    </w:rPr>
                  </w:pPr>
                  <w:r>
                    <w:rPr>
                      <w:rFonts w:hint="eastAsia"/>
                      <w:sz w:val="21"/>
                      <w:szCs w:val="21"/>
                    </w:rPr>
                    <w:t>40</w:t>
                  </w:r>
                </w:p>
              </w:tc>
              <w:tc>
                <w:tcPr>
                  <w:tcW w:w="178" w:type="pct"/>
                  <w:noWrap/>
                  <w:vAlign w:val="center"/>
                </w:tcPr>
                <w:p w14:paraId="0F0E8646">
                  <w:pPr>
                    <w:spacing w:line="276" w:lineRule="auto"/>
                    <w:jc w:val="center"/>
                    <w:rPr>
                      <w:sz w:val="21"/>
                      <w:szCs w:val="21"/>
                    </w:rPr>
                  </w:pPr>
                  <w:r>
                    <w:rPr>
                      <w:rFonts w:hint="eastAsia"/>
                      <w:sz w:val="21"/>
                      <w:szCs w:val="21"/>
                    </w:rPr>
                    <w:t>36</w:t>
                  </w:r>
                </w:p>
              </w:tc>
              <w:tc>
                <w:tcPr>
                  <w:tcW w:w="178" w:type="pct"/>
                  <w:noWrap/>
                  <w:vAlign w:val="center"/>
                </w:tcPr>
                <w:p w14:paraId="7D191827">
                  <w:pPr>
                    <w:spacing w:line="276" w:lineRule="auto"/>
                    <w:jc w:val="center"/>
                    <w:rPr>
                      <w:sz w:val="21"/>
                      <w:szCs w:val="21"/>
                    </w:rPr>
                  </w:pPr>
                  <w:r>
                    <w:rPr>
                      <w:rFonts w:hint="eastAsia"/>
                      <w:sz w:val="21"/>
                      <w:szCs w:val="21"/>
                    </w:rPr>
                    <w:t>25</w:t>
                  </w:r>
                </w:p>
              </w:tc>
              <w:tc>
                <w:tcPr>
                  <w:tcW w:w="232" w:type="pct"/>
                  <w:noWrap/>
                  <w:vAlign w:val="center"/>
                </w:tcPr>
                <w:p w14:paraId="77663EF7">
                  <w:pPr>
                    <w:spacing w:line="276" w:lineRule="auto"/>
                    <w:jc w:val="center"/>
                    <w:rPr>
                      <w:sz w:val="21"/>
                      <w:szCs w:val="21"/>
                    </w:rPr>
                  </w:pPr>
                  <w:r>
                    <w:rPr>
                      <w:rFonts w:hint="eastAsia"/>
                      <w:sz w:val="21"/>
                      <w:szCs w:val="21"/>
                    </w:rPr>
                    <w:t>1</w:t>
                  </w:r>
                  <w:r>
                    <w:rPr>
                      <w:sz w:val="21"/>
                      <w:szCs w:val="21"/>
                    </w:rPr>
                    <w:t>m</w:t>
                  </w:r>
                </w:p>
              </w:tc>
            </w:tr>
            <w:tr w14:paraId="5A7B6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705A807B">
                  <w:pPr>
                    <w:spacing w:line="276" w:lineRule="auto"/>
                    <w:jc w:val="center"/>
                    <w:rPr>
                      <w:sz w:val="21"/>
                      <w:szCs w:val="21"/>
                    </w:rPr>
                  </w:pPr>
                </w:p>
              </w:tc>
              <w:tc>
                <w:tcPr>
                  <w:tcW w:w="456" w:type="pct"/>
                  <w:noWrap/>
                  <w:vAlign w:val="center"/>
                </w:tcPr>
                <w:p w14:paraId="34F3BA24">
                  <w:pPr>
                    <w:spacing w:line="276" w:lineRule="auto"/>
                    <w:jc w:val="center"/>
                    <w:rPr>
                      <w:bCs/>
                      <w:sz w:val="21"/>
                      <w:szCs w:val="21"/>
                    </w:rPr>
                  </w:pPr>
                  <w:r>
                    <w:rPr>
                      <w:rFonts w:hint="eastAsia"/>
                      <w:sz w:val="21"/>
                      <w:szCs w:val="21"/>
                    </w:rPr>
                    <w:t>小兵液压机×1</w:t>
                  </w:r>
                </w:p>
              </w:tc>
              <w:tc>
                <w:tcPr>
                  <w:tcW w:w="327" w:type="pct"/>
                  <w:noWrap/>
                  <w:vAlign w:val="center"/>
                </w:tcPr>
                <w:p w14:paraId="5B9B4BC9">
                  <w:pPr>
                    <w:spacing w:line="276" w:lineRule="auto"/>
                    <w:jc w:val="center"/>
                    <w:rPr>
                      <w:sz w:val="21"/>
                      <w:szCs w:val="21"/>
                    </w:rPr>
                  </w:pPr>
                  <w:r>
                    <w:rPr>
                      <w:rFonts w:hint="eastAsia"/>
                      <w:sz w:val="21"/>
                      <w:szCs w:val="21"/>
                    </w:rPr>
                    <w:t>75</w:t>
                  </w:r>
                </w:p>
              </w:tc>
              <w:tc>
                <w:tcPr>
                  <w:tcW w:w="198" w:type="pct"/>
                  <w:vMerge w:val="continue"/>
                  <w:noWrap/>
                  <w:vAlign w:val="center"/>
                </w:tcPr>
                <w:p w14:paraId="30AD402F">
                  <w:pPr>
                    <w:spacing w:line="276" w:lineRule="auto"/>
                    <w:jc w:val="center"/>
                    <w:rPr>
                      <w:sz w:val="21"/>
                      <w:szCs w:val="21"/>
                    </w:rPr>
                  </w:pPr>
                </w:p>
              </w:tc>
              <w:tc>
                <w:tcPr>
                  <w:tcW w:w="210" w:type="pct"/>
                  <w:tcBorders>
                    <w:top w:val="single" w:color="auto" w:sz="4" w:space="0"/>
                    <w:bottom w:val="single" w:color="auto" w:sz="4" w:space="0"/>
                  </w:tcBorders>
                  <w:noWrap/>
                  <w:vAlign w:val="center"/>
                </w:tcPr>
                <w:p w14:paraId="41E70EC1">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6499E930">
                  <w:pPr>
                    <w:spacing w:line="276" w:lineRule="auto"/>
                    <w:jc w:val="center"/>
                    <w:rPr>
                      <w:sz w:val="21"/>
                      <w:szCs w:val="21"/>
                    </w:rPr>
                  </w:pPr>
                  <w:r>
                    <w:rPr>
                      <w:rFonts w:hint="eastAsia"/>
                      <w:sz w:val="21"/>
                      <w:szCs w:val="21"/>
                    </w:rPr>
                    <w:t>-60</w:t>
                  </w:r>
                </w:p>
              </w:tc>
              <w:tc>
                <w:tcPr>
                  <w:tcW w:w="210" w:type="pct"/>
                  <w:tcBorders>
                    <w:top w:val="single" w:color="auto" w:sz="4" w:space="0"/>
                    <w:bottom w:val="single" w:color="auto" w:sz="4" w:space="0"/>
                  </w:tcBorders>
                  <w:noWrap/>
                  <w:vAlign w:val="center"/>
                </w:tcPr>
                <w:p w14:paraId="2432CA9D">
                  <w:pPr>
                    <w:spacing w:line="276" w:lineRule="auto"/>
                    <w:jc w:val="center"/>
                    <w:rPr>
                      <w:sz w:val="21"/>
                      <w:szCs w:val="21"/>
                    </w:rPr>
                  </w:pPr>
                  <w:r>
                    <w:rPr>
                      <w:rFonts w:hint="eastAsia"/>
                      <w:sz w:val="21"/>
                      <w:szCs w:val="21"/>
                    </w:rPr>
                    <w:t>11.4</w:t>
                  </w:r>
                </w:p>
              </w:tc>
              <w:tc>
                <w:tcPr>
                  <w:tcW w:w="210" w:type="pct"/>
                  <w:noWrap/>
                  <w:vAlign w:val="center"/>
                </w:tcPr>
                <w:p w14:paraId="1893ADC6">
                  <w:pPr>
                    <w:spacing w:line="276" w:lineRule="auto"/>
                    <w:jc w:val="center"/>
                    <w:rPr>
                      <w:sz w:val="21"/>
                      <w:szCs w:val="21"/>
                    </w:rPr>
                  </w:pPr>
                  <w:r>
                    <w:rPr>
                      <w:rFonts w:hint="eastAsia"/>
                      <w:sz w:val="21"/>
                      <w:szCs w:val="21"/>
                    </w:rPr>
                    <w:t>12</w:t>
                  </w:r>
                </w:p>
              </w:tc>
              <w:tc>
                <w:tcPr>
                  <w:tcW w:w="210" w:type="pct"/>
                  <w:noWrap/>
                  <w:vAlign w:val="center"/>
                </w:tcPr>
                <w:p w14:paraId="272C0412">
                  <w:pPr>
                    <w:spacing w:line="276" w:lineRule="auto"/>
                    <w:jc w:val="center"/>
                    <w:rPr>
                      <w:sz w:val="21"/>
                      <w:szCs w:val="21"/>
                    </w:rPr>
                  </w:pPr>
                  <w:r>
                    <w:rPr>
                      <w:rFonts w:hint="eastAsia"/>
                      <w:sz w:val="21"/>
                      <w:szCs w:val="21"/>
                    </w:rPr>
                    <w:t>40</w:t>
                  </w:r>
                </w:p>
              </w:tc>
              <w:tc>
                <w:tcPr>
                  <w:tcW w:w="210" w:type="pct"/>
                  <w:noWrap/>
                  <w:vAlign w:val="center"/>
                </w:tcPr>
                <w:p w14:paraId="3A2FD714">
                  <w:pPr>
                    <w:spacing w:line="276" w:lineRule="auto"/>
                    <w:jc w:val="center"/>
                    <w:rPr>
                      <w:sz w:val="21"/>
                      <w:szCs w:val="21"/>
                    </w:rPr>
                  </w:pPr>
                  <w:r>
                    <w:rPr>
                      <w:rFonts w:hint="eastAsia"/>
                      <w:sz w:val="21"/>
                      <w:szCs w:val="21"/>
                    </w:rPr>
                    <w:t>48</w:t>
                  </w:r>
                </w:p>
              </w:tc>
              <w:tc>
                <w:tcPr>
                  <w:tcW w:w="210" w:type="pct"/>
                  <w:noWrap/>
                  <w:vAlign w:val="center"/>
                </w:tcPr>
                <w:p w14:paraId="33BBDA62">
                  <w:pPr>
                    <w:spacing w:line="276" w:lineRule="auto"/>
                    <w:jc w:val="center"/>
                    <w:rPr>
                      <w:sz w:val="21"/>
                      <w:szCs w:val="21"/>
                    </w:rPr>
                  </w:pPr>
                  <w:r>
                    <w:rPr>
                      <w:rFonts w:hint="eastAsia"/>
                      <w:sz w:val="21"/>
                      <w:szCs w:val="21"/>
                    </w:rPr>
                    <w:t>160</w:t>
                  </w:r>
                </w:p>
              </w:tc>
              <w:tc>
                <w:tcPr>
                  <w:tcW w:w="210" w:type="pct"/>
                  <w:noWrap/>
                  <w:vAlign w:val="center"/>
                </w:tcPr>
                <w:p w14:paraId="18773F4A">
                  <w:pPr>
                    <w:spacing w:line="276" w:lineRule="auto"/>
                    <w:jc w:val="center"/>
                    <w:rPr>
                      <w:sz w:val="21"/>
                      <w:szCs w:val="21"/>
                    </w:rPr>
                  </w:pPr>
                  <w:r>
                    <w:rPr>
                      <w:rFonts w:hint="eastAsia"/>
                      <w:sz w:val="21"/>
                      <w:szCs w:val="21"/>
                    </w:rPr>
                    <w:t>53</w:t>
                  </w:r>
                </w:p>
              </w:tc>
              <w:tc>
                <w:tcPr>
                  <w:tcW w:w="210" w:type="pct"/>
                  <w:noWrap/>
                  <w:vAlign w:val="center"/>
                </w:tcPr>
                <w:p w14:paraId="11F4362B">
                  <w:pPr>
                    <w:spacing w:line="276" w:lineRule="auto"/>
                    <w:jc w:val="center"/>
                    <w:rPr>
                      <w:sz w:val="21"/>
                      <w:szCs w:val="21"/>
                    </w:rPr>
                  </w:pPr>
                  <w:r>
                    <w:rPr>
                      <w:rFonts w:hint="eastAsia"/>
                      <w:sz w:val="21"/>
                      <w:szCs w:val="21"/>
                    </w:rPr>
                    <w:t>43</w:t>
                  </w:r>
                </w:p>
              </w:tc>
              <w:tc>
                <w:tcPr>
                  <w:tcW w:w="210" w:type="pct"/>
                  <w:noWrap/>
                  <w:vAlign w:val="center"/>
                </w:tcPr>
                <w:p w14:paraId="4A46EC73">
                  <w:pPr>
                    <w:spacing w:line="276" w:lineRule="auto"/>
                    <w:jc w:val="center"/>
                    <w:rPr>
                      <w:sz w:val="21"/>
                      <w:szCs w:val="21"/>
                    </w:rPr>
                  </w:pPr>
                  <w:r>
                    <w:rPr>
                      <w:rFonts w:hint="eastAsia"/>
                      <w:sz w:val="21"/>
                      <w:szCs w:val="21"/>
                    </w:rPr>
                    <w:t>41</w:t>
                  </w:r>
                </w:p>
              </w:tc>
              <w:tc>
                <w:tcPr>
                  <w:tcW w:w="213" w:type="pct"/>
                  <w:noWrap/>
                  <w:vAlign w:val="center"/>
                </w:tcPr>
                <w:p w14:paraId="21A53B14">
                  <w:pPr>
                    <w:spacing w:line="276" w:lineRule="auto"/>
                    <w:jc w:val="center"/>
                    <w:rPr>
                      <w:sz w:val="21"/>
                      <w:szCs w:val="21"/>
                    </w:rPr>
                  </w:pPr>
                  <w:r>
                    <w:rPr>
                      <w:rFonts w:hint="eastAsia"/>
                      <w:sz w:val="21"/>
                      <w:szCs w:val="21"/>
                    </w:rPr>
                    <w:t>31</w:t>
                  </w:r>
                </w:p>
              </w:tc>
              <w:tc>
                <w:tcPr>
                  <w:tcW w:w="209" w:type="pct"/>
                  <w:vMerge w:val="continue"/>
                  <w:noWrap/>
                  <w:vAlign w:val="center"/>
                </w:tcPr>
                <w:p w14:paraId="688FB02C">
                  <w:pPr>
                    <w:spacing w:line="276" w:lineRule="auto"/>
                    <w:jc w:val="center"/>
                    <w:rPr>
                      <w:sz w:val="21"/>
                      <w:szCs w:val="21"/>
                    </w:rPr>
                  </w:pPr>
                </w:p>
              </w:tc>
              <w:tc>
                <w:tcPr>
                  <w:tcW w:w="280" w:type="pct"/>
                  <w:noWrap/>
                  <w:vAlign w:val="center"/>
                </w:tcPr>
                <w:p w14:paraId="5DBC5A78">
                  <w:pPr>
                    <w:spacing w:line="276" w:lineRule="auto"/>
                    <w:jc w:val="center"/>
                    <w:rPr>
                      <w:sz w:val="21"/>
                      <w:szCs w:val="21"/>
                    </w:rPr>
                  </w:pPr>
                  <w:r>
                    <w:rPr>
                      <w:rFonts w:hint="eastAsia"/>
                      <w:sz w:val="21"/>
                      <w:szCs w:val="21"/>
                    </w:rPr>
                    <w:t>15</w:t>
                  </w:r>
                </w:p>
              </w:tc>
              <w:tc>
                <w:tcPr>
                  <w:tcW w:w="178" w:type="pct"/>
                  <w:noWrap/>
                  <w:vAlign w:val="center"/>
                </w:tcPr>
                <w:p w14:paraId="2EFF0831">
                  <w:pPr>
                    <w:spacing w:line="276" w:lineRule="auto"/>
                    <w:jc w:val="center"/>
                    <w:rPr>
                      <w:sz w:val="21"/>
                      <w:szCs w:val="21"/>
                    </w:rPr>
                  </w:pPr>
                  <w:r>
                    <w:rPr>
                      <w:rFonts w:hint="eastAsia"/>
                      <w:sz w:val="21"/>
                      <w:szCs w:val="21"/>
                    </w:rPr>
                    <w:t>38</w:t>
                  </w:r>
                </w:p>
              </w:tc>
              <w:tc>
                <w:tcPr>
                  <w:tcW w:w="178" w:type="pct"/>
                  <w:noWrap/>
                  <w:vAlign w:val="center"/>
                </w:tcPr>
                <w:p w14:paraId="70A2E24E">
                  <w:pPr>
                    <w:spacing w:line="276" w:lineRule="auto"/>
                    <w:jc w:val="center"/>
                    <w:rPr>
                      <w:sz w:val="21"/>
                      <w:szCs w:val="21"/>
                    </w:rPr>
                  </w:pPr>
                  <w:r>
                    <w:rPr>
                      <w:rFonts w:hint="eastAsia"/>
                      <w:sz w:val="21"/>
                      <w:szCs w:val="21"/>
                    </w:rPr>
                    <w:t>28</w:t>
                  </w:r>
                </w:p>
              </w:tc>
              <w:tc>
                <w:tcPr>
                  <w:tcW w:w="178" w:type="pct"/>
                  <w:noWrap/>
                  <w:vAlign w:val="center"/>
                </w:tcPr>
                <w:p w14:paraId="318689F3">
                  <w:pPr>
                    <w:spacing w:line="276" w:lineRule="auto"/>
                    <w:jc w:val="center"/>
                    <w:rPr>
                      <w:sz w:val="21"/>
                      <w:szCs w:val="21"/>
                    </w:rPr>
                  </w:pPr>
                  <w:r>
                    <w:rPr>
                      <w:rFonts w:hint="eastAsia"/>
                      <w:sz w:val="21"/>
                      <w:szCs w:val="21"/>
                    </w:rPr>
                    <w:t>26</w:t>
                  </w:r>
                </w:p>
              </w:tc>
              <w:tc>
                <w:tcPr>
                  <w:tcW w:w="178" w:type="pct"/>
                  <w:noWrap/>
                  <w:vAlign w:val="center"/>
                </w:tcPr>
                <w:p w14:paraId="46660653">
                  <w:pPr>
                    <w:spacing w:line="276" w:lineRule="auto"/>
                    <w:jc w:val="center"/>
                    <w:rPr>
                      <w:sz w:val="21"/>
                      <w:szCs w:val="21"/>
                    </w:rPr>
                  </w:pPr>
                  <w:r>
                    <w:rPr>
                      <w:rFonts w:hint="eastAsia"/>
                      <w:sz w:val="21"/>
                      <w:szCs w:val="21"/>
                    </w:rPr>
                    <w:t>16</w:t>
                  </w:r>
                </w:p>
              </w:tc>
              <w:tc>
                <w:tcPr>
                  <w:tcW w:w="232" w:type="pct"/>
                  <w:noWrap/>
                  <w:vAlign w:val="center"/>
                </w:tcPr>
                <w:p w14:paraId="0C14F56F">
                  <w:pPr>
                    <w:spacing w:line="276" w:lineRule="auto"/>
                    <w:jc w:val="center"/>
                    <w:rPr>
                      <w:sz w:val="21"/>
                      <w:szCs w:val="21"/>
                    </w:rPr>
                  </w:pPr>
                  <w:r>
                    <w:rPr>
                      <w:rFonts w:hint="eastAsia"/>
                      <w:sz w:val="21"/>
                      <w:szCs w:val="21"/>
                    </w:rPr>
                    <w:t>1</w:t>
                  </w:r>
                  <w:r>
                    <w:rPr>
                      <w:sz w:val="21"/>
                      <w:szCs w:val="21"/>
                    </w:rPr>
                    <w:t>m</w:t>
                  </w:r>
                </w:p>
              </w:tc>
            </w:tr>
            <w:tr w14:paraId="412B8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5FA65F51">
                  <w:pPr>
                    <w:spacing w:line="276" w:lineRule="auto"/>
                    <w:jc w:val="center"/>
                    <w:rPr>
                      <w:sz w:val="21"/>
                      <w:szCs w:val="21"/>
                    </w:rPr>
                  </w:pPr>
                </w:p>
              </w:tc>
              <w:tc>
                <w:tcPr>
                  <w:tcW w:w="456" w:type="pct"/>
                  <w:noWrap/>
                  <w:vAlign w:val="center"/>
                </w:tcPr>
                <w:p w14:paraId="540CE313">
                  <w:pPr>
                    <w:spacing w:line="276" w:lineRule="auto"/>
                    <w:jc w:val="center"/>
                    <w:rPr>
                      <w:sz w:val="21"/>
                      <w:szCs w:val="21"/>
                    </w:rPr>
                  </w:pPr>
                  <w:r>
                    <w:rPr>
                      <w:rFonts w:hint="eastAsia"/>
                      <w:bCs/>
                      <w:sz w:val="21"/>
                      <w:szCs w:val="21"/>
                    </w:rPr>
                    <w:t>英田液压旋铆机×2</w:t>
                  </w:r>
                </w:p>
              </w:tc>
              <w:tc>
                <w:tcPr>
                  <w:tcW w:w="327" w:type="pct"/>
                  <w:noWrap/>
                  <w:vAlign w:val="center"/>
                </w:tcPr>
                <w:p w14:paraId="488ABE6E">
                  <w:pPr>
                    <w:spacing w:line="276" w:lineRule="auto"/>
                    <w:jc w:val="center"/>
                    <w:rPr>
                      <w:sz w:val="21"/>
                      <w:szCs w:val="21"/>
                    </w:rPr>
                  </w:pPr>
                  <w:r>
                    <w:rPr>
                      <w:rFonts w:hint="eastAsia"/>
                      <w:sz w:val="21"/>
                      <w:szCs w:val="21"/>
                    </w:rPr>
                    <w:t>78（叠加）</w:t>
                  </w:r>
                </w:p>
              </w:tc>
              <w:tc>
                <w:tcPr>
                  <w:tcW w:w="198" w:type="pct"/>
                  <w:vMerge w:val="continue"/>
                  <w:noWrap/>
                  <w:vAlign w:val="center"/>
                </w:tcPr>
                <w:p w14:paraId="31DC8870">
                  <w:pPr>
                    <w:spacing w:line="276" w:lineRule="auto"/>
                    <w:jc w:val="center"/>
                    <w:rPr>
                      <w:sz w:val="21"/>
                      <w:szCs w:val="21"/>
                    </w:rPr>
                  </w:pPr>
                </w:p>
              </w:tc>
              <w:tc>
                <w:tcPr>
                  <w:tcW w:w="210" w:type="pct"/>
                  <w:tcBorders>
                    <w:top w:val="single" w:color="auto" w:sz="4" w:space="0"/>
                    <w:bottom w:val="single" w:color="auto" w:sz="4" w:space="0"/>
                  </w:tcBorders>
                  <w:noWrap/>
                  <w:vAlign w:val="center"/>
                </w:tcPr>
                <w:p w14:paraId="2AB66466">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2F07F737">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0AEB14F8">
                  <w:pPr>
                    <w:spacing w:line="276" w:lineRule="auto"/>
                    <w:jc w:val="center"/>
                    <w:rPr>
                      <w:sz w:val="21"/>
                      <w:szCs w:val="21"/>
                    </w:rPr>
                  </w:pPr>
                  <w:r>
                    <w:rPr>
                      <w:rFonts w:hint="eastAsia"/>
                      <w:sz w:val="21"/>
                      <w:szCs w:val="21"/>
                    </w:rPr>
                    <w:t>11.4</w:t>
                  </w:r>
                </w:p>
              </w:tc>
              <w:tc>
                <w:tcPr>
                  <w:tcW w:w="210" w:type="pct"/>
                  <w:noWrap/>
                  <w:vAlign w:val="center"/>
                </w:tcPr>
                <w:p w14:paraId="73854792">
                  <w:pPr>
                    <w:spacing w:line="276" w:lineRule="auto"/>
                    <w:jc w:val="center"/>
                    <w:rPr>
                      <w:sz w:val="21"/>
                      <w:szCs w:val="21"/>
                    </w:rPr>
                  </w:pPr>
                  <w:r>
                    <w:rPr>
                      <w:rFonts w:hint="eastAsia"/>
                      <w:sz w:val="21"/>
                      <w:szCs w:val="21"/>
                    </w:rPr>
                    <w:t>12</w:t>
                  </w:r>
                </w:p>
              </w:tc>
              <w:tc>
                <w:tcPr>
                  <w:tcW w:w="210" w:type="pct"/>
                  <w:noWrap/>
                  <w:vAlign w:val="center"/>
                </w:tcPr>
                <w:p w14:paraId="7B27E230">
                  <w:pPr>
                    <w:spacing w:line="276" w:lineRule="auto"/>
                    <w:jc w:val="center"/>
                    <w:rPr>
                      <w:sz w:val="21"/>
                      <w:szCs w:val="21"/>
                    </w:rPr>
                  </w:pPr>
                  <w:r>
                    <w:rPr>
                      <w:rFonts w:hint="eastAsia"/>
                      <w:sz w:val="21"/>
                      <w:szCs w:val="21"/>
                    </w:rPr>
                    <w:t>50</w:t>
                  </w:r>
                </w:p>
              </w:tc>
              <w:tc>
                <w:tcPr>
                  <w:tcW w:w="210" w:type="pct"/>
                  <w:noWrap/>
                  <w:vAlign w:val="center"/>
                </w:tcPr>
                <w:p w14:paraId="7C4B6B45">
                  <w:pPr>
                    <w:spacing w:line="276" w:lineRule="auto"/>
                    <w:jc w:val="center"/>
                    <w:rPr>
                      <w:sz w:val="21"/>
                      <w:szCs w:val="21"/>
                    </w:rPr>
                  </w:pPr>
                  <w:r>
                    <w:rPr>
                      <w:rFonts w:hint="eastAsia"/>
                      <w:sz w:val="21"/>
                      <w:szCs w:val="21"/>
                    </w:rPr>
                    <w:t>48</w:t>
                  </w:r>
                </w:p>
              </w:tc>
              <w:tc>
                <w:tcPr>
                  <w:tcW w:w="210" w:type="pct"/>
                  <w:noWrap/>
                  <w:vAlign w:val="center"/>
                </w:tcPr>
                <w:p w14:paraId="6D1AA849">
                  <w:pPr>
                    <w:spacing w:line="276" w:lineRule="auto"/>
                    <w:jc w:val="center"/>
                    <w:rPr>
                      <w:sz w:val="21"/>
                      <w:szCs w:val="21"/>
                    </w:rPr>
                  </w:pPr>
                  <w:r>
                    <w:rPr>
                      <w:rFonts w:hint="eastAsia"/>
                      <w:sz w:val="21"/>
                      <w:szCs w:val="21"/>
                    </w:rPr>
                    <w:t>150</w:t>
                  </w:r>
                </w:p>
              </w:tc>
              <w:tc>
                <w:tcPr>
                  <w:tcW w:w="210" w:type="pct"/>
                  <w:noWrap/>
                  <w:vAlign w:val="center"/>
                </w:tcPr>
                <w:p w14:paraId="16A888F1">
                  <w:pPr>
                    <w:spacing w:line="276" w:lineRule="auto"/>
                    <w:jc w:val="center"/>
                    <w:rPr>
                      <w:sz w:val="21"/>
                      <w:szCs w:val="21"/>
                    </w:rPr>
                  </w:pPr>
                  <w:r>
                    <w:rPr>
                      <w:rFonts w:hint="eastAsia"/>
                      <w:sz w:val="21"/>
                      <w:szCs w:val="21"/>
                    </w:rPr>
                    <w:t>56</w:t>
                  </w:r>
                </w:p>
              </w:tc>
              <w:tc>
                <w:tcPr>
                  <w:tcW w:w="210" w:type="pct"/>
                  <w:noWrap/>
                  <w:vAlign w:val="center"/>
                </w:tcPr>
                <w:p w14:paraId="06A37EAA">
                  <w:pPr>
                    <w:spacing w:line="276" w:lineRule="auto"/>
                    <w:jc w:val="center"/>
                    <w:rPr>
                      <w:sz w:val="21"/>
                      <w:szCs w:val="21"/>
                    </w:rPr>
                  </w:pPr>
                  <w:r>
                    <w:rPr>
                      <w:rFonts w:hint="eastAsia"/>
                      <w:sz w:val="21"/>
                      <w:szCs w:val="21"/>
                    </w:rPr>
                    <w:t>44</w:t>
                  </w:r>
                </w:p>
              </w:tc>
              <w:tc>
                <w:tcPr>
                  <w:tcW w:w="210" w:type="pct"/>
                  <w:noWrap/>
                  <w:vAlign w:val="center"/>
                </w:tcPr>
                <w:p w14:paraId="4A44D2E0">
                  <w:pPr>
                    <w:spacing w:line="276" w:lineRule="auto"/>
                    <w:jc w:val="center"/>
                    <w:rPr>
                      <w:sz w:val="21"/>
                      <w:szCs w:val="21"/>
                    </w:rPr>
                  </w:pPr>
                  <w:r>
                    <w:rPr>
                      <w:rFonts w:hint="eastAsia"/>
                      <w:sz w:val="21"/>
                      <w:szCs w:val="21"/>
                    </w:rPr>
                    <w:t>44</w:t>
                  </w:r>
                </w:p>
              </w:tc>
              <w:tc>
                <w:tcPr>
                  <w:tcW w:w="213" w:type="pct"/>
                  <w:noWrap/>
                  <w:vAlign w:val="center"/>
                </w:tcPr>
                <w:p w14:paraId="357A82A1">
                  <w:pPr>
                    <w:spacing w:line="276" w:lineRule="auto"/>
                    <w:jc w:val="center"/>
                    <w:rPr>
                      <w:sz w:val="21"/>
                      <w:szCs w:val="21"/>
                    </w:rPr>
                  </w:pPr>
                  <w:r>
                    <w:rPr>
                      <w:rFonts w:hint="eastAsia"/>
                      <w:sz w:val="21"/>
                      <w:szCs w:val="21"/>
                    </w:rPr>
                    <w:t>34</w:t>
                  </w:r>
                </w:p>
              </w:tc>
              <w:tc>
                <w:tcPr>
                  <w:tcW w:w="209" w:type="pct"/>
                  <w:vMerge w:val="continue"/>
                  <w:noWrap/>
                  <w:vAlign w:val="center"/>
                </w:tcPr>
                <w:p w14:paraId="2BD064F8">
                  <w:pPr>
                    <w:spacing w:line="276" w:lineRule="auto"/>
                    <w:jc w:val="center"/>
                    <w:rPr>
                      <w:sz w:val="21"/>
                      <w:szCs w:val="21"/>
                    </w:rPr>
                  </w:pPr>
                </w:p>
              </w:tc>
              <w:tc>
                <w:tcPr>
                  <w:tcW w:w="280" w:type="pct"/>
                  <w:noWrap/>
                  <w:vAlign w:val="center"/>
                </w:tcPr>
                <w:p w14:paraId="1F8C4E7E">
                  <w:pPr>
                    <w:spacing w:line="276" w:lineRule="auto"/>
                    <w:jc w:val="center"/>
                    <w:rPr>
                      <w:sz w:val="21"/>
                      <w:szCs w:val="21"/>
                    </w:rPr>
                  </w:pPr>
                  <w:r>
                    <w:rPr>
                      <w:rFonts w:hint="eastAsia"/>
                      <w:sz w:val="21"/>
                      <w:szCs w:val="21"/>
                    </w:rPr>
                    <w:t>15</w:t>
                  </w:r>
                </w:p>
              </w:tc>
              <w:tc>
                <w:tcPr>
                  <w:tcW w:w="178" w:type="pct"/>
                  <w:noWrap/>
                  <w:vAlign w:val="center"/>
                </w:tcPr>
                <w:p w14:paraId="42797D79">
                  <w:pPr>
                    <w:spacing w:line="276" w:lineRule="auto"/>
                    <w:jc w:val="center"/>
                    <w:rPr>
                      <w:sz w:val="21"/>
                      <w:szCs w:val="21"/>
                    </w:rPr>
                  </w:pPr>
                  <w:r>
                    <w:rPr>
                      <w:rFonts w:hint="eastAsia"/>
                      <w:sz w:val="21"/>
                      <w:szCs w:val="21"/>
                    </w:rPr>
                    <w:t>41</w:t>
                  </w:r>
                </w:p>
              </w:tc>
              <w:tc>
                <w:tcPr>
                  <w:tcW w:w="178" w:type="pct"/>
                  <w:noWrap/>
                  <w:vAlign w:val="center"/>
                </w:tcPr>
                <w:p w14:paraId="03C33178">
                  <w:pPr>
                    <w:spacing w:line="276" w:lineRule="auto"/>
                    <w:jc w:val="center"/>
                    <w:rPr>
                      <w:sz w:val="21"/>
                      <w:szCs w:val="21"/>
                    </w:rPr>
                  </w:pPr>
                  <w:r>
                    <w:rPr>
                      <w:rFonts w:hint="eastAsia"/>
                      <w:sz w:val="21"/>
                      <w:szCs w:val="21"/>
                    </w:rPr>
                    <w:t>29</w:t>
                  </w:r>
                </w:p>
              </w:tc>
              <w:tc>
                <w:tcPr>
                  <w:tcW w:w="178" w:type="pct"/>
                  <w:noWrap/>
                  <w:vAlign w:val="center"/>
                </w:tcPr>
                <w:p w14:paraId="24F9F0A1">
                  <w:pPr>
                    <w:spacing w:line="276" w:lineRule="auto"/>
                    <w:jc w:val="center"/>
                    <w:rPr>
                      <w:sz w:val="21"/>
                      <w:szCs w:val="21"/>
                    </w:rPr>
                  </w:pPr>
                  <w:r>
                    <w:rPr>
                      <w:rFonts w:hint="eastAsia"/>
                      <w:sz w:val="21"/>
                      <w:szCs w:val="21"/>
                    </w:rPr>
                    <w:t>29</w:t>
                  </w:r>
                </w:p>
              </w:tc>
              <w:tc>
                <w:tcPr>
                  <w:tcW w:w="178" w:type="pct"/>
                  <w:noWrap/>
                  <w:vAlign w:val="center"/>
                </w:tcPr>
                <w:p w14:paraId="731ED7E1">
                  <w:pPr>
                    <w:spacing w:line="276" w:lineRule="auto"/>
                    <w:jc w:val="center"/>
                    <w:rPr>
                      <w:sz w:val="21"/>
                      <w:szCs w:val="21"/>
                    </w:rPr>
                  </w:pPr>
                  <w:r>
                    <w:rPr>
                      <w:rFonts w:hint="eastAsia"/>
                      <w:sz w:val="21"/>
                      <w:szCs w:val="21"/>
                    </w:rPr>
                    <w:t>19</w:t>
                  </w:r>
                </w:p>
              </w:tc>
              <w:tc>
                <w:tcPr>
                  <w:tcW w:w="232" w:type="pct"/>
                  <w:noWrap/>
                  <w:vAlign w:val="center"/>
                </w:tcPr>
                <w:p w14:paraId="3F11957C">
                  <w:pPr>
                    <w:spacing w:line="276" w:lineRule="auto"/>
                    <w:jc w:val="center"/>
                    <w:rPr>
                      <w:sz w:val="21"/>
                      <w:szCs w:val="21"/>
                    </w:rPr>
                  </w:pPr>
                  <w:r>
                    <w:rPr>
                      <w:rFonts w:hint="eastAsia"/>
                      <w:sz w:val="21"/>
                      <w:szCs w:val="21"/>
                    </w:rPr>
                    <w:t>1m</w:t>
                  </w:r>
                </w:p>
              </w:tc>
            </w:tr>
            <w:tr w14:paraId="4C88D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0E2602DA">
                  <w:pPr>
                    <w:spacing w:line="276" w:lineRule="auto"/>
                    <w:jc w:val="center"/>
                    <w:rPr>
                      <w:sz w:val="21"/>
                      <w:szCs w:val="21"/>
                    </w:rPr>
                  </w:pPr>
                </w:p>
              </w:tc>
              <w:tc>
                <w:tcPr>
                  <w:tcW w:w="456" w:type="pct"/>
                  <w:noWrap/>
                  <w:vAlign w:val="center"/>
                </w:tcPr>
                <w:p w14:paraId="4DCE4D9E">
                  <w:pPr>
                    <w:spacing w:line="276" w:lineRule="auto"/>
                    <w:jc w:val="center"/>
                    <w:rPr>
                      <w:sz w:val="21"/>
                      <w:szCs w:val="21"/>
                    </w:rPr>
                  </w:pPr>
                  <w:r>
                    <w:rPr>
                      <w:rFonts w:hint="eastAsia"/>
                      <w:bCs/>
                      <w:sz w:val="21"/>
                      <w:szCs w:val="21"/>
                    </w:rPr>
                    <w:t>英田球头装配机×2</w:t>
                  </w:r>
                </w:p>
              </w:tc>
              <w:tc>
                <w:tcPr>
                  <w:tcW w:w="327" w:type="pct"/>
                  <w:noWrap/>
                  <w:vAlign w:val="center"/>
                </w:tcPr>
                <w:p w14:paraId="68B9CA9B">
                  <w:pPr>
                    <w:spacing w:line="276" w:lineRule="auto"/>
                    <w:jc w:val="center"/>
                    <w:rPr>
                      <w:sz w:val="21"/>
                      <w:szCs w:val="21"/>
                    </w:rPr>
                  </w:pPr>
                  <w:r>
                    <w:rPr>
                      <w:rFonts w:hint="eastAsia"/>
                      <w:sz w:val="21"/>
                      <w:szCs w:val="21"/>
                    </w:rPr>
                    <w:t>78（叠加）</w:t>
                  </w:r>
                </w:p>
              </w:tc>
              <w:tc>
                <w:tcPr>
                  <w:tcW w:w="198" w:type="pct"/>
                  <w:vMerge w:val="continue"/>
                  <w:noWrap/>
                  <w:vAlign w:val="center"/>
                </w:tcPr>
                <w:p w14:paraId="345A9F44">
                  <w:pPr>
                    <w:spacing w:line="276" w:lineRule="auto"/>
                    <w:jc w:val="center"/>
                    <w:rPr>
                      <w:sz w:val="21"/>
                      <w:szCs w:val="21"/>
                    </w:rPr>
                  </w:pPr>
                </w:p>
              </w:tc>
              <w:tc>
                <w:tcPr>
                  <w:tcW w:w="210" w:type="pct"/>
                  <w:tcBorders>
                    <w:top w:val="single" w:color="auto" w:sz="4" w:space="0"/>
                    <w:bottom w:val="single" w:color="auto" w:sz="4" w:space="0"/>
                  </w:tcBorders>
                  <w:noWrap/>
                  <w:vAlign w:val="center"/>
                </w:tcPr>
                <w:p w14:paraId="199718F4">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09DDE0C5">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1D63E6F0">
                  <w:pPr>
                    <w:spacing w:line="276" w:lineRule="auto"/>
                    <w:jc w:val="center"/>
                    <w:rPr>
                      <w:sz w:val="21"/>
                      <w:szCs w:val="21"/>
                    </w:rPr>
                  </w:pPr>
                  <w:r>
                    <w:rPr>
                      <w:rFonts w:hint="eastAsia"/>
                      <w:sz w:val="21"/>
                      <w:szCs w:val="21"/>
                    </w:rPr>
                    <w:t>11.4</w:t>
                  </w:r>
                </w:p>
              </w:tc>
              <w:tc>
                <w:tcPr>
                  <w:tcW w:w="210" w:type="pct"/>
                  <w:noWrap/>
                  <w:vAlign w:val="center"/>
                </w:tcPr>
                <w:p w14:paraId="02159498">
                  <w:pPr>
                    <w:spacing w:line="276" w:lineRule="auto"/>
                    <w:jc w:val="center"/>
                    <w:rPr>
                      <w:sz w:val="21"/>
                      <w:szCs w:val="21"/>
                    </w:rPr>
                  </w:pPr>
                  <w:r>
                    <w:rPr>
                      <w:rFonts w:hint="eastAsia"/>
                      <w:sz w:val="21"/>
                      <w:szCs w:val="21"/>
                    </w:rPr>
                    <w:t>12</w:t>
                  </w:r>
                </w:p>
              </w:tc>
              <w:tc>
                <w:tcPr>
                  <w:tcW w:w="210" w:type="pct"/>
                  <w:noWrap/>
                  <w:vAlign w:val="center"/>
                </w:tcPr>
                <w:p w14:paraId="48BB876F">
                  <w:pPr>
                    <w:spacing w:line="276" w:lineRule="auto"/>
                    <w:jc w:val="center"/>
                    <w:rPr>
                      <w:sz w:val="21"/>
                      <w:szCs w:val="21"/>
                    </w:rPr>
                  </w:pPr>
                  <w:r>
                    <w:rPr>
                      <w:rFonts w:hint="eastAsia"/>
                      <w:sz w:val="21"/>
                      <w:szCs w:val="21"/>
                    </w:rPr>
                    <w:t>50</w:t>
                  </w:r>
                </w:p>
              </w:tc>
              <w:tc>
                <w:tcPr>
                  <w:tcW w:w="210" w:type="pct"/>
                  <w:noWrap/>
                  <w:vAlign w:val="center"/>
                </w:tcPr>
                <w:p w14:paraId="0922E7FA">
                  <w:pPr>
                    <w:spacing w:line="276" w:lineRule="auto"/>
                    <w:jc w:val="center"/>
                    <w:rPr>
                      <w:sz w:val="21"/>
                      <w:szCs w:val="21"/>
                    </w:rPr>
                  </w:pPr>
                  <w:r>
                    <w:rPr>
                      <w:rFonts w:hint="eastAsia"/>
                      <w:sz w:val="21"/>
                      <w:szCs w:val="21"/>
                    </w:rPr>
                    <w:t>48</w:t>
                  </w:r>
                </w:p>
              </w:tc>
              <w:tc>
                <w:tcPr>
                  <w:tcW w:w="210" w:type="pct"/>
                  <w:noWrap/>
                  <w:vAlign w:val="center"/>
                </w:tcPr>
                <w:p w14:paraId="5EAD445B">
                  <w:pPr>
                    <w:spacing w:line="276" w:lineRule="auto"/>
                    <w:jc w:val="center"/>
                    <w:rPr>
                      <w:sz w:val="21"/>
                      <w:szCs w:val="21"/>
                    </w:rPr>
                  </w:pPr>
                  <w:r>
                    <w:rPr>
                      <w:rFonts w:hint="eastAsia"/>
                      <w:sz w:val="21"/>
                      <w:szCs w:val="21"/>
                    </w:rPr>
                    <w:t>150</w:t>
                  </w:r>
                </w:p>
              </w:tc>
              <w:tc>
                <w:tcPr>
                  <w:tcW w:w="210" w:type="pct"/>
                  <w:noWrap/>
                  <w:vAlign w:val="center"/>
                </w:tcPr>
                <w:p w14:paraId="6D8C489B">
                  <w:pPr>
                    <w:spacing w:line="276" w:lineRule="auto"/>
                    <w:jc w:val="center"/>
                    <w:rPr>
                      <w:sz w:val="21"/>
                      <w:szCs w:val="21"/>
                    </w:rPr>
                  </w:pPr>
                  <w:r>
                    <w:rPr>
                      <w:rFonts w:hint="eastAsia"/>
                      <w:sz w:val="21"/>
                      <w:szCs w:val="21"/>
                    </w:rPr>
                    <w:t>56</w:t>
                  </w:r>
                </w:p>
              </w:tc>
              <w:tc>
                <w:tcPr>
                  <w:tcW w:w="210" w:type="pct"/>
                  <w:noWrap/>
                  <w:vAlign w:val="center"/>
                </w:tcPr>
                <w:p w14:paraId="45146611">
                  <w:pPr>
                    <w:spacing w:line="276" w:lineRule="auto"/>
                    <w:jc w:val="center"/>
                    <w:rPr>
                      <w:sz w:val="21"/>
                      <w:szCs w:val="21"/>
                    </w:rPr>
                  </w:pPr>
                  <w:r>
                    <w:rPr>
                      <w:rFonts w:hint="eastAsia"/>
                      <w:sz w:val="21"/>
                      <w:szCs w:val="21"/>
                    </w:rPr>
                    <w:t>44</w:t>
                  </w:r>
                </w:p>
              </w:tc>
              <w:tc>
                <w:tcPr>
                  <w:tcW w:w="210" w:type="pct"/>
                  <w:noWrap/>
                  <w:vAlign w:val="center"/>
                </w:tcPr>
                <w:p w14:paraId="0CC451E5">
                  <w:pPr>
                    <w:spacing w:line="276" w:lineRule="auto"/>
                    <w:jc w:val="center"/>
                    <w:rPr>
                      <w:sz w:val="21"/>
                      <w:szCs w:val="21"/>
                    </w:rPr>
                  </w:pPr>
                  <w:r>
                    <w:rPr>
                      <w:rFonts w:hint="eastAsia"/>
                      <w:sz w:val="21"/>
                      <w:szCs w:val="21"/>
                    </w:rPr>
                    <w:t>44</w:t>
                  </w:r>
                </w:p>
              </w:tc>
              <w:tc>
                <w:tcPr>
                  <w:tcW w:w="213" w:type="pct"/>
                  <w:noWrap/>
                  <w:vAlign w:val="center"/>
                </w:tcPr>
                <w:p w14:paraId="74836686">
                  <w:pPr>
                    <w:spacing w:line="276" w:lineRule="auto"/>
                    <w:jc w:val="center"/>
                    <w:rPr>
                      <w:sz w:val="21"/>
                      <w:szCs w:val="21"/>
                    </w:rPr>
                  </w:pPr>
                  <w:r>
                    <w:rPr>
                      <w:rFonts w:hint="eastAsia"/>
                      <w:sz w:val="21"/>
                      <w:szCs w:val="21"/>
                    </w:rPr>
                    <w:t>34</w:t>
                  </w:r>
                </w:p>
              </w:tc>
              <w:tc>
                <w:tcPr>
                  <w:tcW w:w="209" w:type="pct"/>
                  <w:vMerge w:val="continue"/>
                  <w:noWrap/>
                  <w:vAlign w:val="center"/>
                </w:tcPr>
                <w:p w14:paraId="3C4525EA">
                  <w:pPr>
                    <w:spacing w:line="276" w:lineRule="auto"/>
                    <w:jc w:val="center"/>
                    <w:rPr>
                      <w:sz w:val="21"/>
                      <w:szCs w:val="21"/>
                    </w:rPr>
                  </w:pPr>
                </w:p>
              </w:tc>
              <w:tc>
                <w:tcPr>
                  <w:tcW w:w="280" w:type="pct"/>
                  <w:noWrap/>
                  <w:vAlign w:val="center"/>
                </w:tcPr>
                <w:p w14:paraId="11EA8C2D">
                  <w:pPr>
                    <w:spacing w:line="276" w:lineRule="auto"/>
                    <w:jc w:val="center"/>
                    <w:rPr>
                      <w:sz w:val="21"/>
                      <w:szCs w:val="21"/>
                    </w:rPr>
                  </w:pPr>
                  <w:r>
                    <w:rPr>
                      <w:rFonts w:hint="eastAsia"/>
                      <w:sz w:val="21"/>
                      <w:szCs w:val="21"/>
                    </w:rPr>
                    <w:t>15</w:t>
                  </w:r>
                </w:p>
              </w:tc>
              <w:tc>
                <w:tcPr>
                  <w:tcW w:w="178" w:type="pct"/>
                  <w:noWrap/>
                  <w:vAlign w:val="center"/>
                </w:tcPr>
                <w:p w14:paraId="6A322188">
                  <w:pPr>
                    <w:spacing w:line="276" w:lineRule="auto"/>
                    <w:jc w:val="center"/>
                    <w:rPr>
                      <w:sz w:val="21"/>
                      <w:szCs w:val="21"/>
                    </w:rPr>
                  </w:pPr>
                  <w:r>
                    <w:rPr>
                      <w:rFonts w:hint="eastAsia"/>
                      <w:sz w:val="21"/>
                      <w:szCs w:val="21"/>
                    </w:rPr>
                    <w:t>41</w:t>
                  </w:r>
                </w:p>
              </w:tc>
              <w:tc>
                <w:tcPr>
                  <w:tcW w:w="178" w:type="pct"/>
                  <w:noWrap/>
                  <w:vAlign w:val="center"/>
                </w:tcPr>
                <w:p w14:paraId="4ACD0CCE">
                  <w:pPr>
                    <w:spacing w:line="276" w:lineRule="auto"/>
                    <w:jc w:val="center"/>
                    <w:rPr>
                      <w:sz w:val="21"/>
                      <w:szCs w:val="21"/>
                    </w:rPr>
                  </w:pPr>
                  <w:r>
                    <w:rPr>
                      <w:rFonts w:hint="eastAsia"/>
                      <w:sz w:val="21"/>
                      <w:szCs w:val="21"/>
                    </w:rPr>
                    <w:t>29</w:t>
                  </w:r>
                </w:p>
              </w:tc>
              <w:tc>
                <w:tcPr>
                  <w:tcW w:w="178" w:type="pct"/>
                  <w:noWrap/>
                  <w:vAlign w:val="center"/>
                </w:tcPr>
                <w:p w14:paraId="0E9648E7">
                  <w:pPr>
                    <w:spacing w:line="276" w:lineRule="auto"/>
                    <w:jc w:val="center"/>
                    <w:rPr>
                      <w:sz w:val="21"/>
                      <w:szCs w:val="21"/>
                    </w:rPr>
                  </w:pPr>
                  <w:r>
                    <w:rPr>
                      <w:rFonts w:hint="eastAsia"/>
                      <w:sz w:val="21"/>
                      <w:szCs w:val="21"/>
                    </w:rPr>
                    <w:t>29</w:t>
                  </w:r>
                </w:p>
              </w:tc>
              <w:tc>
                <w:tcPr>
                  <w:tcW w:w="178" w:type="pct"/>
                  <w:noWrap/>
                  <w:vAlign w:val="center"/>
                </w:tcPr>
                <w:p w14:paraId="53DC08C3">
                  <w:pPr>
                    <w:spacing w:line="276" w:lineRule="auto"/>
                    <w:jc w:val="center"/>
                    <w:rPr>
                      <w:sz w:val="21"/>
                      <w:szCs w:val="21"/>
                    </w:rPr>
                  </w:pPr>
                  <w:r>
                    <w:rPr>
                      <w:rFonts w:hint="eastAsia"/>
                      <w:sz w:val="21"/>
                      <w:szCs w:val="21"/>
                    </w:rPr>
                    <w:t>19</w:t>
                  </w:r>
                </w:p>
              </w:tc>
              <w:tc>
                <w:tcPr>
                  <w:tcW w:w="232" w:type="pct"/>
                  <w:noWrap/>
                  <w:vAlign w:val="center"/>
                </w:tcPr>
                <w:p w14:paraId="7B41D82E">
                  <w:pPr>
                    <w:spacing w:line="276" w:lineRule="auto"/>
                    <w:jc w:val="center"/>
                    <w:rPr>
                      <w:sz w:val="21"/>
                      <w:szCs w:val="21"/>
                    </w:rPr>
                  </w:pPr>
                  <w:r>
                    <w:rPr>
                      <w:rFonts w:hint="eastAsia"/>
                      <w:sz w:val="21"/>
                      <w:szCs w:val="21"/>
                    </w:rPr>
                    <w:t>1m</w:t>
                  </w:r>
                </w:p>
              </w:tc>
            </w:tr>
            <w:tr w14:paraId="7BF368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vMerge w:val="continue"/>
                  <w:noWrap/>
                  <w:vAlign w:val="center"/>
                </w:tcPr>
                <w:p w14:paraId="352ECA18">
                  <w:pPr>
                    <w:spacing w:line="276" w:lineRule="auto"/>
                    <w:jc w:val="center"/>
                    <w:rPr>
                      <w:sz w:val="21"/>
                      <w:szCs w:val="21"/>
                    </w:rPr>
                  </w:pPr>
                </w:p>
              </w:tc>
              <w:tc>
                <w:tcPr>
                  <w:tcW w:w="456" w:type="pct"/>
                  <w:noWrap/>
                  <w:vAlign w:val="center"/>
                </w:tcPr>
                <w:p w14:paraId="7FF6AB2B">
                  <w:pPr>
                    <w:spacing w:line="276" w:lineRule="auto"/>
                    <w:jc w:val="center"/>
                    <w:rPr>
                      <w:sz w:val="21"/>
                      <w:szCs w:val="21"/>
                    </w:rPr>
                  </w:pPr>
                  <w:r>
                    <w:rPr>
                      <w:rFonts w:hint="eastAsia"/>
                      <w:bCs/>
                      <w:sz w:val="21"/>
                      <w:szCs w:val="21"/>
                    </w:rPr>
                    <w:t>英田卡簧机×2</w:t>
                  </w:r>
                </w:p>
              </w:tc>
              <w:tc>
                <w:tcPr>
                  <w:tcW w:w="327" w:type="pct"/>
                  <w:noWrap/>
                  <w:vAlign w:val="center"/>
                </w:tcPr>
                <w:p w14:paraId="202A135A">
                  <w:pPr>
                    <w:spacing w:line="276" w:lineRule="auto"/>
                    <w:jc w:val="center"/>
                    <w:rPr>
                      <w:sz w:val="21"/>
                      <w:szCs w:val="21"/>
                    </w:rPr>
                  </w:pPr>
                  <w:r>
                    <w:rPr>
                      <w:rFonts w:hint="eastAsia"/>
                      <w:sz w:val="21"/>
                      <w:szCs w:val="21"/>
                    </w:rPr>
                    <w:t>78（叠加）</w:t>
                  </w:r>
                </w:p>
              </w:tc>
              <w:tc>
                <w:tcPr>
                  <w:tcW w:w="198" w:type="pct"/>
                  <w:vMerge w:val="continue"/>
                  <w:noWrap/>
                  <w:vAlign w:val="center"/>
                </w:tcPr>
                <w:p w14:paraId="184922B9">
                  <w:pPr>
                    <w:spacing w:line="276" w:lineRule="auto"/>
                    <w:jc w:val="center"/>
                    <w:rPr>
                      <w:sz w:val="21"/>
                      <w:szCs w:val="21"/>
                    </w:rPr>
                  </w:pPr>
                </w:p>
              </w:tc>
              <w:tc>
                <w:tcPr>
                  <w:tcW w:w="210" w:type="pct"/>
                  <w:tcBorders>
                    <w:top w:val="single" w:color="auto" w:sz="4" w:space="0"/>
                    <w:bottom w:val="single" w:color="auto" w:sz="4" w:space="0"/>
                  </w:tcBorders>
                  <w:noWrap/>
                  <w:vAlign w:val="center"/>
                </w:tcPr>
                <w:p w14:paraId="6A85A0E2">
                  <w:pPr>
                    <w:spacing w:line="276" w:lineRule="auto"/>
                    <w:jc w:val="center"/>
                    <w:rPr>
                      <w:sz w:val="21"/>
                      <w:szCs w:val="21"/>
                    </w:rPr>
                  </w:pPr>
                  <w:r>
                    <w:rPr>
                      <w:rFonts w:hint="eastAsia"/>
                      <w:sz w:val="21"/>
                      <w:szCs w:val="21"/>
                    </w:rPr>
                    <w:t>18</w:t>
                  </w:r>
                </w:p>
              </w:tc>
              <w:tc>
                <w:tcPr>
                  <w:tcW w:w="210" w:type="pct"/>
                  <w:tcBorders>
                    <w:top w:val="single" w:color="auto" w:sz="4" w:space="0"/>
                    <w:bottom w:val="single" w:color="auto" w:sz="4" w:space="0"/>
                  </w:tcBorders>
                  <w:noWrap/>
                  <w:vAlign w:val="center"/>
                </w:tcPr>
                <w:p w14:paraId="5150934B">
                  <w:pPr>
                    <w:spacing w:line="276" w:lineRule="auto"/>
                    <w:jc w:val="center"/>
                    <w:rPr>
                      <w:sz w:val="21"/>
                      <w:szCs w:val="21"/>
                    </w:rPr>
                  </w:pPr>
                  <w:r>
                    <w:rPr>
                      <w:rFonts w:hint="eastAsia"/>
                      <w:sz w:val="21"/>
                      <w:szCs w:val="21"/>
                    </w:rPr>
                    <w:t>-50</w:t>
                  </w:r>
                </w:p>
              </w:tc>
              <w:tc>
                <w:tcPr>
                  <w:tcW w:w="210" w:type="pct"/>
                  <w:tcBorders>
                    <w:top w:val="single" w:color="auto" w:sz="4" w:space="0"/>
                    <w:bottom w:val="single" w:color="auto" w:sz="4" w:space="0"/>
                  </w:tcBorders>
                  <w:noWrap/>
                  <w:vAlign w:val="center"/>
                </w:tcPr>
                <w:p w14:paraId="02257EB1">
                  <w:pPr>
                    <w:spacing w:line="276" w:lineRule="auto"/>
                    <w:jc w:val="center"/>
                    <w:rPr>
                      <w:sz w:val="21"/>
                      <w:szCs w:val="21"/>
                    </w:rPr>
                  </w:pPr>
                  <w:r>
                    <w:rPr>
                      <w:rFonts w:hint="eastAsia"/>
                      <w:sz w:val="21"/>
                      <w:szCs w:val="21"/>
                    </w:rPr>
                    <w:t>11.4</w:t>
                  </w:r>
                </w:p>
              </w:tc>
              <w:tc>
                <w:tcPr>
                  <w:tcW w:w="210" w:type="pct"/>
                  <w:noWrap/>
                  <w:vAlign w:val="center"/>
                </w:tcPr>
                <w:p w14:paraId="6BCEAA03">
                  <w:pPr>
                    <w:spacing w:line="276" w:lineRule="auto"/>
                    <w:jc w:val="center"/>
                    <w:rPr>
                      <w:sz w:val="21"/>
                      <w:szCs w:val="21"/>
                    </w:rPr>
                  </w:pPr>
                  <w:r>
                    <w:rPr>
                      <w:rFonts w:hint="eastAsia"/>
                      <w:sz w:val="21"/>
                      <w:szCs w:val="21"/>
                    </w:rPr>
                    <w:t>12</w:t>
                  </w:r>
                </w:p>
              </w:tc>
              <w:tc>
                <w:tcPr>
                  <w:tcW w:w="210" w:type="pct"/>
                  <w:noWrap/>
                  <w:vAlign w:val="center"/>
                </w:tcPr>
                <w:p w14:paraId="5302C3F3">
                  <w:pPr>
                    <w:spacing w:line="276" w:lineRule="auto"/>
                    <w:jc w:val="center"/>
                    <w:rPr>
                      <w:sz w:val="21"/>
                      <w:szCs w:val="21"/>
                    </w:rPr>
                  </w:pPr>
                  <w:r>
                    <w:rPr>
                      <w:rFonts w:hint="eastAsia"/>
                      <w:sz w:val="21"/>
                      <w:szCs w:val="21"/>
                    </w:rPr>
                    <w:t>50</w:t>
                  </w:r>
                </w:p>
              </w:tc>
              <w:tc>
                <w:tcPr>
                  <w:tcW w:w="210" w:type="pct"/>
                  <w:noWrap/>
                  <w:vAlign w:val="center"/>
                </w:tcPr>
                <w:p w14:paraId="734DB708">
                  <w:pPr>
                    <w:spacing w:line="276" w:lineRule="auto"/>
                    <w:jc w:val="center"/>
                    <w:rPr>
                      <w:sz w:val="21"/>
                      <w:szCs w:val="21"/>
                    </w:rPr>
                  </w:pPr>
                  <w:r>
                    <w:rPr>
                      <w:rFonts w:hint="eastAsia"/>
                      <w:sz w:val="21"/>
                      <w:szCs w:val="21"/>
                    </w:rPr>
                    <w:t>48</w:t>
                  </w:r>
                </w:p>
              </w:tc>
              <w:tc>
                <w:tcPr>
                  <w:tcW w:w="210" w:type="pct"/>
                  <w:noWrap/>
                  <w:vAlign w:val="center"/>
                </w:tcPr>
                <w:p w14:paraId="624E453A">
                  <w:pPr>
                    <w:spacing w:line="276" w:lineRule="auto"/>
                    <w:jc w:val="center"/>
                    <w:rPr>
                      <w:sz w:val="21"/>
                      <w:szCs w:val="21"/>
                    </w:rPr>
                  </w:pPr>
                  <w:r>
                    <w:rPr>
                      <w:rFonts w:hint="eastAsia"/>
                      <w:sz w:val="21"/>
                      <w:szCs w:val="21"/>
                    </w:rPr>
                    <w:t>150</w:t>
                  </w:r>
                </w:p>
              </w:tc>
              <w:tc>
                <w:tcPr>
                  <w:tcW w:w="210" w:type="pct"/>
                  <w:noWrap/>
                  <w:vAlign w:val="center"/>
                </w:tcPr>
                <w:p w14:paraId="6DBE15FE">
                  <w:pPr>
                    <w:spacing w:line="276" w:lineRule="auto"/>
                    <w:jc w:val="center"/>
                    <w:rPr>
                      <w:sz w:val="21"/>
                      <w:szCs w:val="21"/>
                    </w:rPr>
                  </w:pPr>
                  <w:r>
                    <w:rPr>
                      <w:rFonts w:hint="eastAsia"/>
                      <w:sz w:val="21"/>
                      <w:szCs w:val="21"/>
                    </w:rPr>
                    <w:t>56</w:t>
                  </w:r>
                </w:p>
              </w:tc>
              <w:tc>
                <w:tcPr>
                  <w:tcW w:w="210" w:type="pct"/>
                  <w:noWrap/>
                  <w:vAlign w:val="center"/>
                </w:tcPr>
                <w:p w14:paraId="1BD7A359">
                  <w:pPr>
                    <w:spacing w:line="276" w:lineRule="auto"/>
                    <w:jc w:val="center"/>
                    <w:rPr>
                      <w:sz w:val="21"/>
                      <w:szCs w:val="21"/>
                    </w:rPr>
                  </w:pPr>
                  <w:r>
                    <w:rPr>
                      <w:rFonts w:hint="eastAsia"/>
                      <w:sz w:val="21"/>
                      <w:szCs w:val="21"/>
                    </w:rPr>
                    <w:t>44</w:t>
                  </w:r>
                </w:p>
              </w:tc>
              <w:tc>
                <w:tcPr>
                  <w:tcW w:w="210" w:type="pct"/>
                  <w:noWrap/>
                  <w:vAlign w:val="center"/>
                </w:tcPr>
                <w:p w14:paraId="30AF2E89">
                  <w:pPr>
                    <w:spacing w:line="276" w:lineRule="auto"/>
                    <w:jc w:val="center"/>
                    <w:rPr>
                      <w:sz w:val="21"/>
                      <w:szCs w:val="21"/>
                    </w:rPr>
                  </w:pPr>
                  <w:r>
                    <w:rPr>
                      <w:rFonts w:hint="eastAsia"/>
                      <w:sz w:val="21"/>
                      <w:szCs w:val="21"/>
                    </w:rPr>
                    <w:t>44</w:t>
                  </w:r>
                </w:p>
              </w:tc>
              <w:tc>
                <w:tcPr>
                  <w:tcW w:w="213" w:type="pct"/>
                  <w:noWrap/>
                  <w:vAlign w:val="center"/>
                </w:tcPr>
                <w:p w14:paraId="1898574F">
                  <w:pPr>
                    <w:spacing w:line="276" w:lineRule="auto"/>
                    <w:jc w:val="center"/>
                    <w:rPr>
                      <w:sz w:val="21"/>
                      <w:szCs w:val="21"/>
                    </w:rPr>
                  </w:pPr>
                  <w:r>
                    <w:rPr>
                      <w:rFonts w:hint="eastAsia"/>
                      <w:sz w:val="21"/>
                      <w:szCs w:val="21"/>
                    </w:rPr>
                    <w:t>34</w:t>
                  </w:r>
                </w:p>
              </w:tc>
              <w:tc>
                <w:tcPr>
                  <w:tcW w:w="209" w:type="pct"/>
                  <w:vMerge w:val="continue"/>
                  <w:noWrap/>
                  <w:vAlign w:val="center"/>
                </w:tcPr>
                <w:p w14:paraId="07F96995">
                  <w:pPr>
                    <w:spacing w:line="276" w:lineRule="auto"/>
                    <w:jc w:val="center"/>
                    <w:rPr>
                      <w:sz w:val="21"/>
                      <w:szCs w:val="21"/>
                    </w:rPr>
                  </w:pPr>
                </w:p>
              </w:tc>
              <w:tc>
                <w:tcPr>
                  <w:tcW w:w="280" w:type="pct"/>
                  <w:noWrap/>
                  <w:vAlign w:val="center"/>
                </w:tcPr>
                <w:p w14:paraId="1B22E49E">
                  <w:pPr>
                    <w:spacing w:line="276" w:lineRule="auto"/>
                    <w:jc w:val="center"/>
                    <w:rPr>
                      <w:sz w:val="21"/>
                      <w:szCs w:val="21"/>
                    </w:rPr>
                  </w:pPr>
                  <w:r>
                    <w:rPr>
                      <w:rFonts w:hint="eastAsia"/>
                      <w:sz w:val="21"/>
                      <w:szCs w:val="21"/>
                    </w:rPr>
                    <w:t>15</w:t>
                  </w:r>
                </w:p>
              </w:tc>
              <w:tc>
                <w:tcPr>
                  <w:tcW w:w="178" w:type="pct"/>
                  <w:noWrap/>
                  <w:vAlign w:val="center"/>
                </w:tcPr>
                <w:p w14:paraId="268485DC">
                  <w:pPr>
                    <w:spacing w:line="276" w:lineRule="auto"/>
                    <w:jc w:val="center"/>
                    <w:rPr>
                      <w:sz w:val="21"/>
                      <w:szCs w:val="21"/>
                    </w:rPr>
                  </w:pPr>
                  <w:r>
                    <w:rPr>
                      <w:rFonts w:hint="eastAsia"/>
                      <w:sz w:val="21"/>
                      <w:szCs w:val="21"/>
                    </w:rPr>
                    <w:t>41</w:t>
                  </w:r>
                </w:p>
              </w:tc>
              <w:tc>
                <w:tcPr>
                  <w:tcW w:w="178" w:type="pct"/>
                  <w:noWrap/>
                  <w:vAlign w:val="center"/>
                </w:tcPr>
                <w:p w14:paraId="6D015B9D">
                  <w:pPr>
                    <w:spacing w:line="276" w:lineRule="auto"/>
                    <w:jc w:val="center"/>
                    <w:rPr>
                      <w:sz w:val="21"/>
                      <w:szCs w:val="21"/>
                    </w:rPr>
                  </w:pPr>
                  <w:r>
                    <w:rPr>
                      <w:rFonts w:hint="eastAsia"/>
                      <w:sz w:val="21"/>
                      <w:szCs w:val="21"/>
                    </w:rPr>
                    <w:t>29</w:t>
                  </w:r>
                </w:p>
              </w:tc>
              <w:tc>
                <w:tcPr>
                  <w:tcW w:w="178" w:type="pct"/>
                  <w:noWrap/>
                  <w:vAlign w:val="center"/>
                </w:tcPr>
                <w:p w14:paraId="33B219D0">
                  <w:pPr>
                    <w:spacing w:line="276" w:lineRule="auto"/>
                    <w:jc w:val="center"/>
                    <w:rPr>
                      <w:sz w:val="21"/>
                      <w:szCs w:val="21"/>
                    </w:rPr>
                  </w:pPr>
                  <w:r>
                    <w:rPr>
                      <w:rFonts w:hint="eastAsia"/>
                      <w:sz w:val="21"/>
                      <w:szCs w:val="21"/>
                    </w:rPr>
                    <w:t>29</w:t>
                  </w:r>
                </w:p>
              </w:tc>
              <w:tc>
                <w:tcPr>
                  <w:tcW w:w="178" w:type="pct"/>
                  <w:noWrap/>
                  <w:vAlign w:val="center"/>
                </w:tcPr>
                <w:p w14:paraId="02EFCE72">
                  <w:pPr>
                    <w:spacing w:line="276" w:lineRule="auto"/>
                    <w:jc w:val="center"/>
                    <w:rPr>
                      <w:sz w:val="21"/>
                      <w:szCs w:val="21"/>
                    </w:rPr>
                  </w:pPr>
                  <w:r>
                    <w:rPr>
                      <w:rFonts w:hint="eastAsia"/>
                      <w:sz w:val="21"/>
                      <w:szCs w:val="21"/>
                    </w:rPr>
                    <w:t>19</w:t>
                  </w:r>
                </w:p>
              </w:tc>
              <w:tc>
                <w:tcPr>
                  <w:tcW w:w="232" w:type="pct"/>
                  <w:noWrap/>
                  <w:vAlign w:val="center"/>
                </w:tcPr>
                <w:p w14:paraId="0B52069C">
                  <w:pPr>
                    <w:spacing w:line="276" w:lineRule="auto"/>
                    <w:jc w:val="center"/>
                    <w:rPr>
                      <w:sz w:val="21"/>
                      <w:szCs w:val="21"/>
                    </w:rPr>
                  </w:pPr>
                  <w:r>
                    <w:rPr>
                      <w:rFonts w:hint="eastAsia"/>
                      <w:sz w:val="21"/>
                      <w:szCs w:val="21"/>
                    </w:rPr>
                    <w:t>1m</w:t>
                  </w:r>
                </w:p>
              </w:tc>
            </w:tr>
            <w:tr w14:paraId="6D0B5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22"/>
                  <w:noWrap/>
                  <w:vAlign w:val="center"/>
                </w:tcPr>
                <w:p w14:paraId="301A6026">
                  <w:pPr>
                    <w:spacing w:line="276" w:lineRule="auto"/>
                    <w:jc w:val="left"/>
                    <w:rPr>
                      <w:sz w:val="21"/>
                      <w:szCs w:val="21"/>
                    </w:rPr>
                  </w:pPr>
                  <w:r>
                    <w:rPr>
                      <w:sz w:val="21"/>
                      <w:szCs w:val="21"/>
                    </w:rPr>
                    <w:t>注：本项目空间相对位置坐标以厂</w:t>
                  </w:r>
                  <w:r>
                    <w:rPr>
                      <w:rFonts w:hint="eastAsia"/>
                      <w:sz w:val="21"/>
                      <w:szCs w:val="21"/>
                    </w:rPr>
                    <w:t>区中心点</w:t>
                  </w:r>
                  <w:r>
                    <w:rPr>
                      <w:sz w:val="21"/>
                      <w:szCs w:val="21"/>
                    </w:rPr>
                    <w:t>为坐标原点，向东为X轴，向北为Y轴</w:t>
                  </w:r>
                </w:p>
              </w:tc>
            </w:tr>
          </w:tbl>
          <w:p w14:paraId="1855B34E">
            <w:pPr>
              <w:spacing w:line="360" w:lineRule="auto"/>
              <w:jc w:val="center"/>
              <w:rPr>
                <w:rFonts w:hAnsi="黑体" w:eastAsia="黑体"/>
              </w:rPr>
            </w:pPr>
          </w:p>
          <w:p w14:paraId="0C20AD19">
            <w:pPr>
              <w:spacing w:line="360" w:lineRule="auto"/>
              <w:jc w:val="center"/>
              <w:rPr>
                <w:rFonts w:hAnsi="黑体" w:eastAsia="黑体"/>
              </w:rPr>
            </w:pPr>
          </w:p>
          <w:p w14:paraId="020E5D41">
            <w:pPr>
              <w:spacing w:line="360" w:lineRule="auto"/>
              <w:jc w:val="center"/>
              <w:rPr>
                <w:rFonts w:hAnsi="黑体" w:eastAsia="黑体"/>
              </w:rPr>
            </w:pPr>
          </w:p>
          <w:p w14:paraId="01FF4180">
            <w:pPr>
              <w:rPr>
                <w:color w:val="FF0000"/>
                <w:sz w:val="20"/>
              </w:rPr>
            </w:pPr>
          </w:p>
        </w:tc>
      </w:tr>
    </w:tbl>
    <w:p w14:paraId="7D993B32">
      <w:pPr>
        <w:rPr>
          <w:color w:val="FF0000"/>
        </w:rPr>
        <w:sectPr>
          <w:pgSz w:w="16838" w:h="11906" w:orient="landscape"/>
          <w:pgMar w:top="1800" w:right="1440" w:bottom="1800" w:left="1440" w:header="851" w:footer="992" w:gutter="0"/>
          <w:cols w:space="425" w:num="1"/>
          <w:docGrid w:type="lines" w:linePitch="326" w:charSpace="0"/>
        </w:sect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066"/>
      </w:tblGrid>
      <w:tr w14:paraId="518A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FEAD4AC">
            <w:pPr>
              <w:rPr>
                <w:color w:val="FF0000"/>
              </w:rPr>
            </w:pPr>
            <w:r>
              <w:rPr>
                <w:rFonts w:hint="eastAsia"/>
              </w:rPr>
              <w:t>运营期环境影响和保护措施</w:t>
            </w:r>
          </w:p>
        </w:tc>
        <w:tc>
          <w:tcPr>
            <w:tcW w:w="8066" w:type="dxa"/>
          </w:tcPr>
          <w:p w14:paraId="146FCAB0">
            <w:pPr>
              <w:spacing w:line="360" w:lineRule="auto"/>
              <w:ind w:firstLine="480" w:firstLineChars="200"/>
            </w:pPr>
            <w:r>
              <w:t>根据《环境影响评价技术导则声环</w:t>
            </w:r>
            <w:r>
              <w:rPr>
                <w:rFonts w:hint="eastAsia"/>
              </w:rPr>
              <w:t>境》（HJ2.4-2021）的要求，本次声环境影响评价选用室内噪声模式和室外噪声模式进行预测，预测方法如下。</w:t>
            </w:r>
          </w:p>
          <w:p w14:paraId="35800FC7">
            <w:pPr>
              <w:spacing w:line="360" w:lineRule="auto"/>
              <w:ind w:firstLine="480" w:firstLineChars="200"/>
            </w:pPr>
            <w:r>
              <w:rPr>
                <w:rFonts w:hint="eastAsia"/>
              </w:rPr>
              <w:t>①无指向性点声源的几何发散衰减</w:t>
            </w:r>
          </w:p>
          <w:p w14:paraId="46ADD27E">
            <w:pPr>
              <w:spacing w:line="360" w:lineRule="auto"/>
              <w:ind w:firstLine="480" w:firstLineChars="200"/>
            </w:pPr>
            <w:r>
              <w:rPr>
                <w:rFonts w:hint="eastAsia"/>
              </w:rPr>
              <w:t>无指向性点声源几何发散衰减的基本公式是</w:t>
            </w:r>
          </w:p>
          <w:p w14:paraId="0F635A0D">
            <w:pPr>
              <w:spacing w:line="360" w:lineRule="auto"/>
              <w:ind w:firstLine="400" w:firstLineChars="200"/>
            </w:pPr>
            <w:r>
              <w:rPr>
                <w:sz w:val="20"/>
              </w:rPr>
              <w:drawing>
                <wp:anchor distT="0" distB="0" distL="114300" distR="114300" simplePos="0" relativeHeight="251660288" behindDoc="0" locked="0" layoutInCell="1" allowOverlap="1">
                  <wp:simplePos x="0" y="0"/>
                  <wp:positionH relativeFrom="column">
                    <wp:posOffset>1304290</wp:posOffset>
                  </wp:positionH>
                  <wp:positionV relativeFrom="paragraph">
                    <wp:posOffset>52070</wp:posOffset>
                  </wp:positionV>
                  <wp:extent cx="2592070" cy="262890"/>
                  <wp:effectExtent l="19050" t="0" r="0" b="0"/>
                  <wp:wrapNone/>
                  <wp:docPr id="703" name="图片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图片 703"/>
                          <pic:cNvPicPr>
                            <a:picLocks noChangeAspect="1" noChangeArrowheads="1"/>
                          </pic:cNvPicPr>
                        </pic:nvPicPr>
                        <pic:blipFill>
                          <a:blip r:embed="rId10" cstate="print"/>
                          <a:srcRect/>
                          <a:stretch>
                            <a:fillRect/>
                          </a:stretch>
                        </pic:blipFill>
                        <pic:spPr>
                          <a:xfrm>
                            <a:off x="0" y="0"/>
                            <a:ext cx="2592000" cy="263020"/>
                          </a:xfrm>
                          <a:prstGeom prst="rect">
                            <a:avLst/>
                          </a:prstGeom>
                          <a:noFill/>
                          <a:ln w="9525">
                            <a:noFill/>
                            <a:miter lim="800000"/>
                            <a:headEnd/>
                            <a:tailEnd/>
                          </a:ln>
                        </pic:spPr>
                      </pic:pic>
                    </a:graphicData>
                  </a:graphic>
                </wp:anchor>
              </w:drawing>
            </w:r>
          </w:p>
          <w:p w14:paraId="174A7C73">
            <w:pPr>
              <w:spacing w:line="360" w:lineRule="auto"/>
              <w:ind w:firstLine="480" w:firstLineChars="200"/>
            </w:pPr>
            <w:r>
              <w:rPr>
                <w:rFonts w:hint="eastAsia"/>
              </w:rPr>
              <w:t>式中：Lp（r）—预测点处声压级，dB；</w:t>
            </w:r>
          </w:p>
          <w:p w14:paraId="3B2EBD56">
            <w:pPr>
              <w:spacing w:line="360" w:lineRule="auto"/>
              <w:ind w:firstLine="480" w:firstLineChars="200"/>
            </w:pPr>
            <w:r>
              <w:rPr>
                <w:rFonts w:hint="eastAsia"/>
              </w:rPr>
              <w:t>Lp（r</w:t>
            </w:r>
            <w:r>
              <w:rPr>
                <w:rFonts w:hint="eastAsia"/>
                <w:vertAlign w:val="subscript"/>
              </w:rPr>
              <w:t>0</w:t>
            </w:r>
            <w:r>
              <w:rPr>
                <w:rFonts w:hint="eastAsia"/>
              </w:rPr>
              <w:t>）—参考位置r</w:t>
            </w:r>
            <w:r>
              <w:rPr>
                <w:rFonts w:hint="eastAsia"/>
                <w:vertAlign w:val="subscript"/>
              </w:rPr>
              <w:t>0</w:t>
            </w:r>
            <w:r>
              <w:rPr>
                <w:rFonts w:hint="eastAsia"/>
              </w:rPr>
              <w:t>处的声压级，dB；</w:t>
            </w:r>
          </w:p>
          <w:p w14:paraId="064491FE">
            <w:pPr>
              <w:spacing w:line="360" w:lineRule="auto"/>
              <w:ind w:firstLine="480" w:firstLineChars="200"/>
            </w:pPr>
            <w:r>
              <w:rPr>
                <w:rFonts w:hint="eastAsia"/>
              </w:rPr>
              <w:t>r—预测点距声源的距离；</w:t>
            </w:r>
          </w:p>
          <w:p w14:paraId="405CAE55">
            <w:pPr>
              <w:spacing w:line="360" w:lineRule="auto"/>
              <w:ind w:firstLine="480" w:firstLineChars="200"/>
            </w:pPr>
            <w:r>
              <w:rPr>
                <w:rFonts w:hint="eastAsia"/>
              </w:rPr>
              <w:t>r</w:t>
            </w:r>
            <w:r>
              <w:rPr>
                <w:rFonts w:hint="eastAsia"/>
                <w:vertAlign w:val="subscript"/>
              </w:rPr>
              <w:t>0</w:t>
            </w:r>
            <w:r>
              <w:rPr>
                <w:rFonts w:hint="eastAsia"/>
              </w:rPr>
              <w:t>—参考位置距声源的距离；</w:t>
            </w:r>
          </w:p>
          <w:p w14:paraId="48E03E7C">
            <w:pPr>
              <w:spacing w:line="360" w:lineRule="auto"/>
              <w:ind w:firstLine="480" w:firstLineChars="200"/>
            </w:pPr>
            <w:r>
              <w:rPr>
                <w:rFonts w:hint="eastAsia"/>
              </w:rPr>
              <w:t>上式中第二项表示了点声源的几何发散衰减；</w:t>
            </w:r>
          </w:p>
          <w:p w14:paraId="638F4B50">
            <w:pPr>
              <w:pStyle w:val="9"/>
              <w:spacing w:line="360" w:lineRule="auto"/>
              <w:rPr>
                <w:sz w:val="24"/>
                <w:szCs w:val="24"/>
              </w:rPr>
            </w:pPr>
            <w:r>
              <w:rPr>
                <w:sz w:val="24"/>
                <w:szCs w:val="24"/>
              </w:rPr>
              <w:drawing>
                <wp:anchor distT="0" distB="0" distL="114300" distR="114300" simplePos="0" relativeHeight="251661312" behindDoc="0" locked="0" layoutInCell="1" allowOverlap="1">
                  <wp:simplePos x="0" y="0"/>
                  <wp:positionH relativeFrom="column">
                    <wp:posOffset>1717040</wp:posOffset>
                  </wp:positionH>
                  <wp:positionV relativeFrom="paragraph">
                    <wp:posOffset>15240</wp:posOffset>
                  </wp:positionV>
                  <wp:extent cx="1908175" cy="274320"/>
                  <wp:effectExtent l="19050" t="0" r="0" b="0"/>
                  <wp:wrapNone/>
                  <wp:docPr id="704" name="图片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图片 704"/>
                          <pic:cNvPicPr>
                            <a:picLocks noChangeAspect="1" noChangeArrowheads="1"/>
                          </pic:cNvPicPr>
                        </pic:nvPicPr>
                        <pic:blipFill>
                          <a:blip r:embed="rId11" cstate="print"/>
                          <a:srcRect/>
                          <a:stretch>
                            <a:fillRect/>
                          </a:stretch>
                        </pic:blipFill>
                        <pic:spPr>
                          <a:xfrm>
                            <a:off x="0" y="0"/>
                            <a:ext cx="1908000" cy="274353"/>
                          </a:xfrm>
                          <a:prstGeom prst="rect">
                            <a:avLst/>
                          </a:prstGeom>
                          <a:noFill/>
                          <a:ln w="9525">
                            <a:noFill/>
                            <a:miter lim="800000"/>
                            <a:headEnd/>
                            <a:tailEnd/>
                          </a:ln>
                        </pic:spPr>
                      </pic:pic>
                    </a:graphicData>
                  </a:graphic>
                </wp:anchor>
              </w:drawing>
            </w:r>
          </w:p>
          <w:p w14:paraId="7605A80F">
            <w:pPr>
              <w:spacing w:line="360" w:lineRule="auto"/>
              <w:ind w:firstLine="480" w:firstLineChars="200"/>
            </w:pPr>
            <w:r>
              <w:rPr>
                <w:rFonts w:hint="eastAsia"/>
              </w:rPr>
              <w:t>式中：A</w:t>
            </w:r>
            <w:r>
              <w:rPr>
                <w:rFonts w:hint="eastAsia"/>
                <w:vertAlign w:val="subscript"/>
              </w:rPr>
              <w:t>div</w:t>
            </w:r>
            <w:r>
              <w:rPr>
                <w:rFonts w:hint="eastAsia"/>
              </w:rPr>
              <w:t>—几何发散引起的衰减，dB；</w:t>
            </w:r>
          </w:p>
          <w:p w14:paraId="34E1A136">
            <w:pPr>
              <w:spacing w:line="360" w:lineRule="auto"/>
              <w:ind w:firstLine="480" w:firstLineChars="200"/>
            </w:pPr>
            <w:r>
              <w:rPr>
                <w:rFonts w:hint="eastAsia"/>
              </w:rPr>
              <w:t>r—预测点距声源的距离；</w:t>
            </w:r>
          </w:p>
          <w:p w14:paraId="3712E743">
            <w:pPr>
              <w:spacing w:line="360" w:lineRule="auto"/>
              <w:ind w:firstLine="480" w:firstLineChars="200"/>
            </w:pPr>
            <w:r>
              <w:rPr>
                <w:rFonts w:hint="eastAsia"/>
              </w:rPr>
              <w:t>r</w:t>
            </w:r>
            <w:r>
              <w:rPr>
                <w:rFonts w:hint="eastAsia"/>
                <w:vertAlign w:val="subscript"/>
              </w:rPr>
              <w:t>0</w:t>
            </w:r>
            <w:r>
              <w:rPr>
                <w:rFonts w:hint="eastAsia"/>
              </w:rPr>
              <w:t>—参考位置距声源的距离。</w:t>
            </w:r>
          </w:p>
          <w:p w14:paraId="7BE79053">
            <w:pPr>
              <w:spacing w:line="360" w:lineRule="auto"/>
              <w:ind w:firstLine="480" w:firstLineChars="200"/>
            </w:pPr>
            <w:r>
              <w:rPr>
                <w:rFonts w:hint="eastAsia"/>
              </w:rPr>
              <w:t>②面声源的几何发散衰减</w:t>
            </w:r>
          </w:p>
          <w:p w14:paraId="0EEDAFC3">
            <w:pPr>
              <w:tabs>
                <w:tab w:val="left" w:pos="462"/>
              </w:tabs>
              <w:spacing w:line="360" w:lineRule="auto"/>
              <w:ind w:firstLine="400" w:firstLineChars="200"/>
            </w:pPr>
            <w:r>
              <w:rPr>
                <w:rFonts w:hint="eastAsia"/>
                <w:sz w:val="20"/>
              </w:rPr>
              <w:drawing>
                <wp:anchor distT="0" distB="0" distL="114300" distR="114300" simplePos="0" relativeHeight="251662336" behindDoc="0" locked="0" layoutInCell="1" allowOverlap="1">
                  <wp:simplePos x="0" y="0"/>
                  <wp:positionH relativeFrom="column">
                    <wp:posOffset>1202055</wp:posOffset>
                  </wp:positionH>
                  <wp:positionV relativeFrom="paragraph">
                    <wp:posOffset>1462405</wp:posOffset>
                  </wp:positionV>
                  <wp:extent cx="2694305" cy="1986280"/>
                  <wp:effectExtent l="19050" t="0" r="0" b="0"/>
                  <wp:wrapNone/>
                  <wp:docPr id="70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图片 5"/>
                          <pic:cNvPicPr>
                            <a:picLocks noChangeAspect="1" noChangeArrowheads="1"/>
                          </pic:cNvPicPr>
                        </pic:nvPicPr>
                        <pic:blipFill>
                          <a:blip r:embed="rId12" cstate="print"/>
                          <a:srcRect/>
                          <a:stretch>
                            <a:fillRect/>
                          </a:stretch>
                        </pic:blipFill>
                        <pic:spPr>
                          <a:xfrm>
                            <a:off x="0" y="0"/>
                            <a:ext cx="2694305" cy="1986280"/>
                          </a:xfrm>
                          <a:prstGeom prst="rect">
                            <a:avLst/>
                          </a:prstGeom>
                          <a:noFill/>
                          <a:ln w="9525">
                            <a:noFill/>
                            <a:miter lim="800000"/>
                            <a:headEnd/>
                            <a:tailEnd/>
                          </a:ln>
                        </pic:spPr>
                      </pic:pic>
                    </a:graphicData>
                  </a:graphic>
                </wp:anchor>
              </w:drawing>
            </w:r>
            <w:r>
              <w:rPr>
                <w:rFonts w:hint="eastAsia"/>
              </w:rPr>
              <w:t>车间透声的墙壁可认为是面声源。</w:t>
            </w:r>
            <w:r>
              <w:t>面声源衰减规律如下：当预测点和面声源中心距离r处于以下条件时，可按下述方法近似计算：r&lt;a/π时，几乎不衰减（Adiv≈0）；当a/π&lt;r&lt;b/π，距离加倍衰减3dB左右，类似线声源衰减特性（Adiv≈10lg（r/r0））；当r&gt;b/π时，距离加倍衰减趋近于6dB，类似点声源衰减特性（Adiv≈20lg（r/r0））。其中面声源的b&gt;a。下图中虚线为实际衰减量。</w:t>
            </w:r>
          </w:p>
          <w:p w14:paraId="0FB94227">
            <w:pPr>
              <w:tabs>
                <w:tab w:val="left" w:pos="462"/>
              </w:tabs>
              <w:spacing w:line="360" w:lineRule="auto"/>
              <w:ind w:firstLine="480" w:firstLineChars="200"/>
            </w:pPr>
          </w:p>
          <w:p w14:paraId="3882732D">
            <w:pPr>
              <w:tabs>
                <w:tab w:val="left" w:pos="462"/>
              </w:tabs>
              <w:spacing w:line="360" w:lineRule="auto"/>
              <w:ind w:firstLine="400" w:firstLineChars="200"/>
              <w:rPr>
                <w:sz w:val="20"/>
              </w:rPr>
            </w:pPr>
          </w:p>
          <w:p w14:paraId="0147B85E">
            <w:pPr>
              <w:tabs>
                <w:tab w:val="left" w:pos="462"/>
              </w:tabs>
              <w:spacing w:line="360" w:lineRule="auto"/>
              <w:ind w:firstLine="400" w:firstLineChars="200"/>
              <w:rPr>
                <w:sz w:val="20"/>
              </w:rPr>
            </w:pPr>
          </w:p>
          <w:p w14:paraId="793D8672">
            <w:pPr>
              <w:tabs>
                <w:tab w:val="left" w:pos="462"/>
              </w:tabs>
              <w:spacing w:line="360" w:lineRule="auto"/>
              <w:ind w:firstLine="400" w:firstLineChars="200"/>
              <w:rPr>
                <w:sz w:val="20"/>
              </w:rPr>
            </w:pPr>
          </w:p>
          <w:p w14:paraId="7E8BF7E9">
            <w:pPr>
              <w:tabs>
                <w:tab w:val="left" w:pos="462"/>
              </w:tabs>
              <w:spacing w:line="360" w:lineRule="auto"/>
              <w:ind w:firstLine="400" w:firstLineChars="200"/>
              <w:rPr>
                <w:sz w:val="20"/>
              </w:rPr>
            </w:pPr>
          </w:p>
          <w:p w14:paraId="7D1BC328">
            <w:pPr>
              <w:tabs>
                <w:tab w:val="left" w:pos="462"/>
              </w:tabs>
              <w:spacing w:line="360" w:lineRule="auto"/>
              <w:ind w:firstLine="400" w:firstLineChars="200"/>
              <w:rPr>
                <w:sz w:val="20"/>
              </w:rPr>
            </w:pPr>
          </w:p>
          <w:p w14:paraId="6B9BF876">
            <w:pPr>
              <w:spacing w:line="360" w:lineRule="auto"/>
              <w:jc w:val="center"/>
              <w:rPr>
                <w:rFonts w:eastAsia="黑体"/>
              </w:rPr>
            </w:pPr>
            <w:r>
              <w:rPr>
                <w:rFonts w:hint="eastAsia" w:eastAsia="黑体"/>
              </w:rPr>
              <w:t xml:space="preserve">图4-1  </w:t>
            </w:r>
            <w:r>
              <w:rPr>
                <w:rFonts w:eastAsia="黑体"/>
              </w:rPr>
              <w:t>长方形面声源中心轴线上的衰减特性</w:t>
            </w:r>
          </w:p>
          <w:p w14:paraId="21E16BEF">
            <w:pPr>
              <w:tabs>
                <w:tab w:val="left" w:pos="462"/>
              </w:tabs>
              <w:spacing w:line="360" w:lineRule="auto"/>
              <w:ind w:firstLine="480" w:firstLineChars="200"/>
            </w:pPr>
            <w:r>
              <w:rPr>
                <w:rFonts w:hint="eastAsia"/>
              </w:rPr>
              <w:t>③预测点的等效声级贡献值</w:t>
            </w:r>
          </w:p>
          <w:p w14:paraId="07FAE5B7">
            <w:pPr>
              <w:spacing w:line="360" w:lineRule="auto"/>
              <w:ind w:firstLine="480" w:firstLineChars="200"/>
            </w:pPr>
            <w:r>
              <w:t>设第i个室外声源在预测点产生的A声级为L</w:t>
            </w:r>
            <w:r>
              <w:rPr>
                <w:rFonts w:hint="eastAsia"/>
                <w:vertAlign w:val="subscript"/>
              </w:rPr>
              <w:t>A</w:t>
            </w:r>
            <w:r>
              <w:rPr>
                <w:vertAlign w:val="subscript"/>
              </w:rPr>
              <w:t>i</w:t>
            </w:r>
            <w:r>
              <w:t>，在T时间内该声源工作时间为t</w:t>
            </w:r>
            <w:r>
              <w:rPr>
                <w:vertAlign w:val="subscript"/>
              </w:rPr>
              <w:t>i</w:t>
            </w:r>
            <w:r>
              <w:t>；第j个等效室外声源在预测点产生的A声级为L</w:t>
            </w:r>
            <w:r>
              <w:rPr>
                <w:vertAlign w:val="subscript"/>
              </w:rPr>
              <w:t>Aj</w:t>
            </w:r>
            <w:r>
              <w:t>，在T时间内该声源工作时间为t</w:t>
            </w:r>
            <w:r>
              <w:rPr>
                <w:vertAlign w:val="subscript"/>
              </w:rPr>
              <w:t>j</w:t>
            </w:r>
            <w:r>
              <w:t>，则拟建工程声源对预测点产生的贡献值（L</w:t>
            </w:r>
            <w:r>
              <w:rPr>
                <w:vertAlign w:val="subscript"/>
              </w:rPr>
              <w:t>eqg</w:t>
            </w:r>
            <w:r>
              <w:t>）为：</w:t>
            </w:r>
          </w:p>
          <w:p w14:paraId="520E3842">
            <w:pPr>
              <w:spacing w:line="360" w:lineRule="auto"/>
              <w:ind w:firstLine="480" w:firstLineChars="200"/>
              <w:jc w:val="center"/>
            </w:pPr>
            <m:oMathPara>
              <m:oMath>
                <m:sSub>
                  <m:sSubPr>
                    <m:ctrlPr>
                      <w:rPr>
                        <w:rFonts w:ascii="Cambria Math" w:hAnsi="Cambria Math"/>
                      </w:rPr>
                    </m:ctrlPr>
                  </m:sSubPr>
                  <m:e>
                    <m:r>
                      <m:rPr>
                        <m:nor/>
                        <m:sty m:val="p"/>
                      </m:rPr>
                      <w:rPr>
                        <w:b w:val="0"/>
                        <w:i w:val="0"/>
                      </w:rPr>
                      <m:t>L</m:t>
                    </m:r>
                    <m:ctrlPr>
                      <w:rPr>
                        <w:rFonts w:ascii="Cambria Math" w:hAnsi="Cambria Math"/>
                      </w:rPr>
                    </m:ctrlPr>
                  </m:e>
                  <m:sub>
                    <m:r>
                      <m:rPr>
                        <m:nor/>
                        <m:sty m:val="p"/>
                      </m:rPr>
                      <w:rPr>
                        <w:b w:val="0"/>
                        <w:i w:val="0"/>
                      </w:rPr>
                      <m:t>eqg</m:t>
                    </m:r>
                    <m:ctrlPr>
                      <w:rPr>
                        <w:rFonts w:ascii="Cambria Math" w:hAnsi="Cambria Math"/>
                      </w:rPr>
                    </m:ctrlPr>
                  </m:sub>
                </m:sSub>
                <m:r>
                  <m:rPr>
                    <m:nor/>
                    <m:sty m:val="p"/>
                  </m:rPr>
                  <w:rPr>
                    <w:b w:val="0"/>
                    <w:i w:val="0"/>
                  </w:rPr>
                  <m:t>=10lg</m:t>
                </m:r>
                <m:d>
                  <m:dPr>
                    <m:begChr m:val="["/>
                    <m:endChr m:val="]"/>
                    <m:ctrlPr>
                      <w:rPr>
                        <w:rFonts w:ascii="Cambria Math" w:hAnsi="Cambria Math"/>
                      </w:rPr>
                    </m:ctrlPr>
                  </m:dPr>
                  <m:e>
                    <m:f>
                      <m:fPr>
                        <m:ctrlPr>
                          <w:rPr>
                            <w:rFonts w:ascii="Cambria Math" w:hAnsi="Cambria Math"/>
                          </w:rPr>
                        </m:ctrlPr>
                      </m:fPr>
                      <m:num>
                        <m:r>
                          <m:rPr>
                            <m:nor/>
                            <m:sty m:val="p"/>
                          </m:rPr>
                          <w:rPr>
                            <w:b w:val="0"/>
                            <w:i w:val="0"/>
                          </w:rPr>
                          <m:t>1</m:t>
                        </m:r>
                        <m:ctrlPr>
                          <w:rPr>
                            <w:rFonts w:ascii="Cambria Math" w:hAnsi="Cambria Math"/>
                          </w:rPr>
                        </m:ctrlPr>
                      </m:num>
                      <m:den>
                        <m:r>
                          <m:rPr>
                            <m:nor/>
                            <m:sty m:val="p"/>
                          </m:rPr>
                          <w:rPr>
                            <w:b w:val="0"/>
                            <w:i w:val="0"/>
                          </w:rPr>
                          <m:t>T</m:t>
                        </m:r>
                        <m:ctrlPr>
                          <w:rPr>
                            <w:rFonts w:ascii="Cambria Math" w:hAnsi="Cambria Math"/>
                          </w:rPr>
                        </m:ctrlPr>
                      </m:den>
                    </m:f>
                    <m:d>
                      <m:dPr>
                        <m:ctrlPr>
                          <w:rPr>
                            <w:rFonts w:ascii="Cambria Math" w:hAnsi="Cambria Math"/>
                          </w:rPr>
                        </m:ctrlPr>
                      </m:dPr>
                      <m:e>
                        <m:nary>
                          <m:naryPr>
                            <m:chr m:val="∑"/>
                            <m:limLoc m:val="undOvr"/>
                            <m:ctrlPr>
                              <w:rPr>
                                <w:rFonts w:ascii="Cambria Math" w:hAnsi="Cambria Math"/>
                              </w:rPr>
                            </m:ctrlPr>
                          </m:naryPr>
                          <m:sub>
                            <m:r>
                              <m:rPr>
                                <m:nor/>
                                <m:sty m:val="p"/>
                              </m:rPr>
                              <w:rPr>
                                <w:b w:val="0"/>
                                <w:i w:val="0"/>
                              </w:rPr>
                              <m:t>i=1</m:t>
                            </m:r>
                            <m:ctrlPr>
                              <w:rPr>
                                <w:rFonts w:ascii="Cambria Math" w:hAnsi="Cambria Math"/>
                              </w:rPr>
                            </m:ctrlPr>
                          </m:sub>
                          <m:sup>
                            <m:r>
                              <m:rPr>
                                <m:nor/>
                                <m:sty m:val="p"/>
                              </m:rPr>
                              <w:rPr>
                                <w:b w:val="0"/>
                                <w:i w:val="0"/>
                              </w:rPr>
                              <m:t>N</m:t>
                            </m:r>
                            <m:ctrlPr>
                              <w:rPr>
                                <w:rFonts w:ascii="Cambria Math" w:hAnsi="Cambria Math"/>
                              </w:rPr>
                            </m:ctrlPr>
                          </m:sup>
                          <m:e>
                            <m:sSub>
                              <m:sSubPr>
                                <m:ctrlPr>
                                  <w:rPr>
                                    <w:rFonts w:ascii="Cambria Math" w:hAnsi="Cambria Math"/>
                                  </w:rPr>
                                </m:ctrlPr>
                              </m:sSubPr>
                              <m:e>
                                <m:r>
                                  <m:rPr>
                                    <m:nor/>
                                    <m:sty m:val="p"/>
                                  </m:rPr>
                                  <w:rPr>
                                    <w:b w:val="0"/>
                                    <w:i w:val="0"/>
                                  </w:rPr>
                                  <m:t>t</m:t>
                                </m:r>
                                <m:ctrlPr>
                                  <w:rPr>
                                    <w:rFonts w:ascii="Cambria Math" w:hAnsi="Cambria Math"/>
                                  </w:rPr>
                                </m:ctrlPr>
                              </m:e>
                              <m:sub>
                                <m:r>
                                  <m:rPr>
                                    <m:nor/>
                                    <m:sty m:val="p"/>
                                  </m:rPr>
                                  <w:rPr>
                                    <w:b w:val="0"/>
                                    <w:i w:val="0"/>
                                  </w:rPr>
                                  <m:t>i</m:t>
                                </m:r>
                                <m:ctrlPr>
                                  <w:rPr>
                                    <w:rFonts w:ascii="Cambria Math" w:hAnsi="Cambria Math"/>
                                  </w:rPr>
                                </m:ctrlPr>
                              </m:sub>
                            </m:sSub>
                            <m:sSup>
                              <m:sSupPr>
                                <m:ctrlPr>
                                  <w:rPr>
                                    <w:rFonts w:ascii="Cambria Math" w:hAnsi="Cambria Math"/>
                                  </w:rPr>
                                </m:ctrlPr>
                              </m:sSupPr>
                              <m:e>
                                <m:r>
                                  <m:rPr>
                                    <m:nor/>
                                    <m:sty m:val="p"/>
                                  </m:rPr>
                                  <w:rPr>
                                    <w:b w:val="0"/>
                                    <w:i w:val="0"/>
                                  </w:rPr>
                                  <m:t>10</m:t>
                                </m:r>
                                <m:ctrlPr>
                                  <w:rPr>
                                    <w:rFonts w:ascii="Cambria Math" w:hAnsi="Cambria Math"/>
                                  </w:rPr>
                                </m:ctrlPr>
                              </m:e>
                              <m:sup>
                                <m:r>
                                  <m:rPr>
                                    <m:nor/>
                                    <m:sty m:val="p"/>
                                  </m:rPr>
                                  <w:rPr>
                                    <w:b w:val="0"/>
                                    <w:i w:val="0"/>
                                  </w:rPr>
                                  <m:t>0.1</m:t>
                                </m:r>
                                <m:sSub>
                                  <m:sSubPr>
                                    <m:ctrlPr>
                                      <w:rPr>
                                        <w:rFonts w:ascii="Cambria Math" w:hAnsi="Cambria Math"/>
                                      </w:rPr>
                                    </m:ctrlPr>
                                  </m:sSubPr>
                                  <m:e>
                                    <m:r>
                                      <m:rPr>
                                        <m:nor/>
                                        <m:sty m:val="p"/>
                                      </m:rPr>
                                      <w:rPr>
                                        <w:b w:val="0"/>
                                        <w:i w:val="0"/>
                                      </w:rPr>
                                      <m:t>L</m:t>
                                    </m:r>
                                    <m:ctrlPr>
                                      <w:rPr>
                                        <w:rFonts w:ascii="Cambria Math" w:hAnsi="Cambria Math"/>
                                      </w:rPr>
                                    </m:ctrlPr>
                                  </m:e>
                                  <m:sub>
                                    <m:r>
                                      <m:rPr>
                                        <m:nor/>
                                        <m:sty m:val="p"/>
                                      </m:rPr>
                                      <w:rPr>
                                        <w:b w:val="0"/>
                                        <w:i w:val="0"/>
                                      </w:rPr>
                                      <m:t>Ai</m:t>
                                    </m:r>
                                    <m:ctrlPr>
                                      <w:rPr>
                                        <w:rFonts w:ascii="Cambria Math" w:hAnsi="Cambria Math"/>
                                      </w:rPr>
                                    </m:ctrlPr>
                                  </m:sub>
                                </m:sSub>
                                <m:ctrlPr>
                                  <w:rPr>
                                    <w:rFonts w:ascii="Cambria Math" w:hAnsi="Cambria Math"/>
                                  </w:rPr>
                                </m:ctrlPr>
                              </m:sup>
                            </m:sSup>
                            <m:r>
                              <m:rPr>
                                <m:nor/>
                                <m:sty m:val="p"/>
                              </m:rPr>
                              <w:rPr>
                                <w:b w:val="0"/>
                                <w:i w:val="0"/>
                              </w:rPr>
                              <m:t>+</m:t>
                            </m:r>
                            <m:nary>
                              <m:naryPr>
                                <m:chr m:val="∑"/>
                                <m:limLoc m:val="undOvr"/>
                                <m:ctrlPr>
                                  <w:rPr>
                                    <w:rFonts w:ascii="Cambria Math" w:hAnsi="Cambria Math"/>
                                  </w:rPr>
                                </m:ctrlPr>
                              </m:naryPr>
                              <m:sub>
                                <m:r>
                                  <m:rPr>
                                    <m:nor/>
                                    <m:sty m:val="p"/>
                                  </m:rPr>
                                  <w:rPr>
                                    <w:b w:val="0"/>
                                    <w:i w:val="0"/>
                                  </w:rPr>
                                  <m:t>j=1</m:t>
                                </m:r>
                                <m:ctrlPr>
                                  <w:rPr>
                                    <w:rFonts w:ascii="Cambria Math" w:hAnsi="Cambria Math"/>
                                  </w:rPr>
                                </m:ctrlPr>
                              </m:sub>
                              <m:sup>
                                <m:r>
                                  <m:rPr>
                                    <m:nor/>
                                    <m:sty m:val="p"/>
                                  </m:rPr>
                                  <w:rPr>
                                    <w:b w:val="0"/>
                                    <w:i w:val="0"/>
                                  </w:rPr>
                                  <m:t>M</m:t>
                                </m:r>
                                <m:ctrlPr>
                                  <w:rPr>
                                    <w:rFonts w:ascii="Cambria Math" w:hAnsi="Cambria Math"/>
                                  </w:rPr>
                                </m:ctrlPr>
                              </m:sup>
                              <m:e>
                                <m:sSub>
                                  <m:sSubPr>
                                    <m:ctrlPr>
                                      <w:rPr>
                                        <w:rFonts w:ascii="Cambria Math" w:hAnsi="Cambria Math"/>
                                      </w:rPr>
                                    </m:ctrlPr>
                                  </m:sSubPr>
                                  <m:e>
                                    <m:r>
                                      <m:rPr>
                                        <m:nor/>
                                        <m:sty m:val="p"/>
                                      </m:rPr>
                                      <w:rPr>
                                        <w:b w:val="0"/>
                                        <w:i w:val="0"/>
                                      </w:rPr>
                                      <m:t>t</m:t>
                                    </m:r>
                                    <m:ctrlPr>
                                      <w:rPr>
                                        <w:rFonts w:ascii="Cambria Math" w:hAnsi="Cambria Math"/>
                                      </w:rPr>
                                    </m:ctrlPr>
                                  </m:e>
                                  <m:sub>
                                    <m:r>
                                      <m:rPr>
                                        <m:nor/>
                                        <m:sty m:val="p"/>
                                      </m:rPr>
                                      <w:rPr>
                                        <w:b w:val="0"/>
                                        <w:i w:val="0"/>
                                      </w:rPr>
                                      <m:t>j</m:t>
                                    </m:r>
                                    <m:ctrlPr>
                                      <w:rPr>
                                        <w:rFonts w:ascii="Cambria Math" w:hAnsi="Cambria Math"/>
                                      </w:rPr>
                                    </m:ctrlPr>
                                  </m:sub>
                                </m:sSub>
                                <m:sSup>
                                  <m:sSupPr>
                                    <m:ctrlPr>
                                      <w:rPr>
                                        <w:rFonts w:ascii="Cambria Math" w:hAnsi="Cambria Math"/>
                                      </w:rPr>
                                    </m:ctrlPr>
                                  </m:sSupPr>
                                  <m:e>
                                    <m:r>
                                      <m:rPr>
                                        <m:nor/>
                                        <m:sty m:val="p"/>
                                      </m:rPr>
                                      <w:rPr>
                                        <w:b w:val="0"/>
                                        <w:i w:val="0"/>
                                      </w:rPr>
                                      <m:t>10</m:t>
                                    </m:r>
                                    <m:ctrlPr>
                                      <w:rPr>
                                        <w:rFonts w:ascii="Cambria Math" w:hAnsi="Cambria Math"/>
                                      </w:rPr>
                                    </m:ctrlPr>
                                  </m:e>
                                  <m:sup>
                                    <m:r>
                                      <m:rPr>
                                        <m:nor/>
                                        <m:sty m:val="p"/>
                                      </m:rPr>
                                      <w:rPr>
                                        <w:b w:val="0"/>
                                        <w:i w:val="0"/>
                                      </w:rPr>
                                      <m:t>0.1</m:t>
                                    </m:r>
                                    <m:sSub>
                                      <m:sSubPr>
                                        <m:ctrlPr>
                                          <w:rPr>
                                            <w:rFonts w:ascii="Cambria Math" w:hAnsi="Cambria Math"/>
                                          </w:rPr>
                                        </m:ctrlPr>
                                      </m:sSubPr>
                                      <m:e>
                                        <m:r>
                                          <m:rPr>
                                            <m:nor/>
                                            <m:sty m:val="p"/>
                                          </m:rPr>
                                          <w:rPr>
                                            <w:b w:val="0"/>
                                            <w:i w:val="0"/>
                                          </w:rPr>
                                          <m:t>L</m:t>
                                        </m:r>
                                        <m:ctrlPr>
                                          <w:rPr>
                                            <w:rFonts w:ascii="Cambria Math" w:hAnsi="Cambria Math"/>
                                          </w:rPr>
                                        </m:ctrlPr>
                                      </m:e>
                                      <m:sub>
                                        <m:r>
                                          <m:rPr>
                                            <m:nor/>
                                            <m:sty m:val="p"/>
                                          </m:rPr>
                                          <w:rPr>
                                            <w:b w:val="0"/>
                                            <w:i w:val="0"/>
                                          </w:rPr>
                                          <m:t>Aj</m:t>
                                        </m:r>
                                        <m:ctrlPr>
                                          <w:rPr>
                                            <w:rFonts w:ascii="Cambria Math" w:hAnsi="Cambria Math"/>
                                          </w:rPr>
                                        </m:ctrlPr>
                                      </m:sub>
                                    </m:sSub>
                                    <m:ctrlPr>
                                      <w:rPr>
                                        <w:rFonts w:ascii="Cambria Math" w:hAnsi="Cambria Math"/>
                                      </w:rPr>
                                    </m:ctrlPr>
                                  </m:sup>
                                </m:sSup>
                                <m:ctrlPr>
                                  <w:rPr>
                                    <w:rFonts w:ascii="Cambria Math" w:hAnsi="Cambria Math"/>
                                  </w:rPr>
                                </m:ctrlPr>
                              </m:e>
                            </m:nary>
                            <m:ctrlPr>
                              <w:rPr>
                                <w:rFonts w:ascii="Cambria Math" w:hAnsi="Cambria Math"/>
                              </w:rPr>
                            </m:ctrlPr>
                          </m:e>
                        </m:nary>
                        <m:ctrlPr>
                          <w:rPr>
                            <w:rFonts w:ascii="Cambria Math" w:hAnsi="Cambria Math"/>
                          </w:rPr>
                        </m:ctrlPr>
                      </m:e>
                    </m:d>
                    <m:ctrlPr>
                      <w:rPr>
                        <w:rFonts w:ascii="Cambria Math" w:hAnsi="Cambria Math"/>
                      </w:rPr>
                    </m:ctrlPr>
                  </m:e>
                </m:d>
              </m:oMath>
            </m:oMathPara>
          </w:p>
          <w:p w14:paraId="655BE00D">
            <w:pPr>
              <w:spacing w:line="360" w:lineRule="auto"/>
              <w:ind w:firstLine="480" w:firstLineChars="200"/>
            </w:pPr>
            <w:r>
              <w:rPr>
                <w:rFonts w:hAnsi="宋体"/>
              </w:rPr>
              <w:t>式中：</w:t>
            </w:r>
            <w:r>
              <w:t>tj—</w:t>
            </w:r>
            <w:r>
              <w:rPr>
                <w:rFonts w:hAnsi="宋体"/>
              </w:rPr>
              <w:t>在</w:t>
            </w:r>
            <w:r>
              <w:t>T</w:t>
            </w:r>
            <w:r>
              <w:rPr>
                <w:rFonts w:hAnsi="宋体"/>
              </w:rPr>
              <w:t>时间内</w:t>
            </w:r>
            <w:r>
              <w:t>j</w:t>
            </w:r>
            <w:r>
              <w:rPr>
                <w:rFonts w:hAnsi="宋体"/>
              </w:rPr>
              <w:t>声源工作时间，</w:t>
            </w:r>
            <w:r>
              <w:t>s</w:t>
            </w:r>
            <w:r>
              <w:rPr>
                <w:rFonts w:hAnsi="宋体"/>
              </w:rPr>
              <w:t>；</w:t>
            </w:r>
          </w:p>
          <w:p w14:paraId="3EFA803A">
            <w:pPr>
              <w:spacing w:line="360" w:lineRule="auto"/>
              <w:ind w:firstLine="480" w:firstLineChars="200"/>
            </w:pPr>
            <w:r>
              <w:t>Ti—</w:t>
            </w:r>
            <w:r>
              <w:rPr>
                <w:rFonts w:hAnsi="宋体"/>
              </w:rPr>
              <w:t>在</w:t>
            </w:r>
            <w:r>
              <w:t>T</w:t>
            </w:r>
            <w:r>
              <w:rPr>
                <w:rFonts w:hAnsi="宋体"/>
              </w:rPr>
              <w:t>时间内</w:t>
            </w:r>
            <w:r>
              <w:t>i</w:t>
            </w:r>
            <w:r>
              <w:rPr>
                <w:rFonts w:hAnsi="宋体"/>
              </w:rPr>
              <w:t>声源工作时间，</w:t>
            </w:r>
            <w:r>
              <w:t>s</w:t>
            </w:r>
            <w:r>
              <w:rPr>
                <w:rFonts w:hAnsi="宋体"/>
              </w:rPr>
              <w:t>；</w:t>
            </w:r>
          </w:p>
          <w:p w14:paraId="1649F73F">
            <w:pPr>
              <w:spacing w:line="360" w:lineRule="auto"/>
              <w:ind w:firstLine="480" w:firstLineChars="200"/>
            </w:pPr>
            <w:r>
              <w:t>T—</w:t>
            </w:r>
            <w:r>
              <w:rPr>
                <w:rFonts w:hAnsi="宋体"/>
              </w:rPr>
              <w:t>用于计算等效声级的时间，</w:t>
            </w:r>
            <w:r>
              <w:t>s</w:t>
            </w:r>
            <w:r>
              <w:rPr>
                <w:rFonts w:hAnsi="宋体"/>
              </w:rPr>
              <w:t>；</w:t>
            </w:r>
          </w:p>
          <w:p w14:paraId="5330B5D5">
            <w:pPr>
              <w:spacing w:line="360" w:lineRule="auto"/>
              <w:ind w:firstLine="480" w:firstLineChars="200"/>
            </w:pPr>
            <w:r>
              <w:t>N—</w:t>
            </w:r>
            <w:r>
              <w:rPr>
                <w:rFonts w:hAnsi="宋体"/>
              </w:rPr>
              <w:t>室外声源个数；</w:t>
            </w:r>
          </w:p>
          <w:p w14:paraId="382F16E6">
            <w:pPr>
              <w:spacing w:line="360" w:lineRule="auto"/>
              <w:ind w:firstLine="480" w:firstLineChars="200"/>
              <w:rPr>
                <w:rFonts w:hAnsi="宋体"/>
              </w:rPr>
            </w:pPr>
            <w:r>
              <w:t>M—</w:t>
            </w:r>
            <w:r>
              <w:rPr>
                <w:rFonts w:hAnsi="宋体"/>
              </w:rPr>
              <w:t>等效室外声源个数。</w:t>
            </w:r>
          </w:p>
          <w:p w14:paraId="0BC73CB8">
            <w:pPr>
              <w:spacing w:line="360" w:lineRule="auto"/>
              <w:ind w:firstLine="480" w:firstLineChars="200"/>
              <w:rPr>
                <w:rFonts w:hAnsi="宋体"/>
              </w:rPr>
            </w:pPr>
            <w:r>
              <w:rPr>
                <w:rFonts w:hint="eastAsia" w:hAnsi="宋体"/>
              </w:rPr>
              <w:t>④预测结果与评价</w:t>
            </w:r>
          </w:p>
          <w:p w14:paraId="774DFA9C">
            <w:pPr>
              <w:spacing w:line="360" w:lineRule="auto"/>
              <w:ind w:firstLine="480" w:firstLineChars="200"/>
              <w:rPr>
                <w:rFonts w:hAnsi="黑体" w:eastAsia="黑体"/>
              </w:rPr>
            </w:pPr>
            <w:r>
              <w:rPr>
                <w:rFonts w:hint="eastAsia" w:hAnsi="宋体"/>
              </w:rPr>
              <w:t>根据项目设备噪声源强分布，利用上述的噪声预测模式，预测本工程的主要设备噪声源在采取相应的降噪措施后对厂界环境噪声的贡献值</w:t>
            </w:r>
            <w:r>
              <w:rPr>
                <w:rFonts w:hint="eastAsia"/>
              </w:rPr>
              <w:t>。噪声</w:t>
            </w:r>
            <w:r>
              <w:rPr>
                <w:rFonts w:hint="eastAsia"/>
                <w:lang w:val="en-US" w:eastAsia="zh-CN"/>
              </w:rPr>
              <w:t>监测</w:t>
            </w:r>
            <w:r>
              <w:rPr>
                <w:rFonts w:hint="eastAsia"/>
              </w:rPr>
              <w:t>点位</w:t>
            </w:r>
            <w:r>
              <w:rPr>
                <w:rFonts w:hint="eastAsia"/>
                <w:lang w:val="en-US" w:eastAsia="zh-CN"/>
              </w:rPr>
              <w:t>示意图附图9</w:t>
            </w:r>
            <w:r>
              <w:rPr>
                <w:rFonts w:hint="eastAsia"/>
              </w:rPr>
              <w:t>，预测结果见下表。</w:t>
            </w:r>
          </w:p>
          <w:p w14:paraId="30E9ED5C">
            <w:pPr>
              <w:adjustRightInd w:val="0"/>
              <w:spacing w:line="360" w:lineRule="auto"/>
              <w:jc w:val="center"/>
              <w:rPr>
                <w:rStyle w:val="23"/>
                <w:rFonts w:eastAsiaTheme="minorEastAsia" w:cstheme="minorBidi"/>
                <w:kern w:val="2"/>
              </w:rPr>
            </w:pPr>
            <w:r>
              <w:rPr>
                <w:rFonts w:hAnsi="黑体" w:eastAsia="黑体"/>
              </w:rPr>
              <w:t>表</w:t>
            </w:r>
            <w:r>
              <w:rPr>
                <w:rFonts w:hint="eastAsia" w:eastAsia="黑体"/>
              </w:rPr>
              <w:t>4-</w:t>
            </w:r>
            <w:r>
              <w:rPr>
                <w:rFonts w:hint="eastAsia" w:eastAsia="黑体"/>
                <w:lang w:val="en-US" w:eastAsia="zh-CN"/>
              </w:rPr>
              <w:t xml:space="preserve">7  </w:t>
            </w:r>
            <w:r>
              <w:rPr>
                <w:rFonts w:hAnsi="黑体" w:eastAsia="黑体"/>
              </w:rPr>
              <w:t>项目噪声</w:t>
            </w:r>
            <w:r>
              <w:rPr>
                <w:rFonts w:hint="eastAsia" w:hAnsi="黑体" w:eastAsia="黑体"/>
              </w:rPr>
              <w:t>预测</w:t>
            </w:r>
            <w:r>
              <w:rPr>
                <w:rFonts w:hAnsi="黑体" w:eastAsia="黑体"/>
              </w:rPr>
              <w:t>结果一览表</w:t>
            </w:r>
            <w:r>
              <w:rPr>
                <w:rFonts w:hint="eastAsia" w:hAnsi="黑体" w:eastAsia="黑体"/>
              </w:rPr>
              <w:t xml:space="preserve">  单位：</w:t>
            </w:r>
            <w:r>
              <w:rPr>
                <w:rFonts w:hAnsi="黑体" w:eastAsia="黑体"/>
              </w:rPr>
              <w:t>dB（A）</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1237"/>
              <w:gridCol w:w="1237"/>
              <w:gridCol w:w="1237"/>
              <w:gridCol w:w="1240"/>
            </w:tblGrid>
            <w:tr w14:paraId="5ABBA5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vMerge w:val="restart"/>
                  <w:noWrap w:val="0"/>
                  <w:vAlign w:val="center"/>
                </w:tcPr>
                <w:p w14:paraId="4BD14B2F">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预测点</w:t>
                  </w:r>
                </w:p>
              </w:tc>
              <w:tc>
                <w:tcPr>
                  <w:tcW w:w="788" w:type="pct"/>
                  <w:noWrap w:val="0"/>
                  <w:vAlign w:val="center"/>
                </w:tcPr>
                <w:p w14:paraId="7EF352F3">
                  <w:pPr>
                    <w:spacing w:line="276" w:lineRule="auto"/>
                    <w:jc w:val="center"/>
                    <w:rPr>
                      <w:rFonts w:hint="default" w:ascii="Times New Roman" w:hAnsi="宋体" w:eastAsia="宋体" w:cs="Times New Roman"/>
                      <w:b/>
                      <w:bCs w:val="0"/>
                      <w:sz w:val="21"/>
                      <w:szCs w:val="21"/>
                    </w:rPr>
                  </w:pPr>
                  <w:r>
                    <w:rPr>
                      <w:rFonts w:hint="eastAsia" w:ascii="Times New Roman" w:hAnsi="宋体" w:eastAsia="宋体" w:cs="Times New Roman"/>
                      <w:b/>
                      <w:bCs w:val="0"/>
                      <w:sz w:val="21"/>
                      <w:szCs w:val="21"/>
                      <w:lang w:val="en-US" w:eastAsia="zh-CN"/>
                    </w:rPr>
                    <w:t>贡献值</w:t>
                  </w:r>
                </w:p>
              </w:tc>
              <w:tc>
                <w:tcPr>
                  <w:tcW w:w="788" w:type="pct"/>
                  <w:noWrap w:val="0"/>
                  <w:vAlign w:val="center"/>
                </w:tcPr>
                <w:p w14:paraId="6CBA6A3A">
                  <w:pPr>
                    <w:spacing w:line="276" w:lineRule="auto"/>
                    <w:jc w:val="center"/>
                    <w:rPr>
                      <w:rFonts w:hint="eastAsia" w:ascii="Times New Roman" w:hAnsi="宋体" w:eastAsia="宋体" w:cs="Times New Roman"/>
                      <w:b/>
                      <w:bCs w:val="0"/>
                      <w:sz w:val="21"/>
                      <w:szCs w:val="21"/>
                      <w:lang w:val="en-US" w:eastAsia="zh-CN"/>
                    </w:rPr>
                  </w:pPr>
                  <w:r>
                    <w:rPr>
                      <w:rFonts w:hint="eastAsia" w:ascii="Times New Roman" w:hAnsi="宋体" w:eastAsia="宋体" w:cs="Times New Roman"/>
                      <w:b/>
                      <w:bCs w:val="0"/>
                      <w:sz w:val="21"/>
                      <w:szCs w:val="21"/>
                      <w:lang w:val="en-US" w:eastAsia="zh-CN"/>
                    </w:rPr>
                    <w:t>背景值</w:t>
                  </w:r>
                </w:p>
              </w:tc>
              <w:tc>
                <w:tcPr>
                  <w:tcW w:w="788" w:type="pct"/>
                  <w:noWrap w:val="0"/>
                  <w:vAlign w:val="center"/>
                </w:tcPr>
                <w:p w14:paraId="404AD2F5">
                  <w:pPr>
                    <w:spacing w:line="276" w:lineRule="auto"/>
                    <w:jc w:val="center"/>
                    <w:rPr>
                      <w:rFonts w:hint="default" w:ascii="Times New Roman" w:hAnsi="宋体" w:eastAsia="宋体" w:cs="Times New Roman"/>
                      <w:b/>
                      <w:bCs w:val="0"/>
                      <w:sz w:val="21"/>
                      <w:szCs w:val="21"/>
                      <w:lang w:val="en-US" w:eastAsia="zh-CN"/>
                    </w:rPr>
                  </w:pPr>
                  <w:r>
                    <w:rPr>
                      <w:rFonts w:hint="eastAsia" w:ascii="Times New Roman" w:hAnsi="宋体" w:eastAsia="宋体" w:cs="Times New Roman"/>
                      <w:b/>
                      <w:bCs w:val="0"/>
                      <w:sz w:val="21"/>
                      <w:szCs w:val="21"/>
                      <w:lang w:val="en-US" w:eastAsia="zh-CN"/>
                    </w:rPr>
                    <w:t>预测值</w:t>
                  </w:r>
                </w:p>
              </w:tc>
              <w:tc>
                <w:tcPr>
                  <w:tcW w:w="790" w:type="pct"/>
                  <w:noWrap w:val="0"/>
                  <w:vAlign w:val="top"/>
                </w:tcPr>
                <w:p w14:paraId="5BAB50FE">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标准值</w:t>
                  </w:r>
                </w:p>
              </w:tc>
            </w:tr>
            <w:tr w14:paraId="47E13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vMerge w:val="continue"/>
                  <w:noWrap w:val="0"/>
                  <w:vAlign w:val="center"/>
                </w:tcPr>
                <w:p w14:paraId="1AC2E2B1">
                  <w:pPr>
                    <w:spacing w:line="276" w:lineRule="auto"/>
                    <w:jc w:val="center"/>
                    <w:rPr>
                      <w:rFonts w:hint="default" w:ascii="Times New Roman" w:hAnsi="宋体" w:eastAsia="宋体" w:cs="Times New Roman"/>
                      <w:b/>
                      <w:bCs w:val="0"/>
                      <w:sz w:val="21"/>
                      <w:szCs w:val="21"/>
                    </w:rPr>
                  </w:pPr>
                </w:p>
              </w:tc>
              <w:tc>
                <w:tcPr>
                  <w:tcW w:w="788" w:type="pct"/>
                  <w:noWrap w:val="0"/>
                  <w:vAlign w:val="center"/>
                </w:tcPr>
                <w:p w14:paraId="078E7546">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昼间</w:t>
                  </w:r>
                </w:p>
              </w:tc>
              <w:tc>
                <w:tcPr>
                  <w:tcW w:w="788" w:type="pct"/>
                  <w:noWrap w:val="0"/>
                  <w:vAlign w:val="center"/>
                </w:tcPr>
                <w:p w14:paraId="516E6336">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昼间</w:t>
                  </w:r>
                </w:p>
              </w:tc>
              <w:tc>
                <w:tcPr>
                  <w:tcW w:w="788" w:type="pct"/>
                  <w:noWrap w:val="0"/>
                  <w:vAlign w:val="center"/>
                </w:tcPr>
                <w:p w14:paraId="59E3FD61">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昼间</w:t>
                  </w:r>
                </w:p>
              </w:tc>
              <w:tc>
                <w:tcPr>
                  <w:tcW w:w="790" w:type="pct"/>
                  <w:noWrap w:val="0"/>
                  <w:vAlign w:val="top"/>
                </w:tcPr>
                <w:p w14:paraId="2AFE72F8">
                  <w:pPr>
                    <w:spacing w:line="276" w:lineRule="auto"/>
                    <w:jc w:val="center"/>
                    <w:rPr>
                      <w:rFonts w:hint="default" w:ascii="Times New Roman" w:hAnsi="宋体" w:eastAsia="宋体" w:cs="Times New Roman"/>
                      <w:b/>
                      <w:bCs w:val="0"/>
                      <w:sz w:val="21"/>
                      <w:szCs w:val="21"/>
                    </w:rPr>
                  </w:pPr>
                  <w:r>
                    <w:rPr>
                      <w:rFonts w:hint="default" w:ascii="Times New Roman" w:hAnsi="宋体" w:eastAsia="宋体" w:cs="Times New Roman"/>
                      <w:b/>
                      <w:bCs w:val="0"/>
                      <w:sz w:val="21"/>
                      <w:szCs w:val="21"/>
                    </w:rPr>
                    <w:t>昼间</w:t>
                  </w:r>
                </w:p>
              </w:tc>
            </w:tr>
            <w:tr w14:paraId="4077D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noWrap w:val="0"/>
                  <w:vAlign w:val="center"/>
                </w:tcPr>
                <w:p w14:paraId="0F8D2FEC">
                  <w:pPr>
                    <w:spacing w:line="276" w:lineRule="auto"/>
                    <w:jc w:val="center"/>
                    <w:rPr>
                      <w:rFonts w:hint="default" w:ascii="Times New Roman" w:hAnsi="宋体" w:eastAsia="宋体" w:cs="Times New Roman"/>
                      <w:b w:val="0"/>
                      <w:bCs/>
                      <w:sz w:val="21"/>
                      <w:szCs w:val="21"/>
                    </w:rPr>
                  </w:pPr>
                  <w:r>
                    <w:rPr>
                      <w:rFonts w:hint="default" w:ascii="Times New Roman" w:hAnsi="宋体" w:eastAsia="宋体" w:cs="Times New Roman"/>
                      <w:b w:val="0"/>
                      <w:bCs/>
                      <w:sz w:val="21"/>
                      <w:szCs w:val="21"/>
                    </w:rPr>
                    <w:t>东厂界</w:t>
                  </w:r>
                </w:p>
              </w:tc>
              <w:tc>
                <w:tcPr>
                  <w:tcW w:w="1237" w:type="dxa"/>
                  <w:noWrap w:val="0"/>
                  <w:vAlign w:val="center"/>
                </w:tcPr>
                <w:p w14:paraId="2D7125BE">
                  <w:pPr>
                    <w:spacing w:line="276" w:lineRule="auto"/>
                    <w:jc w:val="center"/>
                    <w:rPr>
                      <w:rFonts w:hint="default" w:ascii="Times New Roman" w:hAnsi="宋体" w:eastAsia="宋体" w:cs="Times New Roman"/>
                      <w:b w:val="0"/>
                      <w:bCs/>
                      <w:sz w:val="21"/>
                      <w:szCs w:val="21"/>
                    </w:rPr>
                  </w:pPr>
                  <w:r>
                    <w:rPr>
                      <w:rFonts w:hint="eastAsia"/>
                      <w:sz w:val="21"/>
                      <w:szCs w:val="21"/>
                    </w:rPr>
                    <w:t>59</w:t>
                  </w:r>
                </w:p>
              </w:tc>
              <w:tc>
                <w:tcPr>
                  <w:tcW w:w="788" w:type="pct"/>
                  <w:noWrap w:val="0"/>
                  <w:vAlign w:val="center"/>
                </w:tcPr>
                <w:p w14:paraId="3BF5563F">
                  <w:pPr>
                    <w:spacing w:line="276" w:lineRule="auto"/>
                    <w:jc w:val="center"/>
                    <w:rPr>
                      <w:rFonts w:hint="default" w:ascii="Times New Roman" w:hAnsi="宋体" w:eastAsia="宋体" w:cs="Times New Roman"/>
                      <w:b w:val="0"/>
                      <w:bCs/>
                      <w:sz w:val="21"/>
                      <w:szCs w:val="21"/>
                      <w:lang w:val="en-US" w:eastAsia="zh-CN"/>
                    </w:rPr>
                  </w:pPr>
                  <w:r>
                    <w:rPr>
                      <w:rFonts w:hint="eastAsia" w:ascii="Times New Roman" w:hAnsi="宋体" w:eastAsia="宋体" w:cs="Times New Roman"/>
                      <w:b w:val="0"/>
                      <w:bCs/>
                      <w:sz w:val="21"/>
                      <w:szCs w:val="21"/>
                      <w:lang w:val="en-US" w:eastAsia="zh-CN"/>
                    </w:rPr>
                    <w:t>/</w:t>
                  </w:r>
                </w:p>
              </w:tc>
              <w:tc>
                <w:tcPr>
                  <w:tcW w:w="1237" w:type="dxa"/>
                  <w:noWrap w:val="0"/>
                  <w:vAlign w:val="center"/>
                </w:tcPr>
                <w:p w14:paraId="3D6045C1">
                  <w:pPr>
                    <w:spacing w:line="276" w:lineRule="auto"/>
                    <w:jc w:val="center"/>
                    <w:rPr>
                      <w:rFonts w:hint="eastAsia" w:ascii="Times New Roman" w:hAnsi="宋体" w:eastAsia="宋体" w:cs="Times New Roman"/>
                      <w:b w:val="0"/>
                      <w:bCs/>
                      <w:sz w:val="21"/>
                      <w:szCs w:val="21"/>
                    </w:rPr>
                  </w:pPr>
                  <w:r>
                    <w:rPr>
                      <w:rFonts w:hint="eastAsia"/>
                      <w:sz w:val="21"/>
                      <w:szCs w:val="21"/>
                    </w:rPr>
                    <w:t>59</w:t>
                  </w:r>
                </w:p>
              </w:tc>
              <w:tc>
                <w:tcPr>
                  <w:tcW w:w="1240" w:type="dxa"/>
                  <w:noWrap w:val="0"/>
                  <w:vAlign w:val="center"/>
                </w:tcPr>
                <w:p w14:paraId="1739299F">
                  <w:pPr>
                    <w:spacing w:line="276" w:lineRule="auto"/>
                    <w:jc w:val="center"/>
                    <w:rPr>
                      <w:rFonts w:hint="default" w:ascii="Times New Roman" w:hAnsi="宋体" w:eastAsia="宋体" w:cs="Times New Roman"/>
                      <w:b w:val="0"/>
                      <w:bCs/>
                      <w:sz w:val="21"/>
                      <w:szCs w:val="21"/>
                      <w:lang w:val="en-US" w:eastAsia="zh-CN"/>
                    </w:rPr>
                  </w:pPr>
                  <w:r>
                    <w:rPr>
                      <w:rFonts w:hint="eastAsia"/>
                      <w:sz w:val="21"/>
                      <w:szCs w:val="21"/>
                    </w:rPr>
                    <w:t>65</w:t>
                  </w:r>
                </w:p>
              </w:tc>
            </w:tr>
            <w:tr w14:paraId="7F88C3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noWrap w:val="0"/>
                  <w:vAlign w:val="center"/>
                </w:tcPr>
                <w:p w14:paraId="363581F2">
                  <w:pPr>
                    <w:spacing w:line="276" w:lineRule="auto"/>
                    <w:jc w:val="center"/>
                    <w:rPr>
                      <w:rFonts w:hint="default" w:ascii="Times New Roman" w:hAnsi="宋体" w:eastAsia="宋体" w:cs="Times New Roman"/>
                      <w:b w:val="0"/>
                      <w:bCs/>
                      <w:sz w:val="21"/>
                      <w:szCs w:val="21"/>
                    </w:rPr>
                  </w:pPr>
                  <w:r>
                    <w:rPr>
                      <w:rFonts w:hint="default" w:ascii="Times New Roman" w:hAnsi="宋体" w:eastAsia="宋体" w:cs="Times New Roman"/>
                      <w:b w:val="0"/>
                      <w:bCs/>
                      <w:sz w:val="21"/>
                      <w:szCs w:val="21"/>
                    </w:rPr>
                    <w:t>南厂界</w:t>
                  </w:r>
                </w:p>
              </w:tc>
              <w:tc>
                <w:tcPr>
                  <w:tcW w:w="1237" w:type="dxa"/>
                  <w:noWrap w:val="0"/>
                  <w:vAlign w:val="center"/>
                </w:tcPr>
                <w:p w14:paraId="18D35CC9">
                  <w:pPr>
                    <w:spacing w:line="276" w:lineRule="auto"/>
                    <w:jc w:val="center"/>
                    <w:rPr>
                      <w:rFonts w:hint="default" w:ascii="Times New Roman" w:hAnsi="宋体" w:eastAsia="宋体" w:cs="Times New Roman"/>
                      <w:b w:val="0"/>
                      <w:bCs/>
                      <w:sz w:val="21"/>
                      <w:szCs w:val="21"/>
                    </w:rPr>
                  </w:pPr>
                  <w:r>
                    <w:rPr>
                      <w:rFonts w:hint="eastAsia"/>
                      <w:sz w:val="21"/>
                      <w:szCs w:val="21"/>
                    </w:rPr>
                    <w:t>48</w:t>
                  </w:r>
                </w:p>
              </w:tc>
              <w:tc>
                <w:tcPr>
                  <w:tcW w:w="788" w:type="pct"/>
                  <w:noWrap w:val="0"/>
                  <w:vAlign w:val="center"/>
                </w:tcPr>
                <w:p w14:paraId="0EF2B248">
                  <w:pPr>
                    <w:spacing w:line="276" w:lineRule="auto"/>
                    <w:jc w:val="center"/>
                    <w:rPr>
                      <w:rFonts w:hint="eastAsia" w:ascii="Times New Roman" w:hAnsi="宋体" w:eastAsia="宋体" w:cs="Times New Roman"/>
                      <w:b w:val="0"/>
                      <w:bCs/>
                      <w:sz w:val="21"/>
                      <w:szCs w:val="21"/>
                      <w:lang w:val="en-US" w:eastAsia="zh-CN"/>
                    </w:rPr>
                  </w:pPr>
                  <w:r>
                    <w:rPr>
                      <w:rFonts w:hint="eastAsia" w:ascii="Times New Roman" w:hAnsi="宋体" w:eastAsia="宋体" w:cs="Times New Roman"/>
                      <w:b w:val="0"/>
                      <w:bCs/>
                      <w:sz w:val="21"/>
                      <w:szCs w:val="21"/>
                      <w:lang w:val="en-US" w:eastAsia="zh-CN"/>
                    </w:rPr>
                    <w:t>/</w:t>
                  </w:r>
                </w:p>
              </w:tc>
              <w:tc>
                <w:tcPr>
                  <w:tcW w:w="1237" w:type="dxa"/>
                  <w:noWrap w:val="0"/>
                  <w:vAlign w:val="center"/>
                </w:tcPr>
                <w:p w14:paraId="3B0D1CBC">
                  <w:pPr>
                    <w:spacing w:line="276" w:lineRule="auto"/>
                    <w:jc w:val="center"/>
                    <w:rPr>
                      <w:rFonts w:hint="eastAsia" w:ascii="Times New Roman" w:hAnsi="宋体" w:eastAsia="宋体" w:cs="Times New Roman"/>
                      <w:b w:val="0"/>
                      <w:bCs/>
                      <w:sz w:val="21"/>
                      <w:szCs w:val="21"/>
                    </w:rPr>
                  </w:pPr>
                  <w:r>
                    <w:rPr>
                      <w:rFonts w:hint="eastAsia"/>
                      <w:sz w:val="21"/>
                      <w:szCs w:val="21"/>
                    </w:rPr>
                    <w:t>48</w:t>
                  </w:r>
                </w:p>
              </w:tc>
              <w:tc>
                <w:tcPr>
                  <w:tcW w:w="1240" w:type="dxa"/>
                  <w:noWrap w:val="0"/>
                  <w:vAlign w:val="center"/>
                </w:tcPr>
                <w:p w14:paraId="18CC3978">
                  <w:pPr>
                    <w:spacing w:line="276" w:lineRule="auto"/>
                    <w:jc w:val="center"/>
                    <w:rPr>
                      <w:rFonts w:hint="default" w:ascii="Times New Roman" w:hAnsi="宋体" w:eastAsia="宋体" w:cs="Times New Roman"/>
                      <w:b w:val="0"/>
                      <w:bCs/>
                      <w:sz w:val="21"/>
                      <w:szCs w:val="21"/>
                      <w:lang w:val="en-US" w:eastAsia="zh-CN"/>
                    </w:rPr>
                  </w:pPr>
                  <w:r>
                    <w:rPr>
                      <w:rFonts w:hint="eastAsia"/>
                      <w:sz w:val="21"/>
                      <w:szCs w:val="21"/>
                    </w:rPr>
                    <w:t>65</w:t>
                  </w:r>
                </w:p>
              </w:tc>
            </w:tr>
            <w:tr w14:paraId="60A16A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noWrap w:val="0"/>
                  <w:vAlign w:val="center"/>
                </w:tcPr>
                <w:p w14:paraId="5B0F6BAC">
                  <w:pPr>
                    <w:spacing w:line="276" w:lineRule="auto"/>
                    <w:jc w:val="center"/>
                    <w:rPr>
                      <w:rFonts w:hint="default" w:ascii="Times New Roman" w:hAnsi="宋体" w:eastAsia="宋体" w:cs="Times New Roman"/>
                      <w:b w:val="0"/>
                      <w:bCs/>
                      <w:sz w:val="21"/>
                      <w:szCs w:val="21"/>
                    </w:rPr>
                  </w:pPr>
                  <w:r>
                    <w:rPr>
                      <w:rFonts w:hint="default" w:ascii="Times New Roman" w:hAnsi="宋体" w:eastAsia="宋体" w:cs="Times New Roman"/>
                      <w:b w:val="0"/>
                      <w:bCs/>
                      <w:sz w:val="21"/>
                      <w:szCs w:val="21"/>
                    </w:rPr>
                    <w:t>西厂界</w:t>
                  </w:r>
                </w:p>
              </w:tc>
              <w:tc>
                <w:tcPr>
                  <w:tcW w:w="1237" w:type="dxa"/>
                  <w:noWrap w:val="0"/>
                  <w:vAlign w:val="center"/>
                </w:tcPr>
                <w:p w14:paraId="633306AA">
                  <w:pPr>
                    <w:spacing w:line="276" w:lineRule="auto"/>
                    <w:jc w:val="center"/>
                    <w:rPr>
                      <w:rFonts w:hint="default" w:ascii="Times New Roman" w:hAnsi="宋体" w:eastAsia="宋体" w:cs="Times New Roman"/>
                      <w:b w:val="0"/>
                      <w:bCs/>
                      <w:sz w:val="21"/>
                      <w:szCs w:val="21"/>
                    </w:rPr>
                  </w:pPr>
                  <w:r>
                    <w:rPr>
                      <w:rFonts w:hint="eastAsia"/>
                      <w:sz w:val="21"/>
                      <w:szCs w:val="21"/>
                    </w:rPr>
                    <w:t>52</w:t>
                  </w:r>
                </w:p>
              </w:tc>
              <w:tc>
                <w:tcPr>
                  <w:tcW w:w="788" w:type="pct"/>
                  <w:noWrap w:val="0"/>
                  <w:vAlign w:val="center"/>
                </w:tcPr>
                <w:p w14:paraId="1B0927DF">
                  <w:pPr>
                    <w:spacing w:line="276" w:lineRule="auto"/>
                    <w:jc w:val="center"/>
                    <w:rPr>
                      <w:rFonts w:hint="eastAsia" w:ascii="Times New Roman" w:hAnsi="宋体" w:eastAsia="宋体" w:cs="Times New Roman"/>
                      <w:b w:val="0"/>
                      <w:bCs/>
                      <w:sz w:val="21"/>
                      <w:szCs w:val="21"/>
                      <w:lang w:val="en-US" w:eastAsia="zh-CN"/>
                    </w:rPr>
                  </w:pPr>
                  <w:r>
                    <w:rPr>
                      <w:rFonts w:hint="eastAsia" w:ascii="Times New Roman" w:hAnsi="宋体" w:eastAsia="宋体" w:cs="Times New Roman"/>
                      <w:b w:val="0"/>
                      <w:bCs/>
                      <w:sz w:val="21"/>
                      <w:szCs w:val="21"/>
                      <w:lang w:val="en-US" w:eastAsia="zh-CN"/>
                    </w:rPr>
                    <w:t>/</w:t>
                  </w:r>
                </w:p>
              </w:tc>
              <w:tc>
                <w:tcPr>
                  <w:tcW w:w="1237" w:type="dxa"/>
                  <w:noWrap w:val="0"/>
                  <w:vAlign w:val="center"/>
                </w:tcPr>
                <w:p w14:paraId="5D419A1B">
                  <w:pPr>
                    <w:spacing w:line="276" w:lineRule="auto"/>
                    <w:jc w:val="center"/>
                    <w:rPr>
                      <w:rFonts w:hint="eastAsia" w:ascii="Times New Roman" w:hAnsi="宋体" w:eastAsia="宋体" w:cs="Times New Roman"/>
                      <w:b w:val="0"/>
                      <w:bCs/>
                      <w:sz w:val="21"/>
                      <w:szCs w:val="21"/>
                    </w:rPr>
                  </w:pPr>
                  <w:r>
                    <w:rPr>
                      <w:rFonts w:hint="eastAsia"/>
                      <w:sz w:val="21"/>
                      <w:szCs w:val="21"/>
                    </w:rPr>
                    <w:t>52</w:t>
                  </w:r>
                </w:p>
              </w:tc>
              <w:tc>
                <w:tcPr>
                  <w:tcW w:w="1240" w:type="dxa"/>
                  <w:noWrap w:val="0"/>
                  <w:vAlign w:val="center"/>
                </w:tcPr>
                <w:p w14:paraId="32785750">
                  <w:pPr>
                    <w:spacing w:line="276" w:lineRule="auto"/>
                    <w:jc w:val="center"/>
                    <w:rPr>
                      <w:rFonts w:hint="default" w:ascii="Times New Roman" w:hAnsi="宋体" w:eastAsia="宋体" w:cs="Times New Roman"/>
                      <w:b w:val="0"/>
                      <w:bCs/>
                      <w:sz w:val="21"/>
                      <w:szCs w:val="21"/>
                    </w:rPr>
                  </w:pPr>
                  <w:r>
                    <w:rPr>
                      <w:rFonts w:hint="eastAsia"/>
                      <w:sz w:val="21"/>
                      <w:szCs w:val="21"/>
                    </w:rPr>
                    <w:t>65</w:t>
                  </w:r>
                </w:p>
              </w:tc>
            </w:tr>
            <w:tr w14:paraId="17AD1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noWrap w:val="0"/>
                  <w:vAlign w:val="center"/>
                </w:tcPr>
                <w:p w14:paraId="74258484">
                  <w:pPr>
                    <w:spacing w:line="276" w:lineRule="auto"/>
                    <w:jc w:val="center"/>
                    <w:rPr>
                      <w:rFonts w:hint="default" w:ascii="Times New Roman" w:hAnsi="宋体" w:eastAsia="宋体" w:cs="Times New Roman"/>
                      <w:b w:val="0"/>
                      <w:bCs/>
                      <w:sz w:val="21"/>
                      <w:szCs w:val="21"/>
                    </w:rPr>
                  </w:pPr>
                  <w:r>
                    <w:rPr>
                      <w:rFonts w:hint="default" w:ascii="Times New Roman" w:hAnsi="宋体" w:eastAsia="宋体" w:cs="Times New Roman"/>
                      <w:b w:val="0"/>
                      <w:bCs/>
                      <w:sz w:val="21"/>
                      <w:szCs w:val="21"/>
                    </w:rPr>
                    <w:t>北厂界</w:t>
                  </w:r>
                </w:p>
              </w:tc>
              <w:tc>
                <w:tcPr>
                  <w:tcW w:w="1237" w:type="dxa"/>
                  <w:noWrap w:val="0"/>
                  <w:vAlign w:val="center"/>
                </w:tcPr>
                <w:p w14:paraId="1488E663">
                  <w:pPr>
                    <w:spacing w:line="276" w:lineRule="auto"/>
                    <w:jc w:val="center"/>
                    <w:rPr>
                      <w:rFonts w:hint="default" w:ascii="Times New Roman" w:hAnsi="宋体" w:eastAsia="宋体" w:cs="Times New Roman"/>
                      <w:b w:val="0"/>
                      <w:bCs/>
                      <w:sz w:val="21"/>
                      <w:szCs w:val="21"/>
                    </w:rPr>
                  </w:pPr>
                  <w:r>
                    <w:rPr>
                      <w:rFonts w:hint="eastAsia"/>
                      <w:sz w:val="21"/>
                      <w:szCs w:val="21"/>
                    </w:rPr>
                    <w:t>56</w:t>
                  </w:r>
                </w:p>
              </w:tc>
              <w:tc>
                <w:tcPr>
                  <w:tcW w:w="788" w:type="pct"/>
                  <w:noWrap w:val="0"/>
                  <w:vAlign w:val="center"/>
                </w:tcPr>
                <w:p w14:paraId="75C250A7">
                  <w:pPr>
                    <w:spacing w:line="276" w:lineRule="auto"/>
                    <w:jc w:val="center"/>
                    <w:rPr>
                      <w:rFonts w:hint="eastAsia" w:ascii="Times New Roman" w:hAnsi="宋体" w:eastAsia="宋体" w:cs="Times New Roman"/>
                      <w:b w:val="0"/>
                      <w:bCs/>
                      <w:sz w:val="21"/>
                      <w:szCs w:val="21"/>
                      <w:lang w:val="en-US" w:eastAsia="zh-CN"/>
                    </w:rPr>
                  </w:pPr>
                  <w:r>
                    <w:rPr>
                      <w:rFonts w:hint="eastAsia" w:ascii="Times New Roman" w:hAnsi="宋体" w:eastAsia="宋体" w:cs="Times New Roman"/>
                      <w:b w:val="0"/>
                      <w:bCs/>
                      <w:sz w:val="21"/>
                      <w:szCs w:val="21"/>
                      <w:lang w:val="en-US" w:eastAsia="zh-CN"/>
                    </w:rPr>
                    <w:t>/</w:t>
                  </w:r>
                </w:p>
              </w:tc>
              <w:tc>
                <w:tcPr>
                  <w:tcW w:w="1237" w:type="dxa"/>
                  <w:noWrap w:val="0"/>
                  <w:vAlign w:val="center"/>
                </w:tcPr>
                <w:p w14:paraId="12B618AD">
                  <w:pPr>
                    <w:spacing w:line="276" w:lineRule="auto"/>
                    <w:jc w:val="center"/>
                    <w:rPr>
                      <w:rFonts w:hint="eastAsia" w:ascii="Times New Roman" w:hAnsi="宋体" w:eastAsia="宋体" w:cs="Times New Roman"/>
                      <w:b w:val="0"/>
                      <w:bCs/>
                      <w:sz w:val="21"/>
                      <w:szCs w:val="21"/>
                    </w:rPr>
                  </w:pPr>
                  <w:r>
                    <w:rPr>
                      <w:rFonts w:hint="eastAsia"/>
                      <w:sz w:val="21"/>
                      <w:szCs w:val="21"/>
                    </w:rPr>
                    <w:t>56</w:t>
                  </w:r>
                </w:p>
              </w:tc>
              <w:tc>
                <w:tcPr>
                  <w:tcW w:w="1240" w:type="dxa"/>
                  <w:noWrap w:val="0"/>
                  <w:vAlign w:val="center"/>
                </w:tcPr>
                <w:p w14:paraId="19460CC8">
                  <w:pPr>
                    <w:spacing w:line="276" w:lineRule="auto"/>
                    <w:jc w:val="center"/>
                    <w:rPr>
                      <w:rFonts w:hint="default" w:ascii="Times New Roman" w:hAnsi="宋体" w:eastAsia="宋体" w:cs="Times New Roman"/>
                      <w:b w:val="0"/>
                      <w:bCs/>
                      <w:sz w:val="21"/>
                      <w:szCs w:val="21"/>
                    </w:rPr>
                  </w:pPr>
                  <w:r>
                    <w:rPr>
                      <w:rFonts w:hint="eastAsia"/>
                      <w:sz w:val="21"/>
                      <w:szCs w:val="21"/>
                    </w:rPr>
                    <w:t>65</w:t>
                  </w:r>
                </w:p>
              </w:tc>
            </w:tr>
            <w:tr w14:paraId="3A62ED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noWrap w:val="0"/>
                  <w:vAlign w:val="center"/>
                </w:tcPr>
                <w:p w14:paraId="133A9E85">
                  <w:pPr>
                    <w:spacing w:line="276" w:lineRule="auto"/>
                    <w:jc w:val="center"/>
                    <w:rPr>
                      <w:rFonts w:hint="default" w:ascii="Times New Roman" w:hAnsi="宋体" w:eastAsia="宋体" w:cs="Times New Roman"/>
                      <w:b w:val="0"/>
                      <w:bCs/>
                      <w:sz w:val="21"/>
                      <w:szCs w:val="21"/>
                      <w:highlight w:val="none"/>
                    </w:rPr>
                  </w:pPr>
                  <w:bookmarkStart w:id="11" w:name="_GoBack" w:colFirst="0" w:colLast="4"/>
                  <w:r>
                    <w:rPr>
                      <w:rFonts w:hint="default" w:ascii="Times New Roman" w:hAnsi="宋体" w:eastAsia="宋体" w:cs="Times New Roman"/>
                      <w:b w:val="0"/>
                      <w:bCs/>
                      <w:sz w:val="21"/>
                      <w:szCs w:val="21"/>
                      <w:highlight w:val="none"/>
                      <w:lang w:val="en-US" w:eastAsia="zh-CN"/>
                    </w:rPr>
                    <w:t>绿色智造产业园宿舍楼</w:t>
                  </w:r>
                </w:p>
              </w:tc>
              <w:tc>
                <w:tcPr>
                  <w:tcW w:w="788" w:type="pct"/>
                  <w:noWrap w:val="0"/>
                  <w:vAlign w:val="center"/>
                </w:tcPr>
                <w:p w14:paraId="2A55F3CE">
                  <w:pPr>
                    <w:spacing w:line="276" w:lineRule="auto"/>
                    <w:jc w:val="center"/>
                    <w:rPr>
                      <w:rFonts w:hint="default" w:ascii="Times New Roman" w:hAnsi="宋体" w:eastAsia="宋体" w:cs="Times New Roman"/>
                      <w:b w:val="0"/>
                      <w:bCs/>
                      <w:sz w:val="21"/>
                      <w:szCs w:val="21"/>
                      <w:highlight w:val="none"/>
                      <w:lang w:val="en-US" w:eastAsia="zh-CN"/>
                    </w:rPr>
                  </w:pPr>
                  <w:r>
                    <w:rPr>
                      <w:rFonts w:hint="eastAsia" w:ascii="Times New Roman" w:hAnsi="宋体" w:eastAsia="宋体" w:cs="Times New Roman"/>
                      <w:b w:val="0"/>
                      <w:bCs/>
                      <w:sz w:val="21"/>
                      <w:szCs w:val="21"/>
                      <w:highlight w:val="none"/>
                      <w:lang w:val="en-US" w:eastAsia="zh-CN"/>
                    </w:rPr>
                    <w:t>27</w:t>
                  </w:r>
                </w:p>
              </w:tc>
              <w:tc>
                <w:tcPr>
                  <w:tcW w:w="788" w:type="pct"/>
                  <w:noWrap w:val="0"/>
                  <w:vAlign w:val="center"/>
                </w:tcPr>
                <w:p w14:paraId="5E3A7B2E">
                  <w:pPr>
                    <w:spacing w:line="276" w:lineRule="auto"/>
                    <w:jc w:val="center"/>
                    <w:rPr>
                      <w:rFonts w:hint="default" w:ascii="Times New Roman" w:hAnsi="宋体" w:eastAsia="宋体" w:cs="Times New Roman"/>
                      <w:b w:val="0"/>
                      <w:bCs/>
                      <w:sz w:val="21"/>
                      <w:szCs w:val="21"/>
                      <w:highlight w:val="none"/>
                      <w:lang w:val="en-US" w:eastAsia="zh-CN"/>
                    </w:rPr>
                  </w:pPr>
                  <w:r>
                    <w:rPr>
                      <w:rFonts w:hint="eastAsia" w:ascii="Times New Roman" w:hAnsi="宋体" w:eastAsia="宋体" w:cs="Times New Roman"/>
                      <w:b w:val="0"/>
                      <w:bCs/>
                      <w:sz w:val="21"/>
                      <w:szCs w:val="21"/>
                      <w:highlight w:val="none"/>
                      <w:lang w:val="en-US" w:eastAsia="zh-CN"/>
                    </w:rPr>
                    <w:t>52</w:t>
                  </w:r>
                </w:p>
              </w:tc>
              <w:tc>
                <w:tcPr>
                  <w:tcW w:w="788" w:type="pct"/>
                  <w:noWrap w:val="0"/>
                  <w:vAlign w:val="center"/>
                </w:tcPr>
                <w:p w14:paraId="0F37D00B">
                  <w:pPr>
                    <w:spacing w:line="276" w:lineRule="auto"/>
                    <w:jc w:val="center"/>
                    <w:rPr>
                      <w:rFonts w:hint="default" w:ascii="Times New Roman" w:hAnsi="宋体" w:eastAsia="宋体" w:cs="Times New Roman"/>
                      <w:b w:val="0"/>
                      <w:bCs/>
                      <w:sz w:val="21"/>
                      <w:szCs w:val="21"/>
                      <w:highlight w:val="none"/>
                      <w:lang w:val="en-US" w:eastAsia="zh-CN"/>
                    </w:rPr>
                  </w:pPr>
                  <w:r>
                    <w:rPr>
                      <w:rFonts w:hint="eastAsia" w:ascii="Times New Roman" w:hAnsi="宋体" w:eastAsia="宋体" w:cs="Times New Roman"/>
                      <w:b w:val="0"/>
                      <w:bCs/>
                      <w:sz w:val="21"/>
                      <w:szCs w:val="21"/>
                      <w:highlight w:val="none"/>
                      <w:lang w:val="en-US" w:eastAsia="zh-CN"/>
                    </w:rPr>
                    <w:t>52</w:t>
                  </w:r>
                </w:p>
              </w:tc>
              <w:tc>
                <w:tcPr>
                  <w:tcW w:w="790" w:type="pct"/>
                  <w:noWrap w:val="0"/>
                  <w:vAlign w:val="center"/>
                </w:tcPr>
                <w:p w14:paraId="457EE92C">
                  <w:pPr>
                    <w:spacing w:line="276" w:lineRule="auto"/>
                    <w:jc w:val="center"/>
                    <w:rPr>
                      <w:rFonts w:hint="default" w:ascii="Times New Roman" w:hAnsi="宋体" w:eastAsia="宋体" w:cs="Times New Roman"/>
                      <w:b w:val="0"/>
                      <w:bCs/>
                      <w:sz w:val="21"/>
                      <w:szCs w:val="21"/>
                      <w:highlight w:val="none"/>
                      <w:lang w:val="en-US" w:eastAsia="zh-CN"/>
                    </w:rPr>
                  </w:pPr>
                  <w:r>
                    <w:rPr>
                      <w:rFonts w:hint="eastAsia" w:ascii="Times New Roman" w:hAnsi="宋体" w:eastAsia="宋体" w:cs="Times New Roman"/>
                      <w:b w:val="0"/>
                      <w:bCs/>
                      <w:sz w:val="21"/>
                      <w:szCs w:val="21"/>
                      <w:highlight w:val="none"/>
                      <w:lang w:val="en-US" w:eastAsia="zh-CN"/>
                    </w:rPr>
                    <w:t>60</w:t>
                  </w:r>
                </w:p>
              </w:tc>
            </w:tr>
            <w:bookmarkEnd w:id="11"/>
          </w:tbl>
          <w:p w14:paraId="79C1AA6B">
            <w:pPr>
              <w:spacing w:line="360" w:lineRule="auto"/>
              <w:ind w:firstLine="480" w:firstLineChars="200"/>
              <w:rPr>
                <w:highlight w:val="yellow"/>
              </w:rPr>
            </w:pPr>
            <w:r>
              <w:rPr>
                <w:rFonts w:hint="eastAsia"/>
              </w:rPr>
              <w:t>由上表可知，项目运营期高噪声设备采取使用低噪声设备、基础减振、厂房隔声、隔声罩等措施后项目东、西、南、北厂界噪声均可满足《工业企业厂界环境噪声排放标准》（GB12348-2008）3类标准要求，即昼间65dB（A）</w:t>
            </w:r>
            <w:r>
              <w:rPr>
                <w:rFonts w:hint="eastAsia"/>
                <w:highlight w:val="none"/>
              </w:rPr>
              <w:t>。</w:t>
            </w:r>
            <w:r>
              <w:rPr>
                <w:rFonts w:hint="eastAsia"/>
                <w:highlight w:val="none"/>
                <w:lang w:val="en-US" w:eastAsia="zh-CN"/>
              </w:rPr>
              <w:t>声环境保护敏感目标点预测值（贡献值与背景值叠加）满足《声环境质量标准》（GB3096-2008）2类区要求。</w:t>
            </w:r>
          </w:p>
          <w:p w14:paraId="254EE705">
            <w:pPr>
              <w:spacing w:line="360" w:lineRule="auto"/>
              <w:ind w:firstLine="480" w:firstLineChars="200"/>
              <w:rPr>
                <w:color w:val="FF0000"/>
              </w:rPr>
            </w:pPr>
            <w:r>
              <w:rPr>
                <w:rFonts w:hint="eastAsia"/>
              </w:rPr>
              <w:t>因此，项目营运期间产生的噪声经过合理的降噪措施处理后，对周围声环境影响不显著。</w:t>
            </w:r>
          </w:p>
          <w:p w14:paraId="00750C9F">
            <w:pPr>
              <w:autoSpaceDE w:val="0"/>
              <w:autoSpaceDN w:val="0"/>
              <w:spacing w:line="360" w:lineRule="auto"/>
              <w:ind w:firstLine="480" w:firstLineChars="200"/>
              <w:jc w:val="left"/>
            </w:pPr>
            <w:r>
              <w:rPr>
                <w:rFonts w:hint="eastAsia"/>
              </w:rPr>
              <w:t>（3）声环境保护措施</w:t>
            </w:r>
          </w:p>
          <w:p w14:paraId="4217361C">
            <w:pPr>
              <w:autoSpaceDE w:val="0"/>
              <w:autoSpaceDN w:val="0"/>
              <w:spacing w:line="360" w:lineRule="auto"/>
              <w:ind w:firstLine="480" w:firstLineChars="200"/>
              <w:jc w:val="left"/>
              <w:rPr>
                <w:rFonts w:hAnsi="宋体"/>
              </w:rPr>
            </w:pPr>
            <w:r>
              <w:rPr>
                <w:rFonts w:hint="eastAsia" w:hAnsi="宋体"/>
              </w:rPr>
              <w:t>根据建设单位提供资料，大部分生产设施均置于室内，主要噪声源距离厂界较远，但为了进一步降低噪声对周围环境的影响，企业应采取以下措施：</w:t>
            </w:r>
          </w:p>
          <w:p w14:paraId="195415D1">
            <w:pPr>
              <w:spacing w:line="360" w:lineRule="auto"/>
              <w:ind w:firstLine="480" w:firstLineChars="200"/>
            </w:pPr>
            <w:r>
              <w:rPr>
                <w:rFonts w:hint="eastAsia"/>
              </w:rPr>
              <w:t>1）项目在设备选型时应选用优质低噪声的设备，降低设备固有的噪声强度；</w:t>
            </w:r>
          </w:p>
          <w:p w14:paraId="219AD0CA">
            <w:pPr>
              <w:spacing w:line="360" w:lineRule="auto"/>
              <w:ind w:firstLine="480" w:firstLineChars="200"/>
            </w:pPr>
            <w:r>
              <w:rPr>
                <w:rFonts w:hint="eastAsia"/>
              </w:rPr>
              <w:t>2）各设备应合理布局，各生产设备远离厂房围墙；</w:t>
            </w:r>
          </w:p>
          <w:p w14:paraId="103B6322">
            <w:pPr>
              <w:spacing w:line="360" w:lineRule="auto"/>
              <w:ind w:firstLine="480" w:firstLineChars="200"/>
            </w:pPr>
            <w:r>
              <w:rPr>
                <w:rFonts w:hint="eastAsia"/>
              </w:rPr>
              <w:t>3）设备安装时应在设备底部加装减振垫，室外设备如风机整体加装隔声罩；</w:t>
            </w:r>
          </w:p>
          <w:p w14:paraId="3BBCE43A">
            <w:pPr>
              <w:spacing w:line="360" w:lineRule="auto"/>
              <w:ind w:firstLine="480" w:firstLineChars="200"/>
            </w:pPr>
            <w:r>
              <w:rPr>
                <w:rFonts w:hint="eastAsia"/>
              </w:rPr>
              <w:t>4）生产过程中将门窗关闭，充分利用墙体隔声效果，以阻挡噪声对室外直接传播；</w:t>
            </w:r>
          </w:p>
          <w:p w14:paraId="1A5DD286">
            <w:pPr>
              <w:spacing w:line="360" w:lineRule="auto"/>
              <w:ind w:firstLine="480" w:firstLineChars="200"/>
            </w:pPr>
            <w:r>
              <w:rPr>
                <w:rFonts w:hint="eastAsia"/>
              </w:rPr>
              <w:t>5）在运营期内加强管理，对设备定期保养，避免设备故障噪声，加强职工教育，要求职工文明操作。</w:t>
            </w:r>
          </w:p>
          <w:p w14:paraId="07C28EA3">
            <w:pPr>
              <w:spacing w:line="360" w:lineRule="auto"/>
              <w:ind w:firstLine="480" w:firstLineChars="200"/>
            </w:pPr>
            <w:r>
              <w:rPr>
                <w:rFonts w:hint="eastAsia"/>
              </w:rPr>
              <w:t>（4）监测要求</w:t>
            </w:r>
          </w:p>
          <w:p w14:paraId="47676A25">
            <w:pPr>
              <w:spacing w:line="360" w:lineRule="auto"/>
              <w:ind w:firstLine="480" w:firstLineChars="200"/>
              <w:rPr>
                <w:rFonts w:hAnsi="黑体" w:eastAsia="黑体"/>
              </w:rPr>
            </w:pPr>
            <w:r>
              <w:rPr>
                <w:rFonts w:hint="eastAsia"/>
              </w:rPr>
              <w:t>根据《排污许可证申请与核发技术规范 工业噪声》（HJ1301-2023），本项目噪声例行监测信息如下表所示。</w:t>
            </w:r>
          </w:p>
          <w:p w14:paraId="2EB8FD74">
            <w:pPr>
              <w:spacing w:line="360" w:lineRule="auto"/>
              <w:jc w:val="center"/>
              <w:rPr>
                <w:rFonts w:eastAsia="黑体"/>
              </w:rPr>
            </w:pPr>
            <w:r>
              <w:rPr>
                <w:rFonts w:hAnsi="黑体" w:eastAsia="黑体"/>
              </w:rPr>
              <w:t>表</w:t>
            </w:r>
            <w:r>
              <w:rPr>
                <w:rFonts w:hint="eastAsia" w:eastAsia="黑体"/>
              </w:rPr>
              <w:t>4-</w:t>
            </w:r>
            <w:r>
              <w:rPr>
                <w:rFonts w:hint="eastAsia" w:eastAsia="黑体"/>
                <w:lang w:val="en-US" w:eastAsia="zh-CN"/>
              </w:rPr>
              <w:t xml:space="preserve">8  </w:t>
            </w:r>
            <w:r>
              <w:rPr>
                <w:rFonts w:hAnsi="黑体" w:eastAsia="黑体"/>
              </w:rPr>
              <w:t>本项目噪声例行监测信息一览表</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651"/>
              <w:gridCol w:w="1437"/>
              <w:gridCol w:w="1275"/>
              <w:gridCol w:w="2349"/>
            </w:tblGrid>
            <w:tr w14:paraId="5F450E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77B0D6F9">
                  <w:pPr>
                    <w:spacing w:line="276" w:lineRule="auto"/>
                    <w:jc w:val="center"/>
                    <w:rPr>
                      <w:b/>
                      <w:sz w:val="21"/>
                      <w:szCs w:val="21"/>
                    </w:rPr>
                  </w:pPr>
                  <w:r>
                    <w:rPr>
                      <w:rFonts w:hint="eastAsia"/>
                      <w:b/>
                      <w:sz w:val="21"/>
                      <w:szCs w:val="21"/>
                    </w:rPr>
                    <w:t>环境要素</w:t>
                  </w:r>
                </w:p>
              </w:tc>
              <w:tc>
                <w:tcPr>
                  <w:tcW w:w="1651" w:type="dxa"/>
                  <w:vAlign w:val="center"/>
                </w:tcPr>
                <w:p w14:paraId="0BA593B9">
                  <w:pPr>
                    <w:spacing w:line="276" w:lineRule="auto"/>
                    <w:jc w:val="center"/>
                    <w:rPr>
                      <w:b/>
                      <w:sz w:val="21"/>
                      <w:szCs w:val="21"/>
                    </w:rPr>
                  </w:pPr>
                  <w:r>
                    <w:rPr>
                      <w:rFonts w:hint="eastAsia"/>
                      <w:b/>
                      <w:sz w:val="21"/>
                      <w:szCs w:val="21"/>
                    </w:rPr>
                    <w:t>监测点位</w:t>
                  </w:r>
                </w:p>
              </w:tc>
              <w:tc>
                <w:tcPr>
                  <w:tcW w:w="1437" w:type="dxa"/>
                  <w:vAlign w:val="center"/>
                </w:tcPr>
                <w:p w14:paraId="04F8C138">
                  <w:pPr>
                    <w:spacing w:line="276" w:lineRule="auto"/>
                    <w:jc w:val="center"/>
                    <w:rPr>
                      <w:b/>
                      <w:sz w:val="21"/>
                      <w:szCs w:val="21"/>
                    </w:rPr>
                  </w:pPr>
                  <w:r>
                    <w:rPr>
                      <w:rFonts w:hint="eastAsia"/>
                      <w:b/>
                      <w:sz w:val="21"/>
                      <w:szCs w:val="21"/>
                    </w:rPr>
                    <w:t>监测因子</w:t>
                  </w:r>
                </w:p>
              </w:tc>
              <w:tc>
                <w:tcPr>
                  <w:tcW w:w="1275" w:type="dxa"/>
                  <w:vAlign w:val="center"/>
                </w:tcPr>
                <w:p w14:paraId="5AE51104">
                  <w:pPr>
                    <w:spacing w:line="276" w:lineRule="auto"/>
                    <w:jc w:val="center"/>
                    <w:rPr>
                      <w:b/>
                      <w:sz w:val="21"/>
                      <w:szCs w:val="21"/>
                    </w:rPr>
                  </w:pPr>
                  <w:r>
                    <w:rPr>
                      <w:rFonts w:hint="eastAsia"/>
                      <w:b/>
                      <w:sz w:val="21"/>
                      <w:szCs w:val="21"/>
                    </w:rPr>
                    <w:t>监测频次</w:t>
                  </w:r>
                </w:p>
              </w:tc>
              <w:tc>
                <w:tcPr>
                  <w:tcW w:w="2349" w:type="dxa"/>
                  <w:vAlign w:val="center"/>
                </w:tcPr>
                <w:p w14:paraId="2791B669">
                  <w:pPr>
                    <w:spacing w:line="276" w:lineRule="auto"/>
                    <w:jc w:val="center"/>
                    <w:rPr>
                      <w:b/>
                      <w:sz w:val="21"/>
                      <w:szCs w:val="21"/>
                    </w:rPr>
                  </w:pPr>
                  <w:r>
                    <w:rPr>
                      <w:rFonts w:hint="eastAsia"/>
                      <w:b/>
                      <w:sz w:val="21"/>
                      <w:szCs w:val="21"/>
                    </w:rPr>
                    <w:t>执行排放标准</w:t>
                  </w:r>
                </w:p>
              </w:tc>
            </w:tr>
            <w:tr w14:paraId="4C917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4CCA43F0">
                  <w:pPr>
                    <w:spacing w:line="276" w:lineRule="auto"/>
                    <w:jc w:val="center"/>
                    <w:rPr>
                      <w:sz w:val="21"/>
                      <w:szCs w:val="21"/>
                    </w:rPr>
                  </w:pPr>
                  <w:r>
                    <w:rPr>
                      <w:rFonts w:hint="eastAsia"/>
                      <w:sz w:val="21"/>
                      <w:szCs w:val="21"/>
                    </w:rPr>
                    <w:t>噪声</w:t>
                  </w:r>
                </w:p>
              </w:tc>
              <w:tc>
                <w:tcPr>
                  <w:tcW w:w="1651" w:type="dxa"/>
                  <w:vAlign w:val="center"/>
                </w:tcPr>
                <w:p w14:paraId="2265D404">
                  <w:pPr>
                    <w:spacing w:line="276" w:lineRule="auto"/>
                    <w:jc w:val="center"/>
                    <w:rPr>
                      <w:sz w:val="21"/>
                      <w:szCs w:val="21"/>
                    </w:rPr>
                  </w:pPr>
                  <w:r>
                    <w:rPr>
                      <w:rFonts w:hint="eastAsia"/>
                      <w:sz w:val="21"/>
                      <w:szCs w:val="21"/>
                    </w:rPr>
                    <w:t>四周厂界外1m</w:t>
                  </w:r>
                </w:p>
              </w:tc>
              <w:tc>
                <w:tcPr>
                  <w:tcW w:w="1437" w:type="dxa"/>
                  <w:vAlign w:val="center"/>
                </w:tcPr>
                <w:p w14:paraId="3FA1C728">
                  <w:pPr>
                    <w:spacing w:line="276" w:lineRule="auto"/>
                    <w:jc w:val="center"/>
                    <w:rPr>
                      <w:sz w:val="21"/>
                      <w:szCs w:val="21"/>
                    </w:rPr>
                  </w:pPr>
                  <w:r>
                    <w:rPr>
                      <w:rFonts w:hint="eastAsia"/>
                      <w:sz w:val="21"/>
                      <w:szCs w:val="21"/>
                    </w:rPr>
                    <w:t>连续等效A声波</w:t>
                  </w:r>
                </w:p>
              </w:tc>
              <w:tc>
                <w:tcPr>
                  <w:tcW w:w="1275" w:type="dxa"/>
                  <w:vAlign w:val="center"/>
                </w:tcPr>
                <w:p w14:paraId="7E4D30D9">
                  <w:pPr>
                    <w:spacing w:line="276" w:lineRule="auto"/>
                    <w:jc w:val="center"/>
                    <w:rPr>
                      <w:sz w:val="21"/>
                      <w:szCs w:val="21"/>
                    </w:rPr>
                  </w:pPr>
                  <w:r>
                    <w:rPr>
                      <w:rFonts w:hint="eastAsia"/>
                      <w:sz w:val="21"/>
                      <w:szCs w:val="21"/>
                    </w:rPr>
                    <w:t>1次/季度</w:t>
                  </w:r>
                </w:p>
              </w:tc>
              <w:tc>
                <w:tcPr>
                  <w:tcW w:w="2349" w:type="dxa"/>
                  <w:vAlign w:val="center"/>
                </w:tcPr>
                <w:p w14:paraId="0D62DC70">
                  <w:pPr>
                    <w:spacing w:line="276" w:lineRule="auto"/>
                    <w:jc w:val="center"/>
                    <w:rPr>
                      <w:sz w:val="21"/>
                      <w:szCs w:val="21"/>
                    </w:rPr>
                  </w:pPr>
                  <w:r>
                    <w:rPr>
                      <w:rFonts w:hint="eastAsia"/>
                      <w:sz w:val="21"/>
                      <w:szCs w:val="21"/>
                    </w:rPr>
                    <w:t>《工业企业厂界环境噪声排放标准》（GB12348-2008）3类</w:t>
                  </w:r>
                </w:p>
              </w:tc>
            </w:tr>
          </w:tbl>
          <w:p w14:paraId="4F8BA045">
            <w:pPr>
              <w:spacing w:line="360" w:lineRule="auto"/>
              <w:rPr>
                <w:color w:val="FF0000"/>
                <w:sz w:val="20"/>
              </w:rPr>
            </w:pPr>
          </w:p>
        </w:tc>
      </w:tr>
      <w:tr w14:paraId="440D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8D3303E">
            <w:pPr>
              <w:rPr>
                <w:color w:val="FF0000"/>
                <w:sz w:val="20"/>
              </w:rPr>
            </w:pPr>
            <w:r>
              <w:rPr>
                <w:rFonts w:hint="eastAsia"/>
              </w:rPr>
              <w:t>运营期环境影响和保护措施</w:t>
            </w:r>
          </w:p>
        </w:tc>
        <w:tc>
          <w:tcPr>
            <w:tcW w:w="8066" w:type="dxa"/>
          </w:tcPr>
          <w:p w14:paraId="12519E56">
            <w:pPr>
              <w:spacing w:line="360" w:lineRule="auto"/>
              <w:ind w:firstLine="482" w:firstLineChars="200"/>
            </w:pPr>
            <w:r>
              <w:rPr>
                <w:rFonts w:hint="eastAsia"/>
                <w:b/>
                <w:bCs/>
              </w:rPr>
              <w:t>四、固体废物处置措施及管理要求</w:t>
            </w:r>
          </w:p>
          <w:p w14:paraId="72E89F7E">
            <w:pPr>
              <w:spacing w:line="360" w:lineRule="auto"/>
              <w:ind w:firstLine="480" w:firstLineChars="200"/>
              <w:rPr>
                <w:color w:val="FF0000"/>
              </w:rPr>
            </w:pPr>
            <w:r>
              <w:rPr>
                <w:rFonts w:hint="eastAsia"/>
              </w:rPr>
              <w:t>本项目生产过程中的固体废物主要包括一般工业固体废物、危险废物和生活垃圾。</w:t>
            </w:r>
          </w:p>
          <w:p w14:paraId="3EF4C4E9">
            <w:pPr>
              <w:spacing w:line="360" w:lineRule="auto"/>
              <w:ind w:firstLine="482" w:firstLineChars="200"/>
            </w:pPr>
            <w:r>
              <w:rPr>
                <w:rFonts w:hint="eastAsia"/>
                <w:b/>
                <w:bCs/>
              </w:rPr>
              <w:t>1.一般工业固体废物</w:t>
            </w:r>
          </w:p>
          <w:p w14:paraId="232890A5">
            <w:pPr>
              <w:spacing w:line="360" w:lineRule="auto"/>
              <w:ind w:firstLine="480" w:firstLineChars="200"/>
            </w:pPr>
            <w:r>
              <w:rPr>
                <w:rFonts w:hint="eastAsia"/>
              </w:rPr>
              <w:t>①废包装材料</w:t>
            </w:r>
          </w:p>
          <w:p w14:paraId="011655E9">
            <w:pPr>
              <w:spacing w:line="360" w:lineRule="auto"/>
              <w:ind w:firstLine="480" w:firstLineChars="200"/>
              <w:rPr>
                <w:color w:val="FF0000"/>
              </w:rPr>
            </w:pPr>
            <w:r>
              <w:rPr>
                <w:rFonts w:hint="eastAsia"/>
              </w:rPr>
              <w:t>根据建设单位提供的资料，本项目研磨石子消耗量为1t/a（包装规格为25kg/袋），钢丸消耗量为10t/a（包装规格为25kg/袋），无铅焊条消耗量为120t/a（包装规格为20kg/盒），故产生废研磨石子包装材料40个（0.25kg/个），废钢丸包装材料400个（0.25kg/个），废无铅焊条包装材料6000个（0.25kg/个），因此废包装材料产生量约1.61t/a。根据《固体废物分类与代码目录（2024年版）》可知，废物种类为SW59其他工业固体废物，废物代码为900-099-S59，收集后暂存于一般固废暂存间外售综合利用。</w:t>
            </w:r>
          </w:p>
          <w:p w14:paraId="28A633FF">
            <w:pPr>
              <w:spacing w:line="360" w:lineRule="auto"/>
              <w:ind w:firstLine="480" w:firstLineChars="200"/>
              <w:rPr>
                <w:color w:val="FF0000"/>
              </w:rPr>
            </w:pPr>
            <w:r>
              <w:rPr>
                <w:rFonts w:hint="eastAsia"/>
              </w:rPr>
              <w:t>②金属废边角料</w:t>
            </w:r>
          </w:p>
          <w:p w14:paraId="7777F0C8">
            <w:pPr>
              <w:spacing w:line="360" w:lineRule="auto"/>
              <w:ind w:firstLine="480" w:firstLineChars="200"/>
              <w:rPr>
                <w:color w:val="FF0000"/>
              </w:rPr>
            </w:pPr>
            <w:r>
              <w:rPr>
                <w:rFonts w:hint="eastAsia"/>
              </w:rPr>
              <w:t>项目在生产过程中会产生少量边角料，该过程中产生的边角料约占原料量的1.35%（绝缘板、铁皮、铜板、不锈钢带、纸板），根据建设单位提供的资料，本项目需要切割的无缝钢管和钢板总量为5200t/a，则金属废边角料的产生量约为70.2t/a。根据《固体废物分类与代码目录（2024年版）》可知，废物种类为SW59其他工业固体废物，废物代码为900-099-S59，收集后暂存于一般固废暂存间外售综合利用。</w:t>
            </w:r>
          </w:p>
          <w:p w14:paraId="5DDE5D2D">
            <w:pPr>
              <w:spacing w:line="360" w:lineRule="auto"/>
              <w:ind w:firstLine="480" w:firstLineChars="200"/>
            </w:pPr>
            <w:r>
              <w:rPr>
                <w:rFonts w:hint="eastAsia"/>
              </w:rPr>
              <w:t>③橡胶</w:t>
            </w:r>
            <w:r>
              <w:t>废边角料</w:t>
            </w:r>
          </w:p>
          <w:p w14:paraId="63D3FC16">
            <w:pPr>
              <w:spacing w:line="360" w:lineRule="auto"/>
              <w:ind w:firstLine="480" w:firstLineChars="200"/>
            </w:pPr>
            <w:r>
              <w:t>拟建项目在</w:t>
            </w:r>
            <w:r>
              <w:rPr>
                <w:rFonts w:hint="eastAsia"/>
              </w:rPr>
              <w:t>抛边</w:t>
            </w:r>
            <w:r>
              <w:t>工序会产生一定量的橡胶边角料，该过程中产生的边角料约占原料量的</w:t>
            </w:r>
            <w:r>
              <w:rPr>
                <w:rFonts w:hint="eastAsia"/>
              </w:rPr>
              <w:t>1.0</w:t>
            </w:r>
            <w:r>
              <w:t>%</w:t>
            </w:r>
            <w:r>
              <w:rPr>
                <w:rFonts w:hint="eastAsia"/>
              </w:rPr>
              <w:t>，</w:t>
            </w:r>
            <w:r>
              <w:t>根据业主提供资料，</w:t>
            </w:r>
            <w:r>
              <w:rPr>
                <w:rFonts w:hint="eastAsia"/>
              </w:rPr>
              <w:t>本项目天然橡胶总量为250t/a，则橡胶废边角料</w:t>
            </w:r>
            <w:r>
              <w:t>产生量约为</w:t>
            </w:r>
            <w:r>
              <w:rPr>
                <w:rFonts w:hint="eastAsia"/>
              </w:rPr>
              <w:t>1</w:t>
            </w:r>
            <w:r>
              <w:t>t/a。根据《固体废物分类与代码目录（2024年版）》可知，废物种类为SW59其他工业固体废物，废物代码为900-099-S59，收集后暂存于一般固废暂存间外售综合利用。</w:t>
            </w:r>
          </w:p>
          <w:p w14:paraId="3C9C53D2">
            <w:pPr>
              <w:spacing w:line="360" w:lineRule="auto"/>
              <w:ind w:firstLine="480" w:firstLineChars="200"/>
            </w:pPr>
            <w:r>
              <w:rPr>
                <w:rFonts w:hint="eastAsia"/>
              </w:rPr>
              <w:t>④废钢丸</w:t>
            </w:r>
          </w:p>
          <w:p w14:paraId="07065076">
            <w:pPr>
              <w:spacing w:line="360" w:lineRule="auto"/>
              <w:ind w:firstLine="480" w:firstLineChars="200"/>
              <w:rPr>
                <w:color w:val="FF0000"/>
              </w:rPr>
            </w:pPr>
            <w:r>
              <w:rPr>
                <w:rFonts w:hint="eastAsia"/>
              </w:rPr>
              <w:t>项目抛丸工序会定期更换钢丸，根据建设单位提供资料，项目钢丸年用量为10t/a，则项目废钢丸产生量为10t/a。根据《固体废物分类与代码目录（2024年版）》可知，废物种类为SW59其他工业固体废物，废物代码为900-099-S59，收集后暂存于一般固废暂存间外售综合利用。</w:t>
            </w:r>
          </w:p>
          <w:p w14:paraId="424D542F">
            <w:pPr>
              <w:spacing w:line="360" w:lineRule="auto"/>
              <w:ind w:firstLine="480" w:firstLineChars="200"/>
              <w:rPr>
                <w:color w:val="FF0000"/>
              </w:rPr>
            </w:pPr>
            <w:r>
              <w:rPr>
                <w:rFonts w:hint="eastAsia"/>
              </w:rPr>
              <w:t>⑤除尘器收集的粉尘</w:t>
            </w:r>
          </w:p>
          <w:p w14:paraId="7FD365B1">
            <w:pPr>
              <w:spacing w:line="360" w:lineRule="auto"/>
              <w:ind w:firstLine="480" w:firstLineChars="200"/>
              <w:rPr>
                <w:color w:val="FF0000"/>
              </w:rPr>
            </w:pPr>
            <w:r>
              <w:t>本项目通过袋式除尘器处理颗粒物，经废气源强分析可知，除尘器所吸收的粉尘量共</w:t>
            </w:r>
            <w:r>
              <w:rPr>
                <w:rFonts w:hint="eastAsia"/>
                <w:lang w:val="en-US" w:eastAsia="zh-CN"/>
              </w:rPr>
              <w:t>27.682</w:t>
            </w:r>
            <w:r>
              <w:t>t/a。根据《固体废物分类与代码目录（2024年版）》可知，废物种类为SW59其他工业固体废物，废物代码为900-099-S59，收集后暂存于一般固废暂存间外售综合利用。</w:t>
            </w:r>
          </w:p>
          <w:p w14:paraId="145634D2">
            <w:pPr>
              <w:spacing w:line="360" w:lineRule="auto"/>
              <w:ind w:firstLine="482" w:firstLineChars="200"/>
              <w:rPr>
                <w:color w:val="FF0000"/>
              </w:rPr>
            </w:pPr>
            <w:r>
              <w:rPr>
                <w:rFonts w:hint="eastAsia"/>
                <w:b/>
                <w:bCs/>
              </w:rPr>
              <w:t>2.危险废物</w:t>
            </w:r>
          </w:p>
          <w:p w14:paraId="0AD449D8">
            <w:pPr>
              <w:spacing w:line="360" w:lineRule="auto"/>
              <w:ind w:firstLine="480" w:firstLineChars="200"/>
              <w:rPr>
                <w:rFonts w:hAnsi="宋体"/>
              </w:rPr>
            </w:pPr>
            <w:r>
              <w:rPr>
                <w:rFonts w:hint="eastAsia" w:hAnsi="宋体"/>
              </w:rPr>
              <w:t>①振光废水</w:t>
            </w:r>
          </w:p>
          <w:p w14:paraId="1C4E03F9">
            <w:pPr>
              <w:spacing w:line="360" w:lineRule="auto"/>
              <w:ind w:firstLine="480" w:firstLineChars="200"/>
              <w:rPr>
                <w:rFonts w:hAnsi="宋体"/>
                <w:color w:val="FF0000"/>
              </w:rPr>
            </w:pPr>
            <w:r>
              <w:rPr>
                <w:rFonts w:hint="eastAsia" w:hAnsi="宋体"/>
              </w:rPr>
              <w:t>根据建设单位提供资料，本项目振光废水产生量为8.609m</w:t>
            </w:r>
            <w:r>
              <w:rPr>
                <w:rFonts w:hint="eastAsia" w:hAnsi="宋体"/>
                <w:vertAlign w:val="superscript"/>
              </w:rPr>
              <w:t>3</w:t>
            </w:r>
            <w:r>
              <w:rPr>
                <w:rFonts w:hint="eastAsia" w:hAnsi="宋体"/>
              </w:rPr>
              <w:t>/a。根据《国家危险废物名录》（2025年版），振光废水属于危险废物（HW09油/水、烃/水混合物或者乳化液，危废代码为900-007-09），收集后暂存于危险废物暂存间，定期交由有资质的单位处理。</w:t>
            </w:r>
          </w:p>
          <w:p w14:paraId="09960927">
            <w:pPr>
              <w:spacing w:line="360" w:lineRule="auto"/>
              <w:ind w:firstLine="480" w:firstLineChars="200"/>
              <w:rPr>
                <w:rFonts w:hAnsi="宋体"/>
              </w:rPr>
            </w:pPr>
            <w:r>
              <w:rPr>
                <w:rFonts w:hint="eastAsia" w:hAnsi="宋体"/>
              </w:rPr>
              <w:t>②清洗废液和废水</w:t>
            </w:r>
          </w:p>
          <w:p w14:paraId="600C28BC">
            <w:pPr>
              <w:spacing w:line="360" w:lineRule="auto"/>
              <w:ind w:firstLine="480" w:firstLineChars="200"/>
              <w:rPr>
                <w:rFonts w:hAnsi="宋体"/>
                <w:color w:val="FF0000"/>
              </w:rPr>
            </w:pPr>
            <w:r>
              <w:rPr>
                <w:rFonts w:hint="eastAsia" w:hAnsi="宋体"/>
              </w:rPr>
              <w:t>根据建设单位提供资料，清洗剂年用量为</w:t>
            </w:r>
            <w:r>
              <w:rPr>
                <w:rFonts w:hint="eastAsia" w:hAnsi="宋体"/>
                <w:lang w:val="en-US" w:eastAsia="zh-CN"/>
              </w:rPr>
              <w:t>18.2t</w:t>
            </w:r>
            <w:r>
              <w:rPr>
                <w:rFonts w:hint="eastAsia" w:hAnsi="宋体"/>
              </w:rPr>
              <w:t>/a，</w:t>
            </w:r>
            <w:r>
              <w:rPr>
                <w:rFonts w:hint="eastAsia" w:hAnsi="宋体"/>
                <w:lang w:val="en-US" w:eastAsia="zh-CN"/>
              </w:rPr>
              <w:t>本项目清洗剂每天更换一次，更换后的废液当做危废委托有资质单位进行处理，根据业主提供的经验系数，清洗剂每天损耗率为15%</w:t>
            </w:r>
            <w:r>
              <w:rPr>
                <w:rFonts w:hint="eastAsia" w:hAnsi="宋体"/>
              </w:rPr>
              <w:t>，则清洗废液年</w:t>
            </w:r>
            <w:r>
              <w:rPr>
                <w:rFonts w:hint="eastAsia" w:hAnsi="宋体"/>
                <w:lang w:eastAsia="zh-CN"/>
              </w:rPr>
              <w:t>产生</w:t>
            </w:r>
            <w:r>
              <w:rPr>
                <w:rFonts w:hint="eastAsia" w:hAnsi="宋体"/>
              </w:rPr>
              <w:t>量为</w:t>
            </w:r>
            <w:r>
              <w:rPr>
                <w:rFonts w:hint="eastAsia" w:hAnsi="宋体"/>
                <w:lang w:val="en-US" w:eastAsia="zh-CN"/>
              </w:rPr>
              <w:t>15.47</w:t>
            </w:r>
            <w:r>
              <w:rPr>
                <w:rFonts w:hint="eastAsia" w:hAnsi="宋体"/>
              </w:rPr>
              <w:t>m</w:t>
            </w:r>
            <w:r>
              <w:rPr>
                <w:rFonts w:hint="eastAsia" w:hAnsi="宋体"/>
                <w:vertAlign w:val="superscript"/>
              </w:rPr>
              <w:t>3</w:t>
            </w:r>
            <w:r>
              <w:rPr>
                <w:rFonts w:hint="eastAsia" w:hAnsi="宋体"/>
              </w:rPr>
              <w:t>/a</w:t>
            </w:r>
            <w:r>
              <w:rPr>
                <w:rFonts w:hint="eastAsia" w:hAnsi="宋体"/>
                <w:lang w:eastAsia="zh-CN"/>
              </w:rPr>
              <w:t>；</w:t>
            </w:r>
            <w:r>
              <w:rPr>
                <w:rFonts w:hint="eastAsia" w:hAnsi="宋体"/>
              </w:rPr>
              <w:t>本项目清洗废水产生量为19.584m</w:t>
            </w:r>
            <w:r>
              <w:rPr>
                <w:rFonts w:hint="eastAsia" w:hAnsi="宋体"/>
                <w:vertAlign w:val="superscript"/>
              </w:rPr>
              <w:t>3</w:t>
            </w:r>
            <w:r>
              <w:rPr>
                <w:rFonts w:hint="eastAsia" w:hAnsi="宋体"/>
              </w:rPr>
              <w:t>/a</w:t>
            </w:r>
            <w:r>
              <w:rPr>
                <w:rFonts w:hint="eastAsia" w:hAnsi="宋体"/>
                <w:lang w:eastAsia="zh-CN"/>
              </w:rPr>
              <w:t>，则</w:t>
            </w:r>
            <w:r>
              <w:rPr>
                <w:rFonts w:hint="eastAsia" w:hAnsi="宋体"/>
              </w:rPr>
              <w:t>本项目清洗废液和废水产生量为</w:t>
            </w:r>
            <w:r>
              <w:rPr>
                <w:rFonts w:hint="eastAsia" w:hAnsi="宋体"/>
                <w:lang w:val="en-US" w:eastAsia="zh-CN"/>
              </w:rPr>
              <w:t>35.054</w:t>
            </w:r>
            <w:r>
              <w:rPr>
                <w:rFonts w:hint="eastAsia" w:hAnsi="宋体"/>
              </w:rPr>
              <w:t>m</w:t>
            </w:r>
            <w:r>
              <w:rPr>
                <w:rFonts w:hint="eastAsia" w:hAnsi="宋体"/>
                <w:vertAlign w:val="superscript"/>
              </w:rPr>
              <w:t>3</w:t>
            </w:r>
            <w:r>
              <w:rPr>
                <w:rFonts w:hint="eastAsia" w:hAnsi="宋体"/>
              </w:rPr>
              <w:t>/a</w:t>
            </w:r>
            <w:r>
              <w:rPr>
                <w:rFonts w:hint="eastAsia" w:hAnsi="宋体"/>
                <w:lang w:eastAsia="zh-CN"/>
              </w:rPr>
              <w:t>。</w:t>
            </w:r>
            <w:r>
              <w:rPr>
                <w:rFonts w:hint="eastAsia" w:hAnsi="宋体"/>
              </w:rPr>
              <w:t>根据《国家危险废物名录》（2025年版），清洗废水属于危险废物（HW09油/水、烃/水混合物或者乳化液，危废代码为900-007-09），收集后暂存于危险废物暂存间，定期交由有资质的单位处理。</w:t>
            </w:r>
          </w:p>
          <w:p w14:paraId="6827BC58">
            <w:pPr>
              <w:spacing w:line="360" w:lineRule="auto"/>
              <w:ind w:firstLine="480" w:firstLineChars="200"/>
              <w:rPr>
                <w:rFonts w:hAnsi="宋体"/>
              </w:rPr>
            </w:pPr>
            <w:r>
              <w:rPr>
                <w:rFonts w:hint="eastAsia" w:hAnsi="宋体"/>
              </w:rPr>
              <w:t>③废脱模剂</w:t>
            </w:r>
          </w:p>
          <w:p w14:paraId="798DEA13">
            <w:pPr>
              <w:spacing w:line="360" w:lineRule="auto"/>
              <w:ind w:firstLine="480" w:firstLineChars="200"/>
              <w:rPr>
                <w:rFonts w:hAnsi="宋体"/>
              </w:rPr>
            </w:pPr>
            <w:r>
              <w:rPr>
                <w:rFonts w:hAnsi="宋体"/>
              </w:rPr>
              <w:t>脱模剂</w:t>
            </w:r>
            <w:r>
              <w:rPr>
                <w:rFonts w:hint="eastAsia" w:hAnsi="宋体"/>
              </w:rPr>
              <w:t>循环利用，但经长时间循环使用后会产生浓度较高的含杂质的废脱模剂，需定期清理，产生量约0.056t/a。根据《国家危险废物名录》（2025年版），废脱模剂属于危险废物（HW09油/水、烃/水混合物或者乳化液，危废代码为900-007-09），收集后暂存于危险废物暂存间，定期交由有资质的单位处理。</w:t>
            </w:r>
          </w:p>
          <w:p w14:paraId="5C073EC3">
            <w:pPr>
              <w:spacing w:line="360" w:lineRule="auto"/>
              <w:ind w:firstLine="480" w:firstLineChars="200"/>
              <w:rPr>
                <w:rFonts w:hAnsi="宋体"/>
              </w:rPr>
            </w:pPr>
            <w:r>
              <w:rPr>
                <w:rFonts w:hint="eastAsia" w:hAnsi="宋体"/>
              </w:rPr>
              <w:t>④废胶粘剂</w:t>
            </w:r>
          </w:p>
          <w:p w14:paraId="11919D9D">
            <w:pPr>
              <w:spacing w:line="360" w:lineRule="auto"/>
              <w:ind w:firstLine="480" w:firstLineChars="200"/>
              <w:rPr>
                <w:rFonts w:hAnsi="宋体"/>
              </w:rPr>
            </w:pPr>
            <w:r>
              <w:rPr>
                <w:rFonts w:hint="eastAsia" w:hAnsi="宋体"/>
              </w:rPr>
              <w:t>本项目涂胶过程中会废胶粘剂，根据建设单位提供资料，废胶粘剂产生量约0.08t/a。根据《国家危险废物名录》（2025年版），废脱模剂属于危险废物（HW09油/水、烃/水混合物或者乳化液，危废代码为900-007-09），收集后暂存于危险废物暂存间，定期交由有资质的单位处理。</w:t>
            </w:r>
          </w:p>
          <w:p w14:paraId="5A4185D6">
            <w:pPr>
              <w:spacing w:line="360" w:lineRule="auto"/>
              <w:ind w:firstLine="480" w:firstLineChars="200"/>
              <w:rPr>
                <w:rFonts w:hAnsi="宋体"/>
                <w:color w:val="FF0000"/>
              </w:rPr>
            </w:pPr>
            <w:r>
              <w:rPr>
                <w:rFonts w:hint="eastAsia" w:hAnsi="宋体"/>
              </w:rPr>
              <w:t>⑤废包装桶（脱模剂、清洗剂、光亮剂、天然橡胶、灰胶（Chemlok 205）、黑胶（Chemlok 6125）等包装桶）：项目年消耗清洗剂20t、天然橡胶250t、灰胶和黑胶均为4t采用25kg/桶储存，经计算，废桶产生量为11120个/年，单桶重量约0.5kg，则废桶产生量为5.56t/a；脱模剂0.8t采用20kg/桶储存，经计算，废桶产生量为40个/年，单桶重量约0.4kg，则废桶产生量为0.016t/a；光亮剂0.1t采用10kg/桶储存，经计算，废桶产生量为10个/年，单桶重量约0.2kg，则废桶产生量为0.002t/a。本项目废包装桶产生量共计5.578t/a。根据《国家危险废物名录》（2021年版），废包装桶属于危险废物（HW49其他废物，危废代码为900-041-49），收集后暂存于危险废物暂存间，定期交由有资质的单位处理。</w:t>
            </w:r>
          </w:p>
          <w:p w14:paraId="20638A5A">
            <w:pPr>
              <w:spacing w:line="360" w:lineRule="auto"/>
              <w:ind w:firstLine="480" w:firstLineChars="200"/>
              <w:rPr>
                <w:rFonts w:hAnsi="宋体"/>
                <w:bCs/>
                <w:color w:val="FF0000"/>
              </w:rPr>
            </w:pPr>
            <w:r>
              <w:rPr>
                <w:rFonts w:hint="eastAsia" w:hAnsi="宋体"/>
              </w:rPr>
              <w:t>⑥槽渣：本项目振光过程中会产生槽渣，主要为沾染光亮剂的研磨石子和角刺，根据业主提供资料，槽渣产生量约为1.5t/a。根据《国家危险废物名录》（2021年版），槽渣属于危险废物（HW17表面处理废物，危废代码为336-064-17），收集后暂存于危险废物暂存间，定期交由有资质的单位处理。</w:t>
            </w:r>
          </w:p>
          <w:p w14:paraId="7A13D837">
            <w:pPr>
              <w:spacing w:line="360" w:lineRule="auto"/>
              <w:ind w:firstLine="480" w:firstLineChars="200"/>
              <w:rPr>
                <w:rFonts w:ascii="宋体" w:hAnsi="宋体" w:cs="宋体"/>
              </w:rPr>
            </w:pPr>
            <w:r>
              <w:rPr>
                <w:rFonts w:hint="eastAsia" w:ascii="宋体" w:hAnsi="宋体" w:cs="宋体"/>
              </w:rPr>
              <w:t>⑦废机油</w:t>
            </w:r>
          </w:p>
          <w:p w14:paraId="2170EC3A">
            <w:pPr>
              <w:spacing w:line="360" w:lineRule="auto"/>
              <w:ind w:firstLine="480" w:firstLineChars="200"/>
              <w:rPr>
                <w:rFonts w:hAnsi="宋体"/>
                <w:bCs/>
                <w:color w:val="FF0000"/>
              </w:rPr>
            </w:pPr>
            <w:r>
              <w:rPr>
                <w:rFonts w:hint="eastAsia"/>
              </w:rPr>
              <w:t>本项目设备运行时会产生废机油，根据业主提供资料，废机油产生量约为0.5t/a。</w:t>
            </w:r>
            <w:r>
              <w:rPr>
                <w:rFonts w:hAnsi="宋体"/>
                <w:spacing w:val="-2"/>
              </w:rPr>
              <w:t>根据《国家危险废物名录》（</w:t>
            </w:r>
            <w:r>
              <w:rPr>
                <w:spacing w:val="-2"/>
              </w:rPr>
              <w:t>202</w:t>
            </w:r>
            <w:r>
              <w:rPr>
                <w:rFonts w:hint="eastAsia"/>
                <w:spacing w:val="-2"/>
              </w:rPr>
              <w:t>5</w:t>
            </w:r>
            <w:r>
              <w:rPr>
                <w:rFonts w:hAnsi="宋体"/>
                <w:spacing w:val="-2"/>
              </w:rPr>
              <w:t>年版），废</w:t>
            </w:r>
            <w:r>
              <w:rPr>
                <w:rFonts w:hint="eastAsia" w:hAnsi="宋体"/>
                <w:spacing w:val="-2"/>
              </w:rPr>
              <w:t>机油</w:t>
            </w:r>
            <w:r>
              <w:rPr>
                <w:rFonts w:hAnsi="宋体"/>
                <w:spacing w:val="-2"/>
              </w:rPr>
              <w:t>属于危险废物（</w:t>
            </w:r>
            <w:r>
              <w:rPr>
                <w:spacing w:val="-2"/>
              </w:rPr>
              <w:t>HW0</w:t>
            </w:r>
            <w:r>
              <w:rPr>
                <w:rFonts w:hint="eastAsia"/>
                <w:spacing w:val="-2"/>
              </w:rPr>
              <w:t>8</w:t>
            </w:r>
            <w:r>
              <w:rPr>
                <w:rFonts w:hint="eastAsia" w:hAnsi="宋体"/>
              </w:rPr>
              <w:t>废矿物油</w:t>
            </w:r>
            <w:r>
              <w:rPr>
                <w:rFonts w:hAnsi="宋体"/>
              </w:rPr>
              <w:t>与含矿物油废物</w:t>
            </w:r>
            <w:r>
              <w:rPr>
                <w:rFonts w:hAnsi="宋体"/>
                <w:spacing w:val="-2"/>
              </w:rPr>
              <w:t>，危废代码为</w:t>
            </w:r>
            <w:r>
              <w:rPr>
                <w:rFonts w:hint="eastAsia"/>
              </w:rPr>
              <w:t>900-214-08</w:t>
            </w:r>
            <w:r>
              <w:rPr>
                <w:rFonts w:hAnsi="宋体"/>
                <w:spacing w:val="-2"/>
              </w:rPr>
              <w:t>），</w:t>
            </w:r>
            <w:r>
              <w:rPr>
                <w:rFonts w:hAnsi="宋体"/>
              </w:rPr>
              <w:t>收集后暂存于危险废物暂存间，定期交由有资质的单位处理。</w:t>
            </w:r>
          </w:p>
          <w:p w14:paraId="15D264BE">
            <w:pPr>
              <w:spacing w:line="360" w:lineRule="auto"/>
              <w:ind w:firstLine="480" w:firstLineChars="200"/>
              <w:rPr>
                <w:rFonts w:ascii="宋体" w:hAnsi="宋体" w:cs="宋体"/>
              </w:rPr>
            </w:pPr>
            <w:r>
              <w:rPr>
                <w:rFonts w:hint="eastAsia" w:ascii="宋体" w:hAnsi="宋体" w:cs="宋体"/>
              </w:rPr>
              <w:t>⑧废机油桶</w:t>
            </w:r>
          </w:p>
          <w:p w14:paraId="0EAFE180">
            <w:pPr>
              <w:spacing w:line="360" w:lineRule="auto"/>
              <w:ind w:firstLine="480" w:firstLineChars="200"/>
              <w:rPr>
                <w:rFonts w:ascii="宋体" w:hAnsi="宋体" w:cs="宋体"/>
                <w:color w:val="FF0000"/>
              </w:rPr>
            </w:pPr>
            <w:r>
              <w:rPr>
                <w:rFonts w:hint="eastAsia" w:hAnsi="宋体"/>
                <w:bCs/>
              </w:rPr>
              <w:t>本项目使用机油会产生废机油桶，机油使用量为0.5t/a，规格为25kg/桶，则废机油桶的个数为20个，每个桶以3kg计，则废润滑脂桶的产生量为0.06t/a。</w:t>
            </w:r>
            <w:r>
              <w:rPr>
                <w:rFonts w:hAnsi="宋体"/>
                <w:spacing w:val="-2"/>
              </w:rPr>
              <w:t>根据《国家危险废物名录》（</w:t>
            </w:r>
            <w:r>
              <w:rPr>
                <w:spacing w:val="-2"/>
              </w:rPr>
              <w:t>202</w:t>
            </w:r>
            <w:r>
              <w:rPr>
                <w:rFonts w:hint="eastAsia"/>
                <w:spacing w:val="-2"/>
              </w:rPr>
              <w:t>5</w:t>
            </w:r>
            <w:r>
              <w:rPr>
                <w:rFonts w:hAnsi="宋体"/>
                <w:spacing w:val="-2"/>
              </w:rPr>
              <w:t>年版），废机油桶属于危险废物（</w:t>
            </w:r>
            <w:r>
              <w:rPr>
                <w:spacing w:val="-2"/>
              </w:rPr>
              <w:t>HW0</w:t>
            </w:r>
            <w:r>
              <w:rPr>
                <w:rFonts w:hint="eastAsia"/>
                <w:spacing w:val="-2"/>
              </w:rPr>
              <w:t>8</w:t>
            </w:r>
            <w:r>
              <w:rPr>
                <w:rFonts w:hint="eastAsia" w:hAnsi="宋体"/>
              </w:rPr>
              <w:t>废矿物油</w:t>
            </w:r>
            <w:r>
              <w:rPr>
                <w:rFonts w:hAnsi="宋体"/>
              </w:rPr>
              <w:t>与含矿物油废物</w:t>
            </w:r>
            <w:r>
              <w:rPr>
                <w:rFonts w:hAnsi="宋体"/>
                <w:spacing w:val="-2"/>
              </w:rPr>
              <w:t>，危废代码为</w:t>
            </w:r>
            <w:r>
              <w:rPr>
                <w:rFonts w:hint="eastAsia"/>
              </w:rPr>
              <w:t>900-249-08</w:t>
            </w:r>
            <w:r>
              <w:rPr>
                <w:rFonts w:hAnsi="宋体"/>
                <w:spacing w:val="-2"/>
              </w:rPr>
              <w:t>），</w:t>
            </w:r>
            <w:r>
              <w:rPr>
                <w:rFonts w:hAnsi="宋体"/>
              </w:rPr>
              <w:t>收集后暂存于危险废物暂存间，定期交由有资质的单位处理。</w:t>
            </w:r>
          </w:p>
          <w:p w14:paraId="2F8A5AAE">
            <w:pPr>
              <w:spacing w:line="360" w:lineRule="auto"/>
              <w:ind w:firstLine="480" w:firstLineChars="200"/>
              <w:rPr>
                <w:rFonts w:ascii="宋体" w:hAnsi="宋体" w:cs="宋体"/>
              </w:rPr>
            </w:pPr>
            <w:r>
              <w:rPr>
                <w:rFonts w:hint="eastAsia" w:ascii="宋体" w:hAnsi="宋体" w:cs="宋体"/>
              </w:rPr>
              <w:t>⑨含油抹布</w:t>
            </w:r>
          </w:p>
          <w:p w14:paraId="35466A22">
            <w:pPr>
              <w:spacing w:line="360" w:lineRule="auto"/>
              <w:ind w:firstLine="480" w:firstLineChars="200"/>
              <w:rPr>
                <w:rFonts w:hAnsi="宋体"/>
              </w:rPr>
            </w:pPr>
            <w:r>
              <w:rPr>
                <w:rFonts w:hint="eastAsia" w:hAnsi="宋体"/>
                <w:bCs/>
              </w:rPr>
              <w:t>本项目日常生产中会产生少量含油抹布，产生量约0.05t/a。</w:t>
            </w:r>
            <w:r>
              <w:rPr>
                <w:rFonts w:hAnsi="宋体"/>
                <w:spacing w:val="-2"/>
              </w:rPr>
              <w:t>根据《国家危险废物名录》（</w:t>
            </w:r>
            <w:r>
              <w:rPr>
                <w:spacing w:val="-2"/>
              </w:rPr>
              <w:t>202</w:t>
            </w:r>
            <w:r>
              <w:rPr>
                <w:rFonts w:hint="eastAsia"/>
                <w:spacing w:val="-2"/>
              </w:rPr>
              <w:t>5</w:t>
            </w:r>
            <w:r>
              <w:rPr>
                <w:rFonts w:hAnsi="宋体"/>
                <w:spacing w:val="-2"/>
              </w:rPr>
              <w:t>年版），</w:t>
            </w:r>
            <w:r>
              <w:rPr>
                <w:rFonts w:hint="eastAsia" w:ascii="宋体" w:hAnsi="宋体" w:cs="宋体"/>
              </w:rPr>
              <w:t>含油抹布</w:t>
            </w:r>
            <w:r>
              <w:rPr>
                <w:rFonts w:hAnsi="宋体"/>
                <w:spacing w:val="-2"/>
              </w:rPr>
              <w:t>属于危险废物（</w:t>
            </w:r>
            <w:r>
              <w:rPr>
                <w:spacing w:val="-2"/>
              </w:rPr>
              <w:t>HW</w:t>
            </w:r>
            <w:r>
              <w:rPr>
                <w:rFonts w:hint="eastAsia"/>
                <w:spacing w:val="-2"/>
              </w:rPr>
              <w:t>49</w:t>
            </w:r>
            <w:r>
              <w:rPr>
                <w:rFonts w:hint="eastAsia" w:hAnsi="宋体"/>
              </w:rPr>
              <w:t>其他废物</w:t>
            </w:r>
            <w:r>
              <w:rPr>
                <w:rFonts w:hAnsi="宋体"/>
                <w:spacing w:val="-2"/>
              </w:rPr>
              <w:t>，危废代码为</w:t>
            </w:r>
            <w:r>
              <w:rPr>
                <w:rFonts w:hint="eastAsia"/>
              </w:rPr>
              <w:t>900-041-49</w:t>
            </w:r>
            <w:r>
              <w:rPr>
                <w:rFonts w:hAnsi="宋体"/>
                <w:spacing w:val="-2"/>
              </w:rPr>
              <w:t>），</w:t>
            </w:r>
            <w:r>
              <w:rPr>
                <w:rFonts w:hAnsi="宋体"/>
              </w:rPr>
              <w:t>收集后暂存于危险废物暂存间，定期交由有资质的单位处理。</w:t>
            </w:r>
          </w:p>
          <w:p w14:paraId="772713D4">
            <w:pPr>
              <w:spacing w:line="360" w:lineRule="auto"/>
              <w:ind w:firstLine="480" w:firstLineChars="200"/>
              <w:rPr>
                <w:rFonts w:hAnsi="宋体"/>
              </w:rPr>
            </w:pPr>
            <w:r>
              <w:rPr>
                <w:rFonts w:hint="eastAsia" w:hAnsi="宋体"/>
              </w:rPr>
              <w:t>⑩废活性炭</w:t>
            </w:r>
          </w:p>
          <w:p w14:paraId="2AB43892">
            <w:pPr>
              <w:spacing w:line="360" w:lineRule="auto"/>
              <w:ind w:firstLine="480" w:firstLineChars="200"/>
              <w:rPr>
                <w:rFonts w:hAnsi="宋体"/>
                <w:highlight w:val="none"/>
              </w:rPr>
            </w:pPr>
            <w:r>
              <w:rPr>
                <w:rFonts w:hint="eastAsia" w:hAnsi="宋体"/>
                <w:highlight w:val="none"/>
              </w:rPr>
              <w:t>本项目</w:t>
            </w:r>
            <w:r>
              <w:rPr>
                <w:rFonts w:hint="eastAsia" w:hAnsi="宋体"/>
                <w:highlight w:val="none"/>
                <w:lang w:eastAsia="zh-CN"/>
              </w:rPr>
              <w:t>有机废气</w:t>
            </w:r>
            <w:r>
              <w:rPr>
                <w:rFonts w:hint="eastAsia" w:hAnsi="宋体"/>
                <w:highlight w:val="none"/>
              </w:rPr>
              <w:t>采用二级活性炭吸附装置进行处理，</w:t>
            </w:r>
            <w:r>
              <w:rPr>
                <w:rFonts w:hint="eastAsia" w:hAnsi="宋体"/>
                <w:highlight w:val="none"/>
                <w:lang w:eastAsia="zh-CN"/>
              </w:rPr>
              <w:t>此过程会</w:t>
            </w:r>
            <w:r>
              <w:rPr>
                <w:rFonts w:hint="eastAsia" w:hAnsi="宋体"/>
                <w:highlight w:val="none"/>
              </w:rPr>
              <w:t>产生废活性炭。根据废气源强分析，最终活性炭吸附装置吸附量约为</w:t>
            </w:r>
            <w:r>
              <w:rPr>
                <w:rFonts w:hint="eastAsia" w:hAnsi="宋体"/>
                <w:highlight w:val="none"/>
                <w:lang w:val="en-US" w:eastAsia="zh-CN"/>
              </w:rPr>
              <w:t>7.268</w:t>
            </w:r>
            <w:r>
              <w:rPr>
                <w:rFonts w:hAnsi="宋体"/>
                <w:highlight w:val="none"/>
              </w:rPr>
              <w:t>t/a</w:t>
            </w:r>
            <w:r>
              <w:rPr>
                <w:rFonts w:hint="eastAsia" w:hAnsi="宋体"/>
                <w:highlight w:val="none"/>
              </w:rPr>
              <w:t>。根据《简明通风设计手册》，活性炭：有机废气</w:t>
            </w:r>
            <w:r>
              <w:rPr>
                <w:rFonts w:hAnsi="宋体"/>
                <w:highlight w:val="none"/>
              </w:rPr>
              <w:t>=1</w:t>
            </w:r>
            <w:r>
              <w:rPr>
                <w:rFonts w:hint="eastAsia" w:hAnsi="宋体"/>
                <w:highlight w:val="none"/>
              </w:rPr>
              <w:t>：</w:t>
            </w:r>
            <w:r>
              <w:rPr>
                <w:rFonts w:hAnsi="宋体"/>
                <w:highlight w:val="none"/>
              </w:rPr>
              <w:t>0.3</w:t>
            </w:r>
            <w:r>
              <w:rPr>
                <w:rFonts w:hint="eastAsia" w:hAnsi="宋体"/>
                <w:highlight w:val="none"/>
              </w:rPr>
              <w:t>，即</w:t>
            </w:r>
            <w:r>
              <w:rPr>
                <w:rFonts w:hAnsi="宋体"/>
                <w:highlight w:val="none"/>
              </w:rPr>
              <w:t>1kg</w:t>
            </w:r>
            <w:r>
              <w:rPr>
                <w:rFonts w:hint="eastAsia" w:hAnsi="宋体"/>
                <w:highlight w:val="none"/>
              </w:rPr>
              <w:t>的活性炭可以吸附</w:t>
            </w:r>
            <w:r>
              <w:rPr>
                <w:rFonts w:hAnsi="宋体"/>
                <w:highlight w:val="none"/>
              </w:rPr>
              <w:t>0.3kg</w:t>
            </w:r>
            <w:r>
              <w:rPr>
                <w:rFonts w:hint="eastAsia" w:hAnsi="宋体"/>
                <w:highlight w:val="none"/>
              </w:rPr>
              <w:t>的有机废气，则需活性炭量为</w:t>
            </w:r>
            <w:r>
              <w:rPr>
                <w:rFonts w:hint="eastAsia" w:hAnsi="宋体"/>
                <w:highlight w:val="none"/>
                <w:lang w:val="en-US" w:eastAsia="zh-CN"/>
              </w:rPr>
              <w:t>24.227</w:t>
            </w:r>
            <w:r>
              <w:rPr>
                <w:rFonts w:hAnsi="宋体"/>
                <w:highlight w:val="none"/>
              </w:rPr>
              <w:t>t/a</w:t>
            </w:r>
            <w:r>
              <w:rPr>
                <w:rFonts w:hint="eastAsia" w:hAnsi="宋体"/>
                <w:highlight w:val="none"/>
              </w:rPr>
              <w:t>。</w:t>
            </w:r>
            <w:r>
              <w:rPr>
                <w:rFonts w:hint="eastAsia" w:hAnsi="宋体"/>
                <w:highlight w:val="none"/>
                <w:lang w:eastAsia="zh-CN"/>
              </w:rPr>
              <w:t>综上，</w:t>
            </w:r>
            <w:r>
              <w:rPr>
                <w:rFonts w:hint="eastAsia" w:hAnsi="宋体"/>
                <w:highlight w:val="none"/>
              </w:rPr>
              <w:t>废活性炭产生量</w:t>
            </w:r>
            <w:r>
              <w:rPr>
                <w:rFonts w:hint="eastAsia" w:hAnsi="宋体"/>
                <w:highlight w:val="none"/>
                <w:lang w:eastAsia="zh-CN"/>
              </w:rPr>
              <w:t>为</w:t>
            </w:r>
            <w:r>
              <w:rPr>
                <w:rFonts w:hint="eastAsia" w:hAnsi="宋体"/>
                <w:highlight w:val="none"/>
                <w:lang w:val="en-US" w:eastAsia="zh-CN"/>
              </w:rPr>
              <w:t>31.495</w:t>
            </w:r>
            <w:r>
              <w:rPr>
                <w:rFonts w:hAnsi="宋体"/>
                <w:highlight w:val="none"/>
              </w:rPr>
              <w:t>t/a</w:t>
            </w:r>
            <w:r>
              <w:rPr>
                <w:rFonts w:hint="eastAsia" w:hAnsi="宋体"/>
                <w:highlight w:val="none"/>
              </w:rPr>
              <w:t>。根据《国家危险废物名录》（</w:t>
            </w:r>
            <w:r>
              <w:rPr>
                <w:rFonts w:hAnsi="宋体"/>
                <w:highlight w:val="none"/>
              </w:rPr>
              <w:t>202</w:t>
            </w:r>
            <w:r>
              <w:rPr>
                <w:rFonts w:hint="eastAsia" w:hAnsi="宋体"/>
                <w:highlight w:val="none"/>
              </w:rPr>
              <w:t>5年版），属于危险废物，废物类别为</w:t>
            </w:r>
            <w:r>
              <w:rPr>
                <w:rFonts w:hAnsi="宋体"/>
                <w:highlight w:val="none"/>
              </w:rPr>
              <w:t>HW49</w:t>
            </w:r>
            <w:r>
              <w:rPr>
                <w:rFonts w:hint="eastAsia" w:hAnsi="宋体"/>
                <w:highlight w:val="none"/>
              </w:rPr>
              <w:t>其他废物（废物代码</w:t>
            </w:r>
            <w:r>
              <w:rPr>
                <w:rFonts w:hAnsi="宋体"/>
                <w:highlight w:val="none"/>
              </w:rPr>
              <w:t>900-039-49</w:t>
            </w:r>
            <w:r>
              <w:rPr>
                <w:rFonts w:hint="eastAsia" w:hAnsi="宋体"/>
                <w:highlight w:val="none"/>
              </w:rPr>
              <w:t>），在危废暂存间内封闭暂存后，委托有资质单位定期处置。</w:t>
            </w:r>
          </w:p>
          <w:p w14:paraId="2A18CA6C">
            <w:pPr>
              <w:spacing w:line="360" w:lineRule="auto"/>
              <w:ind w:firstLine="482" w:firstLineChars="200"/>
            </w:pPr>
            <w:r>
              <w:rPr>
                <w:rFonts w:hint="eastAsia"/>
                <w:b/>
                <w:bCs/>
              </w:rPr>
              <w:t>3.生活垃圾</w:t>
            </w:r>
          </w:p>
          <w:p w14:paraId="3DEF57FE">
            <w:pPr>
              <w:spacing w:line="360" w:lineRule="auto"/>
              <w:ind w:firstLine="480" w:firstLineChars="200"/>
              <w:rPr>
                <w:rFonts w:ascii="黑体" w:hAnsi="黑体" w:eastAsia="黑体"/>
                <w:bCs/>
              </w:rPr>
            </w:pPr>
            <w:r>
              <w:t>项目劳动定员</w:t>
            </w:r>
            <w:r>
              <w:rPr>
                <w:rFonts w:hint="eastAsia"/>
              </w:rPr>
              <w:t>120人，日垃圾产生量按0.5kg/人计，则项目生活垃圾产生量约60kg/d，年生活垃圾产生量约18.72t。生活垃圾在厂区内集中收集，由环卫部门统一清运。</w:t>
            </w:r>
          </w:p>
          <w:p w14:paraId="2CB70DC0">
            <w:pPr>
              <w:spacing w:line="360" w:lineRule="auto"/>
              <w:jc w:val="center"/>
              <w:rPr>
                <w:rFonts w:ascii="黑体" w:hAnsi="黑体" w:eastAsia="黑体"/>
                <w:bCs/>
                <w:color w:val="FF0000"/>
              </w:rPr>
            </w:pPr>
            <w:r>
              <w:rPr>
                <w:rFonts w:ascii="黑体" w:hAnsi="黑体" w:eastAsia="黑体"/>
                <w:bCs/>
              </w:rPr>
              <w:t>表</w:t>
            </w:r>
            <w:r>
              <w:rPr>
                <w:rFonts w:hint="eastAsia"/>
                <w:bCs/>
              </w:rPr>
              <w:t>4-</w:t>
            </w:r>
            <w:r>
              <w:rPr>
                <w:rFonts w:hint="eastAsia"/>
                <w:bCs/>
                <w:lang w:val="en-US" w:eastAsia="zh-CN"/>
              </w:rPr>
              <w:t xml:space="preserve">9  </w:t>
            </w:r>
            <w:r>
              <w:rPr>
                <w:rFonts w:ascii="黑体" w:hAnsi="黑体" w:eastAsia="黑体"/>
                <w:bCs/>
              </w:rPr>
              <w:t>本项目固体废物产生情况一览表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524"/>
              <w:gridCol w:w="1552"/>
              <w:gridCol w:w="1205"/>
              <w:gridCol w:w="1054"/>
              <w:gridCol w:w="1849"/>
              <w:gridCol w:w="1666"/>
            </w:tblGrid>
            <w:tr w14:paraId="77B989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2C13CDBE">
                  <w:pPr>
                    <w:pStyle w:val="39"/>
                    <w:spacing w:line="276" w:lineRule="auto"/>
                    <w:rPr>
                      <w:b/>
                      <w:szCs w:val="21"/>
                    </w:rPr>
                  </w:pPr>
                  <w:r>
                    <w:rPr>
                      <w:rFonts w:hAnsi="宋体"/>
                      <w:b/>
                      <w:szCs w:val="21"/>
                    </w:rPr>
                    <w:t>序号</w:t>
                  </w:r>
                </w:p>
              </w:tc>
              <w:tc>
                <w:tcPr>
                  <w:tcW w:w="988" w:type="pct"/>
                  <w:vAlign w:val="center"/>
                </w:tcPr>
                <w:p w14:paraId="4E3BC321">
                  <w:pPr>
                    <w:pStyle w:val="39"/>
                    <w:spacing w:line="276" w:lineRule="auto"/>
                    <w:rPr>
                      <w:b/>
                      <w:szCs w:val="21"/>
                    </w:rPr>
                  </w:pPr>
                  <w:r>
                    <w:rPr>
                      <w:rFonts w:hAnsi="宋体"/>
                      <w:b/>
                      <w:szCs w:val="21"/>
                    </w:rPr>
                    <w:t>固体废物名称</w:t>
                  </w:r>
                </w:p>
              </w:tc>
              <w:tc>
                <w:tcPr>
                  <w:tcW w:w="767" w:type="pct"/>
                  <w:vAlign w:val="center"/>
                </w:tcPr>
                <w:p w14:paraId="3DE297D0">
                  <w:pPr>
                    <w:pStyle w:val="39"/>
                    <w:spacing w:line="276" w:lineRule="auto"/>
                    <w:rPr>
                      <w:b/>
                      <w:szCs w:val="21"/>
                    </w:rPr>
                  </w:pPr>
                  <w:r>
                    <w:rPr>
                      <w:rFonts w:hAnsi="宋体"/>
                      <w:b/>
                      <w:szCs w:val="21"/>
                    </w:rPr>
                    <w:t>产生量（</w:t>
                  </w:r>
                  <w:r>
                    <w:rPr>
                      <w:b/>
                      <w:szCs w:val="21"/>
                    </w:rPr>
                    <w:t>t/a）</w:t>
                  </w:r>
                </w:p>
              </w:tc>
              <w:tc>
                <w:tcPr>
                  <w:tcW w:w="671" w:type="pct"/>
                  <w:vAlign w:val="center"/>
                </w:tcPr>
                <w:p w14:paraId="0D0EFCAC">
                  <w:pPr>
                    <w:pStyle w:val="39"/>
                    <w:spacing w:line="276" w:lineRule="auto"/>
                    <w:rPr>
                      <w:rFonts w:hAnsi="宋体"/>
                      <w:b/>
                      <w:szCs w:val="21"/>
                    </w:rPr>
                  </w:pPr>
                  <w:r>
                    <w:rPr>
                      <w:rFonts w:hint="eastAsia" w:hAnsi="宋体"/>
                      <w:b/>
                      <w:szCs w:val="21"/>
                    </w:rPr>
                    <w:t>固体</w:t>
                  </w:r>
                  <w:r>
                    <w:rPr>
                      <w:rFonts w:hAnsi="宋体"/>
                      <w:b/>
                      <w:szCs w:val="21"/>
                    </w:rPr>
                    <w:t>废物类别</w:t>
                  </w:r>
                </w:p>
              </w:tc>
              <w:tc>
                <w:tcPr>
                  <w:tcW w:w="1178" w:type="pct"/>
                  <w:vAlign w:val="center"/>
                </w:tcPr>
                <w:p w14:paraId="5C0955C7">
                  <w:pPr>
                    <w:pStyle w:val="39"/>
                    <w:spacing w:line="276" w:lineRule="auto"/>
                    <w:rPr>
                      <w:b/>
                      <w:szCs w:val="21"/>
                    </w:rPr>
                  </w:pPr>
                  <w:r>
                    <w:rPr>
                      <w:rFonts w:hint="eastAsia" w:hAnsi="宋体"/>
                      <w:b/>
                      <w:szCs w:val="21"/>
                    </w:rPr>
                    <w:t>固体</w:t>
                  </w:r>
                  <w:r>
                    <w:rPr>
                      <w:rFonts w:hAnsi="宋体"/>
                      <w:b/>
                      <w:szCs w:val="21"/>
                    </w:rPr>
                    <w:t>废物代码</w:t>
                  </w:r>
                </w:p>
              </w:tc>
              <w:tc>
                <w:tcPr>
                  <w:tcW w:w="1061" w:type="pct"/>
                  <w:vAlign w:val="center"/>
                </w:tcPr>
                <w:p w14:paraId="692905E9">
                  <w:pPr>
                    <w:pStyle w:val="39"/>
                    <w:spacing w:line="276" w:lineRule="auto"/>
                    <w:rPr>
                      <w:b/>
                      <w:szCs w:val="21"/>
                    </w:rPr>
                  </w:pPr>
                  <w:r>
                    <w:rPr>
                      <w:rFonts w:hAnsi="宋体"/>
                      <w:b/>
                      <w:szCs w:val="21"/>
                    </w:rPr>
                    <w:t>处理方式</w:t>
                  </w:r>
                </w:p>
              </w:tc>
            </w:tr>
            <w:tr w14:paraId="64552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7BCA24AB">
                  <w:pPr>
                    <w:pStyle w:val="39"/>
                    <w:spacing w:line="276" w:lineRule="auto"/>
                    <w:rPr>
                      <w:szCs w:val="21"/>
                    </w:rPr>
                  </w:pPr>
                  <w:r>
                    <w:rPr>
                      <w:szCs w:val="21"/>
                    </w:rPr>
                    <w:t>1</w:t>
                  </w:r>
                </w:p>
              </w:tc>
              <w:tc>
                <w:tcPr>
                  <w:tcW w:w="988" w:type="pct"/>
                  <w:vAlign w:val="center"/>
                </w:tcPr>
                <w:p w14:paraId="38C49876">
                  <w:pPr>
                    <w:pStyle w:val="39"/>
                    <w:spacing w:line="276" w:lineRule="auto"/>
                    <w:rPr>
                      <w:szCs w:val="21"/>
                    </w:rPr>
                  </w:pPr>
                  <w:r>
                    <w:rPr>
                      <w:szCs w:val="21"/>
                    </w:rPr>
                    <w:t>废包装材料</w:t>
                  </w:r>
                </w:p>
              </w:tc>
              <w:tc>
                <w:tcPr>
                  <w:tcW w:w="767" w:type="pct"/>
                  <w:vAlign w:val="center"/>
                </w:tcPr>
                <w:p w14:paraId="4203C8FA">
                  <w:pPr>
                    <w:pStyle w:val="39"/>
                    <w:spacing w:line="276" w:lineRule="auto"/>
                    <w:rPr>
                      <w:szCs w:val="21"/>
                    </w:rPr>
                  </w:pPr>
                  <w:r>
                    <w:rPr>
                      <w:rFonts w:hint="eastAsia"/>
                      <w:szCs w:val="21"/>
                    </w:rPr>
                    <w:t>1.61</w:t>
                  </w:r>
                </w:p>
              </w:tc>
              <w:tc>
                <w:tcPr>
                  <w:tcW w:w="671" w:type="pct"/>
                  <w:vMerge w:val="restart"/>
                  <w:vAlign w:val="center"/>
                </w:tcPr>
                <w:p w14:paraId="03A840D2">
                  <w:pPr>
                    <w:pStyle w:val="39"/>
                    <w:spacing w:line="276" w:lineRule="auto"/>
                    <w:rPr>
                      <w:szCs w:val="21"/>
                    </w:rPr>
                  </w:pPr>
                  <w:r>
                    <w:rPr>
                      <w:rFonts w:hint="eastAsia"/>
                      <w:szCs w:val="21"/>
                    </w:rPr>
                    <w:t>一般固体废物</w:t>
                  </w:r>
                </w:p>
              </w:tc>
              <w:tc>
                <w:tcPr>
                  <w:tcW w:w="1178" w:type="pct"/>
                  <w:vAlign w:val="center"/>
                </w:tcPr>
                <w:p w14:paraId="7D62ECC4">
                  <w:pPr>
                    <w:pStyle w:val="39"/>
                    <w:spacing w:line="276" w:lineRule="auto"/>
                  </w:pPr>
                  <w:r>
                    <w:rPr>
                      <w:rFonts w:hint="eastAsia"/>
                    </w:rPr>
                    <w:t>SW59</w:t>
                  </w:r>
                </w:p>
                <w:p w14:paraId="398170C5">
                  <w:pPr>
                    <w:pStyle w:val="39"/>
                    <w:spacing w:line="276" w:lineRule="auto"/>
                    <w:rPr>
                      <w:szCs w:val="21"/>
                    </w:rPr>
                  </w:pPr>
                  <w:r>
                    <w:rPr>
                      <w:rFonts w:hint="eastAsia"/>
                    </w:rPr>
                    <w:t>900-099-S59</w:t>
                  </w:r>
                </w:p>
              </w:tc>
              <w:tc>
                <w:tcPr>
                  <w:tcW w:w="1061" w:type="pct"/>
                  <w:vMerge w:val="restart"/>
                  <w:vAlign w:val="center"/>
                </w:tcPr>
                <w:p w14:paraId="72A8459E">
                  <w:pPr>
                    <w:pStyle w:val="39"/>
                    <w:spacing w:line="276" w:lineRule="auto"/>
                    <w:rPr>
                      <w:szCs w:val="21"/>
                    </w:rPr>
                  </w:pPr>
                  <w:r>
                    <w:rPr>
                      <w:rFonts w:ascii="宋体" w:hAnsi="宋体"/>
                      <w:szCs w:val="21"/>
                    </w:rPr>
                    <w:t>收集后储存于一般固废暂存间</w:t>
                  </w:r>
                  <w:r>
                    <w:rPr>
                      <w:rFonts w:hint="eastAsia" w:ascii="宋体" w:hAnsi="宋体"/>
                      <w:szCs w:val="21"/>
                    </w:rPr>
                    <w:t>，定期外售综合利用</w:t>
                  </w:r>
                </w:p>
              </w:tc>
            </w:tr>
            <w:tr w14:paraId="795E15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4898BF94">
                  <w:pPr>
                    <w:pStyle w:val="39"/>
                    <w:spacing w:line="276" w:lineRule="auto"/>
                    <w:rPr>
                      <w:szCs w:val="21"/>
                    </w:rPr>
                  </w:pPr>
                  <w:r>
                    <w:rPr>
                      <w:rFonts w:hint="eastAsia"/>
                      <w:szCs w:val="21"/>
                    </w:rPr>
                    <w:t>2</w:t>
                  </w:r>
                </w:p>
              </w:tc>
              <w:tc>
                <w:tcPr>
                  <w:tcW w:w="988" w:type="pct"/>
                  <w:vAlign w:val="center"/>
                </w:tcPr>
                <w:p w14:paraId="3E087A8F">
                  <w:pPr>
                    <w:pStyle w:val="39"/>
                    <w:spacing w:line="276" w:lineRule="auto"/>
                    <w:rPr>
                      <w:szCs w:val="21"/>
                    </w:rPr>
                  </w:pPr>
                  <w:r>
                    <w:rPr>
                      <w:rFonts w:hint="eastAsia"/>
                      <w:szCs w:val="21"/>
                    </w:rPr>
                    <w:t>金属废边角料</w:t>
                  </w:r>
                </w:p>
              </w:tc>
              <w:tc>
                <w:tcPr>
                  <w:tcW w:w="767" w:type="pct"/>
                  <w:vAlign w:val="center"/>
                </w:tcPr>
                <w:p w14:paraId="78364BAF">
                  <w:pPr>
                    <w:pStyle w:val="39"/>
                    <w:spacing w:line="276" w:lineRule="auto"/>
                    <w:rPr>
                      <w:szCs w:val="21"/>
                    </w:rPr>
                  </w:pPr>
                  <w:r>
                    <w:rPr>
                      <w:rFonts w:hint="eastAsia"/>
                      <w:szCs w:val="21"/>
                    </w:rPr>
                    <w:t>70.2</w:t>
                  </w:r>
                </w:p>
              </w:tc>
              <w:tc>
                <w:tcPr>
                  <w:tcW w:w="671" w:type="pct"/>
                  <w:vMerge w:val="continue"/>
                  <w:vAlign w:val="center"/>
                </w:tcPr>
                <w:p w14:paraId="0362F2F1">
                  <w:pPr>
                    <w:pStyle w:val="39"/>
                    <w:spacing w:line="276" w:lineRule="auto"/>
                    <w:rPr>
                      <w:szCs w:val="21"/>
                    </w:rPr>
                  </w:pPr>
                </w:p>
              </w:tc>
              <w:tc>
                <w:tcPr>
                  <w:tcW w:w="1178" w:type="pct"/>
                  <w:vAlign w:val="center"/>
                </w:tcPr>
                <w:p w14:paraId="06708300">
                  <w:pPr>
                    <w:pStyle w:val="39"/>
                    <w:spacing w:line="276" w:lineRule="auto"/>
                  </w:pPr>
                  <w:r>
                    <w:rPr>
                      <w:rFonts w:hint="eastAsia"/>
                    </w:rPr>
                    <w:t>SW59</w:t>
                  </w:r>
                </w:p>
                <w:p w14:paraId="32007A69">
                  <w:pPr>
                    <w:pStyle w:val="39"/>
                    <w:spacing w:line="276" w:lineRule="auto"/>
                    <w:rPr>
                      <w:szCs w:val="21"/>
                    </w:rPr>
                  </w:pPr>
                  <w:r>
                    <w:rPr>
                      <w:rFonts w:hint="eastAsia"/>
                    </w:rPr>
                    <w:t>900-099-S59</w:t>
                  </w:r>
                </w:p>
              </w:tc>
              <w:tc>
                <w:tcPr>
                  <w:tcW w:w="1061" w:type="pct"/>
                  <w:vMerge w:val="continue"/>
                  <w:vAlign w:val="center"/>
                </w:tcPr>
                <w:p w14:paraId="56A261E0">
                  <w:pPr>
                    <w:pStyle w:val="39"/>
                    <w:spacing w:line="276" w:lineRule="auto"/>
                    <w:rPr>
                      <w:rFonts w:ascii="宋体" w:hAnsi="宋体"/>
                      <w:szCs w:val="21"/>
                    </w:rPr>
                  </w:pPr>
                </w:p>
              </w:tc>
            </w:tr>
            <w:tr w14:paraId="260A38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1BB05F61">
                  <w:pPr>
                    <w:pStyle w:val="39"/>
                    <w:spacing w:line="276" w:lineRule="auto"/>
                    <w:rPr>
                      <w:szCs w:val="21"/>
                    </w:rPr>
                  </w:pPr>
                  <w:r>
                    <w:rPr>
                      <w:rFonts w:hint="eastAsia"/>
                      <w:szCs w:val="21"/>
                    </w:rPr>
                    <w:t>3</w:t>
                  </w:r>
                </w:p>
              </w:tc>
              <w:tc>
                <w:tcPr>
                  <w:tcW w:w="988" w:type="pct"/>
                  <w:vAlign w:val="center"/>
                </w:tcPr>
                <w:p w14:paraId="35654568">
                  <w:pPr>
                    <w:pStyle w:val="39"/>
                    <w:spacing w:line="276" w:lineRule="auto"/>
                    <w:rPr>
                      <w:szCs w:val="21"/>
                    </w:rPr>
                  </w:pPr>
                  <w:r>
                    <w:rPr>
                      <w:rFonts w:hint="eastAsia"/>
                      <w:szCs w:val="21"/>
                    </w:rPr>
                    <w:t>橡胶废边角料</w:t>
                  </w:r>
                </w:p>
              </w:tc>
              <w:tc>
                <w:tcPr>
                  <w:tcW w:w="767" w:type="pct"/>
                  <w:vAlign w:val="center"/>
                </w:tcPr>
                <w:p w14:paraId="3D6F1D34">
                  <w:pPr>
                    <w:pStyle w:val="39"/>
                    <w:spacing w:line="276" w:lineRule="auto"/>
                    <w:rPr>
                      <w:szCs w:val="21"/>
                    </w:rPr>
                  </w:pPr>
                  <w:r>
                    <w:rPr>
                      <w:rFonts w:hint="eastAsia"/>
                      <w:szCs w:val="21"/>
                    </w:rPr>
                    <w:t>1.0</w:t>
                  </w:r>
                </w:p>
              </w:tc>
              <w:tc>
                <w:tcPr>
                  <w:tcW w:w="671" w:type="pct"/>
                  <w:vMerge w:val="continue"/>
                  <w:vAlign w:val="center"/>
                </w:tcPr>
                <w:p w14:paraId="708B1AD6">
                  <w:pPr>
                    <w:pStyle w:val="39"/>
                    <w:spacing w:line="276" w:lineRule="auto"/>
                    <w:rPr>
                      <w:szCs w:val="21"/>
                    </w:rPr>
                  </w:pPr>
                </w:p>
              </w:tc>
              <w:tc>
                <w:tcPr>
                  <w:tcW w:w="1178" w:type="pct"/>
                  <w:vAlign w:val="center"/>
                </w:tcPr>
                <w:p w14:paraId="53CE8A9A">
                  <w:pPr>
                    <w:pStyle w:val="39"/>
                    <w:spacing w:line="276" w:lineRule="auto"/>
                  </w:pPr>
                  <w:r>
                    <w:rPr>
                      <w:rFonts w:hint="eastAsia"/>
                    </w:rPr>
                    <w:t>SW59</w:t>
                  </w:r>
                </w:p>
                <w:p w14:paraId="6A04F387">
                  <w:pPr>
                    <w:pStyle w:val="39"/>
                    <w:spacing w:line="276" w:lineRule="auto"/>
                    <w:rPr>
                      <w:szCs w:val="21"/>
                    </w:rPr>
                  </w:pPr>
                  <w:r>
                    <w:rPr>
                      <w:rFonts w:hint="eastAsia"/>
                    </w:rPr>
                    <w:t>900-099-S59</w:t>
                  </w:r>
                </w:p>
              </w:tc>
              <w:tc>
                <w:tcPr>
                  <w:tcW w:w="1061" w:type="pct"/>
                  <w:vMerge w:val="continue"/>
                  <w:vAlign w:val="center"/>
                </w:tcPr>
                <w:p w14:paraId="1C67CD21">
                  <w:pPr>
                    <w:pStyle w:val="39"/>
                    <w:spacing w:line="276" w:lineRule="auto"/>
                    <w:rPr>
                      <w:rFonts w:ascii="宋体" w:hAnsi="宋体"/>
                      <w:szCs w:val="21"/>
                    </w:rPr>
                  </w:pPr>
                </w:p>
              </w:tc>
            </w:tr>
            <w:tr w14:paraId="07575A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0C00B5EF">
                  <w:pPr>
                    <w:pStyle w:val="39"/>
                    <w:spacing w:line="276" w:lineRule="auto"/>
                    <w:rPr>
                      <w:szCs w:val="21"/>
                    </w:rPr>
                  </w:pPr>
                  <w:r>
                    <w:rPr>
                      <w:rFonts w:hint="eastAsia"/>
                      <w:szCs w:val="21"/>
                    </w:rPr>
                    <w:t>4</w:t>
                  </w:r>
                </w:p>
              </w:tc>
              <w:tc>
                <w:tcPr>
                  <w:tcW w:w="988" w:type="pct"/>
                  <w:vAlign w:val="center"/>
                </w:tcPr>
                <w:p w14:paraId="606E147E">
                  <w:pPr>
                    <w:pStyle w:val="39"/>
                    <w:spacing w:line="276" w:lineRule="auto"/>
                    <w:rPr>
                      <w:szCs w:val="21"/>
                    </w:rPr>
                  </w:pPr>
                  <w:r>
                    <w:rPr>
                      <w:rFonts w:hint="eastAsia"/>
                      <w:szCs w:val="21"/>
                    </w:rPr>
                    <w:t>废钢丸</w:t>
                  </w:r>
                </w:p>
              </w:tc>
              <w:tc>
                <w:tcPr>
                  <w:tcW w:w="767" w:type="pct"/>
                  <w:vAlign w:val="center"/>
                </w:tcPr>
                <w:p w14:paraId="479766B8">
                  <w:pPr>
                    <w:pStyle w:val="39"/>
                    <w:spacing w:line="276" w:lineRule="auto"/>
                    <w:rPr>
                      <w:szCs w:val="21"/>
                    </w:rPr>
                  </w:pPr>
                  <w:r>
                    <w:rPr>
                      <w:rFonts w:hint="eastAsia"/>
                      <w:szCs w:val="21"/>
                    </w:rPr>
                    <w:t>10.0</w:t>
                  </w:r>
                </w:p>
              </w:tc>
              <w:tc>
                <w:tcPr>
                  <w:tcW w:w="671" w:type="pct"/>
                  <w:vMerge w:val="continue"/>
                  <w:vAlign w:val="center"/>
                </w:tcPr>
                <w:p w14:paraId="7A2CB368">
                  <w:pPr>
                    <w:pStyle w:val="39"/>
                    <w:spacing w:line="276" w:lineRule="auto"/>
                    <w:rPr>
                      <w:szCs w:val="21"/>
                    </w:rPr>
                  </w:pPr>
                </w:p>
              </w:tc>
              <w:tc>
                <w:tcPr>
                  <w:tcW w:w="1178" w:type="pct"/>
                  <w:vAlign w:val="center"/>
                </w:tcPr>
                <w:p w14:paraId="5F5E4A3B">
                  <w:pPr>
                    <w:pStyle w:val="39"/>
                    <w:spacing w:line="276" w:lineRule="auto"/>
                  </w:pPr>
                  <w:r>
                    <w:rPr>
                      <w:rFonts w:hint="eastAsia"/>
                    </w:rPr>
                    <w:t>SW59</w:t>
                  </w:r>
                </w:p>
                <w:p w14:paraId="5D993967">
                  <w:pPr>
                    <w:pStyle w:val="39"/>
                    <w:spacing w:line="276" w:lineRule="auto"/>
                    <w:rPr>
                      <w:szCs w:val="21"/>
                    </w:rPr>
                  </w:pPr>
                  <w:r>
                    <w:rPr>
                      <w:rFonts w:hint="eastAsia"/>
                    </w:rPr>
                    <w:t>900-099-S59</w:t>
                  </w:r>
                </w:p>
              </w:tc>
              <w:tc>
                <w:tcPr>
                  <w:tcW w:w="1061" w:type="pct"/>
                  <w:vMerge w:val="continue"/>
                  <w:vAlign w:val="center"/>
                </w:tcPr>
                <w:p w14:paraId="3FA43CD1">
                  <w:pPr>
                    <w:pStyle w:val="39"/>
                    <w:spacing w:line="276" w:lineRule="auto"/>
                    <w:rPr>
                      <w:rFonts w:ascii="宋体" w:hAnsi="宋体"/>
                      <w:szCs w:val="21"/>
                    </w:rPr>
                  </w:pPr>
                </w:p>
              </w:tc>
            </w:tr>
            <w:tr w14:paraId="54E8E7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0590F2AE">
                  <w:pPr>
                    <w:pStyle w:val="39"/>
                    <w:spacing w:line="276" w:lineRule="auto"/>
                    <w:rPr>
                      <w:szCs w:val="21"/>
                    </w:rPr>
                  </w:pPr>
                  <w:r>
                    <w:rPr>
                      <w:rFonts w:hint="eastAsia"/>
                      <w:szCs w:val="21"/>
                    </w:rPr>
                    <w:t>5</w:t>
                  </w:r>
                </w:p>
              </w:tc>
              <w:tc>
                <w:tcPr>
                  <w:tcW w:w="988" w:type="pct"/>
                  <w:vAlign w:val="center"/>
                </w:tcPr>
                <w:p w14:paraId="53FAB24E">
                  <w:pPr>
                    <w:pStyle w:val="39"/>
                    <w:spacing w:line="276" w:lineRule="auto"/>
                    <w:rPr>
                      <w:rFonts w:hAnsi="宋体"/>
                      <w:szCs w:val="21"/>
                    </w:rPr>
                  </w:pPr>
                  <w:r>
                    <w:rPr>
                      <w:rFonts w:hint="eastAsia" w:hAnsi="宋体"/>
                      <w:szCs w:val="21"/>
                    </w:rPr>
                    <w:t>除尘器收集的粉尘</w:t>
                  </w:r>
                </w:p>
              </w:tc>
              <w:tc>
                <w:tcPr>
                  <w:tcW w:w="767" w:type="pct"/>
                  <w:vAlign w:val="center"/>
                </w:tcPr>
                <w:p w14:paraId="098A4E4B">
                  <w:pPr>
                    <w:pStyle w:val="39"/>
                    <w:spacing w:line="276" w:lineRule="auto"/>
                    <w:rPr>
                      <w:rFonts w:hint="default" w:eastAsia="宋体"/>
                      <w:szCs w:val="21"/>
                      <w:lang w:val="en-US" w:eastAsia="zh-CN"/>
                    </w:rPr>
                  </w:pPr>
                  <w:r>
                    <w:rPr>
                      <w:rFonts w:hint="eastAsia"/>
                      <w:szCs w:val="21"/>
                      <w:lang w:val="en-US" w:eastAsia="zh-CN"/>
                    </w:rPr>
                    <w:t>27.682</w:t>
                  </w:r>
                </w:p>
              </w:tc>
              <w:tc>
                <w:tcPr>
                  <w:tcW w:w="671" w:type="pct"/>
                  <w:vMerge w:val="continue"/>
                  <w:vAlign w:val="center"/>
                </w:tcPr>
                <w:p w14:paraId="0D71B408">
                  <w:pPr>
                    <w:pStyle w:val="39"/>
                    <w:spacing w:line="276" w:lineRule="auto"/>
                    <w:rPr>
                      <w:szCs w:val="21"/>
                    </w:rPr>
                  </w:pPr>
                </w:p>
              </w:tc>
              <w:tc>
                <w:tcPr>
                  <w:tcW w:w="1178" w:type="pct"/>
                  <w:vAlign w:val="center"/>
                </w:tcPr>
                <w:p w14:paraId="3557C7BE">
                  <w:pPr>
                    <w:pStyle w:val="39"/>
                    <w:spacing w:line="276" w:lineRule="auto"/>
                  </w:pPr>
                  <w:r>
                    <w:rPr>
                      <w:rFonts w:hint="eastAsia"/>
                    </w:rPr>
                    <w:t>SW59</w:t>
                  </w:r>
                </w:p>
                <w:p w14:paraId="201F2878">
                  <w:pPr>
                    <w:pStyle w:val="39"/>
                    <w:spacing w:line="276" w:lineRule="auto"/>
                    <w:rPr>
                      <w:szCs w:val="21"/>
                    </w:rPr>
                  </w:pPr>
                  <w:r>
                    <w:rPr>
                      <w:rFonts w:hint="eastAsia"/>
                    </w:rPr>
                    <w:t>900-099-S59</w:t>
                  </w:r>
                </w:p>
              </w:tc>
              <w:tc>
                <w:tcPr>
                  <w:tcW w:w="1061" w:type="pct"/>
                  <w:vMerge w:val="continue"/>
                  <w:vAlign w:val="center"/>
                </w:tcPr>
                <w:p w14:paraId="1079D5E8">
                  <w:pPr>
                    <w:pStyle w:val="39"/>
                    <w:spacing w:line="276" w:lineRule="auto"/>
                    <w:rPr>
                      <w:rFonts w:ascii="宋体" w:hAnsi="宋体"/>
                      <w:szCs w:val="21"/>
                    </w:rPr>
                  </w:pPr>
                </w:p>
              </w:tc>
            </w:tr>
            <w:tr w14:paraId="5B77B9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55F980B1">
                  <w:pPr>
                    <w:pStyle w:val="39"/>
                    <w:spacing w:line="276" w:lineRule="auto"/>
                    <w:rPr>
                      <w:szCs w:val="21"/>
                    </w:rPr>
                  </w:pPr>
                  <w:r>
                    <w:rPr>
                      <w:rFonts w:hint="eastAsia"/>
                      <w:szCs w:val="21"/>
                    </w:rPr>
                    <w:t>6</w:t>
                  </w:r>
                </w:p>
              </w:tc>
              <w:tc>
                <w:tcPr>
                  <w:tcW w:w="988" w:type="pct"/>
                  <w:vAlign w:val="center"/>
                </w:tcPr>
                <w:p w14:paraId="362348EB">
                  <w:pPr>
                    <w:pStyle w:val="39"/>
                    <w:spacing w:line="276" w:lineRule="auto"/>
                    <w:rPr>
                      <w:rFonts w:hAnsi="宋体"/>
                      <w:szCs w:val="21"/>
                    </w:rPr>
                  </w:pPr>
                  <w:r>
                    <w:rPr>
                      <w:rFonts w:hint="eastAsia" w:hAnsi="宋体"/>
                      <w:szCs w:val="21"/>
                    </w:rPr>
                    <w:t>振光废水</w:t>
                  </w:r>
                </w:p>
              </w:tc>
              <w:tc>
                <w:tcPr>
                  <w:tcW w:w="767" w:type="pct"/>
                  <w:vAlign w:val="center"/>
                </w:tcPr>
                <w:p w14:paraId="419380C7">
                  <w:pPr>
                    <w:pStyle w:val="39"/>
                    <w:spacing w:line="276" w:lineRule="auto"/>
                    <w:rPr>
                      <w:szCs w:val="21"/>
                    </w:rPr>
                  </w:pPr>
                  <w:r>
                    <w:rPr>
                      <w:rFonts w:hint="eastAsia"/>
                      <w:szCs w:val="21"/>
                    </w:rPr>
                    <w:t>8.609</w:t>
                  </w:r>
                </w:p>
              </w:tc>
              <w:tc>
                <w:tcPr>
                  <w:tcW w:w="671" w:type="pct"/>
                  <w:vMerge w:val="restart"/>
                  <w:vAlign w:val="center"/>
                </w:tcPr>
                <w:p w14:paraId="32766B69">
                  <w:pPr>
                    <w:pStyle w:val="39"/>
                    <w:spacing w:line="276" w:lineRule="auto"/>
                    <w:rPr>
                      <w:szCs w:val="21"/>
                    </w:rPr>
                  </w:pPr>
                  <w:r>
                    <w:rPr>
                      <w:szCs w:val="21"/>
                    </w:rPr>
                    <w:t>危险废物</w:t>
                  </w:r>
                </w:p>
              </w:tc>
              <w:tc>
                <w:tcPr>
                  <w:tcW w:w="1178" w:type="pct"/>
                  <w:vAlign w:val="center"/>
                </w:tcPr>
                <w:p w14:paraId="0E6A152B">
                  <w:pPr>
                    <w:pStyle w:val="39"/>
                    <w:spacing w:line="276" w:lineRule="auto"/>
                    <w:rPr>
                      <w:szCs w:val="21"/>
                    </w:rPr>
                  </w:pPr>
                  <w:r>
                    <w:rPr>
                      <w:szCs w:val="21"/>
                    </w:rPr>
                    <w:t>HW</w:t>
                  </w:r>
                  <w:r>
                    <w:rPr>
                      <w:rFonts w:hint="eastAsia"/>
                      <w:szCs w:val="21"/>
                    </w:rPr>
                    <w:t>09</w:t>
                  </w:r>
                </w:p>
                <w:p w14:paraId="2CC183F4">
                  <w:pPr>
                    <w:pStyle w:val="39"/>
                    <w:spacing w:line="276" w:lineRule="auto"/>
                    <w:rPr>
                      <w:szCs w:val="21"/>
                    </w:rPr>
                  </w:pPr>
                  <w:r>
                    <w:rPr>
                      <w:rFonts w:hint="eastAsia"/>
                      <w:szCs w:val="21"/>
                    </w:rPr>
                    <w:t>900-007-09</w:t>
                  </w:r>
                </w:p>
              </w:tc>
              <w:tc>
                <w:tcPr>
                  <w:tcW w:w="1061" w:type="pct"/>
                  <w:vMerge w:val="restart"/>
                  <w:vAlign w:val="center"/>
                </w:tcPr>
                <w:p w14:paraId="3A8DDF6B">
                  <w:pPr>
                    <w:pStyle w:val="39"/>
                    <w:spacing w:line="276" w:lineRule="auto"/>
                    <w:rPr>
                      <w:rFonts w:ascii="宋体" w:hAnsi="宋体"/>
                      <w:szCs w:val="21"/>
                    </w:rPr>
                  </w:pPr>
                  <w:r>
                    <w:rPr>
                      <w:rFonts w:hint="eastAsia"/>
                      <w:szCs w:val="21"/>
                    </w:rPr>
                    <w:t>收集后储存于危险废物暂存间，定期交由有资质的单位处理</w:t>
                  </w:r>
                </w:p>
              </w:tc>
            </w:tr>
            <w:tr w14:paraId="046D8A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6F015652">
                  <w:pPr>
                    <w:pStyle w:val="39"/>
                    <w:spacing w:line="276" w:lineRule="auto"/>
                    <w:rPr>
                      <w:szCs w:val="21"/>
                    </w:rPr>
                  </w:pPr>
                  <w:r>
                    <w:rPr>
                      <w:rFonts w:hint="eastAsia"/>
                      <w:szCs w:val="21"/>
                    </w:rPr>
                    <w:t>7</w:t>
                  </w:r>
                </w:p>
              </w:tc>
              <w:tc>
                <w:tcPr>
                  <w:tcW w:w="988" w:type="pct"/>
                  <w:vAlign w:val="center"/>
                </w:tcPr>
                <w:p w14:paraId="1BC6B3ED">
                  <w:pPr>
                    <w:pStyle w:val="39"/>
                    <w:spacing w:line="276" w:lineRule="auto"/>
                    <w:rPr>
                      <w:szCs w:val="21"/>
                    </w:rPr>
                  </w:pPr>
                  <w:r>
                    <w:rPr>
                      <w:rFonts w:hint="eastAsia"/>
                      <w:szCs w:val="21"/>
                    </w:rPr>
                    <w:t>清洗废液和废水</w:t>
                  </w:r>
                </w:p>
              </w:tc>
              <w:tc>
                <w:tcPr>
                  <w:tcW w:w="767" w:type="pct"/>
                  <w:vAlign w:val="center"/>
                </w:tcPr>
                <w:p w14:paraId="5140D287">
                  <w:pPr>
                    <w:pStyle w:val="39"/>
                    <w:spacing w:line="276" w:lineRule="auto"/>
                    <w:rPr>
                      <w:rFonts w:hint="default" w:eastAsia="宋体"/>
                      <w:szCs w:val="21"/>
                      <w:lang w:val="en-US" w:eastAsia="zh-CN"/>
                    </w:rPr>
                  </w:pPr>
                  <w:r>
                    <w:rPr>
                      <w:rFonts w:hint="eastAsia"/>
                      <w:szCs w:val="21"/>
                      <w:lang w:val="en-US" w:eastAsia="zh-CN"/>
                    </w:rPr>
                    <w:t>35.054</w:t>
                  </w:r>
                </w:p>
              </w:tc>
              <w:tc>
                <w:tcPr>
                  <w:tcW w:w="671" w:type="pct"/>
                  <w:vMerge w:val="continue"/>
                  <w:vAlign w:val="center"/>
                </w:tcPr>
                <w:p w14:paraId="4BD686ED">
                  <w:pPr>
                    <w:pStyle w:val="39"/>
                    <w:spacing w:line="276" w:lineRule="auto"/>
                    <w:rPr>
                      <w:szCs w:val="21"/>
                    </w:rPr>
                  </w:pPr>
                </w:p>
              </w:tc>
              <w:tc>
                <w:tcPr>
                  <w:tcW w:w="1178" w:type="pct"/>
                  <w:vAlign w:val="center"/>
                </w:tcPr>
                <w:p w14:paraId="287E9A92">
                  <w:pPr>
                    <w:pStyle w:val="39"/>
                    <w:spacing w:line="276" w:lineRule="auto"/>
                    <w:rPr>
                      <w:szCs w:val="21"/>
                    </w:rPr>
                  </w:pPr>
                  <w:r>
                    <w:rPr>
                      <w:rFonts w:hint="eastAsia"/>
                      <w:szCs w:val="21"/>
                    </w:rPr>
                    <w:t>HW09</w:t>
                  </w:r>
                </w:p>
                <w:p w14:paraId="5B430D3A">
                  <w:pPr>
                    <w:pStyle w:val="39"/>
                    <w:spacing w:line="276" w:lineRule="auto"/>
                    <w:rPr>
                      <w:szCs w:val="21"/>
                    </w:rPr>
                  </w:pPr>
                  <w:r>
                    <w:rPr>
                      <w:rFonts w:hint="eastAsia"/>
                      <w:szCs w:val="21"/>
                    </w:rPr>
                    <w:t>900-007-09</w:t>
                  </w:r>
                </w:p>
              </w:tc>
              <w:tc>
                <w:tcPr>
                  <w:tcW w:w="1061" w:type="pct"/>
                  <w:vMerge w:val="continue"/>
                  <w:vAlign w:val="center"/>
                </w:tcPr>
                <w:p w14:paraId="721BBE52">
                  <w:pPr>
                    <w:pStyle w:val="39"/>
                    <w:spacing w:line="276" w:lineRule="auto"/>
                    <w:rPr>
                      <w:rFonts w:ascii="宋体" w:hAnsi="宋体"/>
                      <w:szCs w:val="21"/>
                    </w:rPr>
                  </w:pPr>
                </w:p>
              </w:tc>
            </w:tr>
            <w:tr w14:paraId="6369FD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5C5EFE51">
                  <w:pPr>
                    <w:pStyle w:val="39"/>
                    <w:spacing w:line="276" w:lineRule="auto"/>
                    <w:rPr>
                      <w:szCs w:val="21"/>
                    </w:rPr>
                  </w:pPr>
                  <w:r>
                    <w:rPr>
                      <w:rFonts w:hint="eastAsia"/>
                      <w:szCs w:val="21"/>
                    </w:rPr>
                    <w:t>8</w:t>
                  </w:r>
                </w:p>
              </w:tc>
              <w:tc>
                <w:tcPr>
                  <w:tcW w:w="988" w:type="pct"/>
                  <w:vAlign w:val="center"/>
                </w:tcPr>
                <w:p w14:paraId="5EE53777">
                  <w:pPr>
                    <w:pStyle w:val="39"/>
                    <w:spacing w:line="276" w:lineRule="auto"/>
                    <w:rPr>
                      <w:rFonts w:hAnsi="宋体"/>
                      <w:szCs w:val="21"/>
                    </w:rPr>
                  </w:pPr>
                  <w:r>
                    <w:rPr>
                      <w:rFonts w:hint="eastAsia" w:hAnsi="宋体"/>
                      <w:szCs w:val="21"/>
                    </w:rPr>
                    <w:t>废脱模剂</w:t>
                  </w:r>
                </w:p>
              </w:tc>
              <w:tc>
                <w:tcPr>
                  <w:tcW w:w="767" w:type="pct"/>
                  <w:vAlign w:val="center"/>
                </w:tcPr>
                <w:p w14:paraId="08975682">
                  <w:pPr>
                    <w:pStyle w:val="39"/>
                    <w:spacing w:line="276" w:lineRule="auto"/>
                    <w:rPr>
                      <w:szCs w:val="21"/>
                    </w:rPr>
                  </w:pPr>
                  <w:r>
                    <w:rPr>
                      <w:rFonts w:hint="eastAsia"/>
                      <w:szCs w:val="21"/>
                    </w:rPr>
                    <w:t>0.056</w:t>
                  </w:r>
                </w:p>
              </w:tc>
              <w:tc>
                <w:tcPr>
                  <w:tcW w:w="671" w:type="pct"/>
                  <w:vMerge w:val="continue"/>
                  <w:vAlign w:val="center"/>
                </w:tcPr>
                <w:p w14:paraId="391EFAB0">
                  <w:pPr>
                    <w:pStyle w:val="39"/>
                    <w:spacing w:line="276" w:lineRule="auto"/>
                    <w:rPr>
                      <w:szCs w:val="21"/>
                    </w:rPr>
                  </w:pPr>
                </w:p>
              </w:tc>
              <w:tc>
                <w:tcPr>
                  <w:tcW w:w="1178" w:type="pct"/>
                  <w:vAlign w:val="center"/>
                </w:tcPr>
                <w:p w14:paraId="2399094E">
                  <w:pPr>
                    <w:pStyle w:val="39"/>
                    <w:spacing w:line="276" w:lineRule="auto"/>
                    <w:rPr>
                      <w:szCs w:val="21"/>
                    </w:rPr>
                  </w:pPr>
                  <w:r>
                    <w:rPr>
                      <w:rFonts w:hint="eastAsia"/>
                      <w:szCs w:val="21"/>
                    </w:rPr>
                    <w:t>HW09</w:t>
                  </w:r>
                </w:p>
                <w:p w14:paraId="13E4E1AD">
                  <w:pPr>
                    <w:pStyle w:val="39"/>
                    <w:spacing w:line="276" w:lineRule="auto"/>
                    <w:rPr>
                      <w:szCs w:val="21"/>
                    </w:rPr>
                  </w:pPr>
                  <w:r>
                    <w:rPr>
                      <w:rFonts w:hint="eastAsia"/>
                      <w:szCs w:val="21"/>
                    </w:rPr>
                    <w:t>900-007-09</w:t>
                  </w:r>
                </w:p>
              </w:tc>
              <w:tc>
                <w:tcPr>
                  <w:tcW w:w="1061" w:type="pct"/>
                  <w:vMerge w:val="continue"/>
                  <w:vAlign w:val="center"/>
                </w:tcPr>
                <w:p w14:paraId="40E797CF">
                  <w:pPr>
                    <w:pStyle w:val="39"/>
                    <w:spacing w:line="276" w:lineRule="auto"/>
                    <w:rPr>
                      <w:rFonts w:ascii="宋体" w:hAnsi="宋体"/>
                      <w:szCs w:val="21"/>
                    </w:rPr>
                  </w:pPr>
                </w:p>
              </w:tc>
            </w:tr>
            <w:tr w14:paraId="111B56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1B5B7442">
                  <w:pPr>
                    <w:pStyle w:val="39"/>
                    <w:spacing w:line="276" w:lineRule="auto"/>
                    <w:rPr>
                      <w:szCs w:val="21"/>
                    </w:rPr>
                  </w:pPr>
                  <w:r>
                    <w:rPr>
                      <w:rFonts w:hint="eastAsia"/>
                      <w:szCs w:val="21"/>
                    </w:rPr>
                    <w:t>9</w:t>
                  </w:r>
                </w:p>
              </w:tc>
              <w:tc>
                <w:tcPr>
                  <w:tcW w:w="988" w:type="pct"/>
                  <w:vAlign w:val="center"/>
                </w:tcPr>
                <w:p w14:paraId="6AC3BE03">
                  <w:pPr>
                    <w:pStyle w:val="39"/>
                    <w:spacing w:line="276" w:lineRule="auto"/>
                    <w:rPr>
                      <w:rFonts w:hAnsi="宋体"/>
                      <w:szCs w:val="21"/>
                    </w:rPr>
                  </w:pPr>
                  <w:r>
                    <w:rPr>
                      <w:rFonts w:hint="eastAsia" w:hAnsi="宋体"/>
                      <w:szCs w:val="21"/>
                    </w:rPr>
                    <w:t>废胶粘剂</w:t>
                  </w:r>
                </w:p>
              </w:tc>
              <w:tc>
                <w:tcPr>
                  <w:tcW w:w="767" w:type="pct"/>
                  <w:vAlign w:val="center"/>
                </w:tcPr>
                <w:p w14:paraId="4D33DBDB">
                  <w:pPr>
                    <w:pStyle w:val="39"/>
                    <w:spacing w:line="276" w:lineRule="auto"/>
                    <w:rPr>
                      <w:szCs w:val="21"/>
                    </w:rPr>
                  </w:pPr>
                  <w:r>
                    <w:rPr>
                      <w:rFonts w:hint="eastAsia"/>
                      <w:szCs w:val="21"/>
                    </w:rPr>
                    <w:t>0.08</w:t>
                  </w:r>
                </w:p>
              </w:tc>
              <w:tc>
                <w:tcPr>
                  <w:tcW w:w="671" w:type="pct"/>
                  <w:vMerge w:val="continue"/>
                  <w:vAlign w:val="center"/>
                </w:tcPr>
                <w:p w14:paraId="69E335F3">
                  <w:pPr>
                    <w:pStyle w:val="39"/>
                    <w:spacing w:line="276" w:lineRule="auto"/>
                    <w:rPr>
                      <w:szCs w:val="21"/>
                    </w:rPr>
                  </w:pPr>
                </w:p>
              </w:tc>
              <w:tc>
                <w:tcPr>
                  <w:tcW w:w="1178" w:type="pct"/>
                  <w:vAlign w:val="center"/>
                </w:tcPr>
                <w:p w14:paraId="380438C6">
                  <w:pPr>
                    <w:pStyle w:val="39"/>
                    <w:spacing w:line="276" w:lineRule="auto"/>
                    <w:rPr>
                      <w:szCs w:val="21"/>
                    </w:rPr>
                  </w:pPr>
                  <w:r>
                    <w:rPr>
                      <w:rFonts w:hint="eastAsia"/>
                      <w:szCs w:val="21"/>
                    </w:rPr>
                    <w:t>HW09</w:t>
                  </w:r>
                </w:p>
                <w:p w14:paraId="58A37972">
                  <w:pPr>
                    <w:pStyle w:val="39"/>
                    <w:spacing w:line="276" w:lineRule="auto"/>
                    <w:rPr>
                      <w:szCs w:val="21"/>
                    </w:rPr>
                  </w:pPr>
                  <w:r>
                    <w:rPr>
                      <w:rFonts w:hint="eastAsia"/>
                      <w:szCs w:val="21"/>
                    </w:rPr>
                    <w:t>900-007-09</w:t>
                  </w:r>
                </w:p>
              </w:tc>
              <w:tc>
                <w:tcPr>
                  <w:tcW w:w="1061" w:type="pct"/>
                  <w:vMerge w:val="continue"/>
                  <w:vAlign w:val="center"/>
                </w:tcPr>
                <w:p w14:paraId="2111CCD1">
                  <w:pPr>
                    <w:pStyle w:val="39"/>
                    <w:spacing w:line="276" w:lineRule="auto"/>
                    <w:rPr>
                      <w:rFonts w:ascii="宋体" w:hAnsi="宋体"/>
                      <w:szCs w:val="21"/>
                    </w:rPr>
                  </w:pPr>
                </w:p>
              </w:tc>
            </w:tr>
            <w:tr w14:paraId="46644D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2FF359E4">
                  <w:pPr>
                    <w:pStyle w:val="39"/>
                    <w:spacing w:line="276" w:lineRule="auto"/>
                    <w:rPr>
                      <w:szCs w:val="21"/>
                    </w:rPr>
                  </w:pPr>
                  <w:r>
                    <w:rPr>
                      <w:rFonts w:hint="eastAsia"/>
                      <w:szCs w:val="21"/>
                    </w:rPr>
                    <w:t>10</w:t>
                  </w:r>
                </w:p>
              </w:tc>
              <w:tc>
                <w:tcPr>
                  <w:tcW w:w="988" w:type="pct"/>
                  <w:vAlign w:val="center"/>
                </w:tcPr>
                <w:p w14:paraId="5EF1018B">
                  <w:pPr>
                    <w:pStyle w:val="39"/>
                    <w:spacing w:line="276" w:lineRule="auto"/>
                    <w:rPr>
                      <w:rFonts w:hAnsi="宋体"/>
                      <w:szCs w:val="21"/>
                    </w:rPr>
                  </w:pPr>
                  <w:r>
                    <w:rPr>
                      <w:rFonts w:hint="eastAsia" w:hAnsi="宋体"/>
                      <w:szCs w:val="21"/>
                    </w:rPr>
                    <w:t>废包装桶</w:t>
                  </w:r>
                </w:p>
              </w:tc>
              <w:tc>
                <w:tcPr>
                  <w:tcW w:w="767" w:type="pct"/>
                  <w:vAlign w:val="center"/>
                </w:tcPr>
                <w:p w14:paraId="528DAFD0">
                  <w:pPr>
                    <w:pStyle w:val="39"/>
                    <w:spacing w:line="276" w:lineRule="auto"/>
                    <w:rPr>
                      <w:szCs w:val="21"/>
                    </w:rPr>
                  </w:pPr>
                  <w:r>
                    <w:rPr>
                      <w:rFonts w:hint="eastAsia"/>
                      <w:szCs w:val="21"/>
                    </w:rPr>
                    <w:t>5.578</w:t>
                  </w:r>
                </w:p>
              </w:tc>
              <w:tc>
                <w:tcPr>
                  <w:tcW w:w="671" w:type="pct"/>
                  <w:vMerge w:val="continue"/>
                  <w:vAlign w:val="center"/>
                </w:tcPr>
                <w:p w14:paraId="48D80FDA">
                  <w:pPr>
                    <w:pStyle w:val="39"/>
                    <w:spacing w:line="276" w:lineRule="auto"/>
                    <w:rPr>
                      <w:spacing w:val="-2"/>
                      <w:szCs w:val="21"/>
                    </w:rPr>
                  </w:pPr>
                </w:p>
              </w:tc>
              <w:tc>
                <w:tcPr>
                  <w:tcW w:w="1178" w:type="pct"/>
                  <w:vAlign w:val="center"/>
                </w:tcPr>
                <w:p w14:paraId="17539F35">
                  <w:pPr>
                    <w:pStyle w:val="39"/>
                    <w:spacing w:line="276" w:lineRule="auto"/>
                    <w:rPr>
                      <w:szCs w:val="21"/>
                    </w:rPr>
                  </w:pPr>
                  <w:r>
                    <w:rPr>
                      <w:rFonts w:hint="eastAsia"/>
                      <w:szCs w:val="21"/>
                    </w:rPr>
                    <w:t>HW49</w:t>
                  </w:r>
                </w:p>
                <w:p w14:paraId="247A4748">
                  <w:pPr>
                    <w:pStyle w:val="39"/>
                    <w:spacing w:line="276" w:lineRule="auto"/>
                    <w:rPr>
                      <w:szCs w:val="21"/>
                    </w:rPr>
                  </w:pPr>
                  <w:r>
                    <w:rPr>
                      <w:rFonts w:hint="eastAsia"/>
                      <w:szCs w:val="21"/>
                    </w:rPr>
                    <w:t>900-041-49</w:t>
                  </w:r>
                </w:p>
              </w:tc>
              <w:tc>
                <w:tcPr>
                  <w:tcW w:w="1061" w:type="pct"/>
                  <w:vMerge w:val="continue"/>
                  <w:vAlign w:val="center"/>
                </w:tcPr>
                <w:p w14:paraId="19C8B370">
                  <w:pPr>
                    <w:pStyle w:val="39"/>
                    <w:spacing w:line="276" w:lineRule="auto"/>
                    <w:rPr>
                      <w:szCs w:val="21"/>
                    </w:rPr>
                  </w:pPr>
                </w:p>
              </w:tc>
            </w:tr>
            <w:tr w14:paraId="1AF81E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23E47AE8">
                  <w:pPr>
                    <w:pStyle w:val="39"/>
                    <w:spacing w:line="276" w:lineRule="auto"/>
                    <w:rPr>
                      <w:szCs w:val="21"/>
                    </w:rPr>
                  </w:pPr>
                  <w:r>
                    <w:rPr>
                      <w:rFonts w:hint="eastAsia"/>
                      <w:szCs w:val="21"/>
                    </w:rPr>
                    <w:t>11</w:t>
                  </w:r>
                </w:p>
              </w:tc>
              <w:tc>
                <w:tcPr>
                  <w:tcW w:w="988" w:type="pct"/>
                  <w:vAlign w:val="center"/>
                </w:tcPr>
                <w:p w14:paraId="6F234BC2">
                  <w:pPr>
                    <w:pStyle w:val="39"/>
                    <w:spacing w:line="276" w:lineRule="auto"/>
                    <w:rPr>
                      <w:rFonts w:hAnsi="宋体"/>
                      <w:szCs w:val="21"/>
                    </w:rPr>
                  </w:pPr>
                  <w:r>
                    <w:rPr>
                      <w:rFonts w:hint="eastAsia" w:hAnsi="宋体"/>
                      <w:szCs w:val="21"/>
                    </w:rPr>
                    <w:t>槽渣</w:t>
                  </w:r>
                </w:p>
              </w:tc>
              <w:tc>
                <w:tcPr>
                  <w:tcW w:w="767" w:type="pct"/>
                  <w:vAlign w:val="center"/>
                </w:tcPr>
                <w:p w14:paraId="0FBE28A9">
                  <w:pPr>
                    <w:pStyle w:val="39"/>
                    <w:spacing w:line="276" w:lineRule="auto"/>
                    <w:rPr>
                      <w:szCs w:val="21"/>
                    </w:rPr>
                  </w:pPr>
                  <w:r>
                    <w:rPr>
                      <w:rFonts w:hint="eastAsia"/>
                      <w:szCs w:val="21"/>
                    </w:rPr>
                    <w:t>1.5</w:t>
                  </w:r>
                </w:p>
              </w:tc>
              <w:tc>
                <w:tcPr>
                  <w:tcW w:w="671" w:type="pct"/>
                  <w:vMerge w:val="continue"/>
                  <w:vAlign w:val="center"/>
                </w:tcPr>
                <w:p w14:paraId="1306A261">
                  <w:pPr>
                    <w:pStyle w:val="39"/>
                    <w:spacing w:line="276" w:lineRule="auto"/>
                    <w:rPr>
                      <w:spacing w:val="-2"/>
                      <w:szCs w:val="21"/>
                    </w:rPr>
                  </w:pPr>
                </w:p>
              </w:tc>
              <w:tc>
                <w:tcPr>
                  <w:tcW w:w="1178" w:type="pct"/>
                  <w:vAlign w:val="center"/>
                </w:tcPr>
                <w:p w14:paraId="42F718B2">
                  <w:pPr>
                    <w:pStyle w:val="39"/>
                    <w:spacing w:line="276" w:lineRule="auto"/>
                    <w:rPr>
                      <w:szCs w:val="21"/>
                    </w:rPr>
                  </w:pPr>
                  <w:r>
                    <w:rPr>
                      <w:rFonts w:hint="eastAsia"/>
                      <w:szCs w:val="21"/>
                    </w:rPr>
                    <w:t>HW17</w:t>
                  </w:r>
                </w:p>
                <w:p w14:paraId="7E5B0EE7">
                  <w:pPr>
                    <w:pStyle w:val="39"/>
                    <w:spacing w:line="276" w:lineRule="auto"/>
                    <w:rPr>
                      <w:szCs w:val="21"/>
                    </w:rPr>
                  </w:pPr>
                  <w:r>
                    <w:rPr>
                      <w:rFonts w:hint="eastAsia"/>
                      <w:szCs w:val="21"/>
                    </w:rPr>
                    <w:t>336-064-17</w:t>
                  </w:r>
                </w:p>
              </w:tc>
              <w:tc>
                <w:tcPr>
                  <w:tcW w:w="1061" w:type="pct"/>
                  <w:vMerge w:val="continue"/>
                  <w:vAlign w:val="center"/>
                </w:tcPr>
                <w:p w14:paraId="56F73C50">
                  <w:pPr>
                    <w:pStyle w:val="39"/>
                    <w:spacing w:line="276" w:lineRule="auto"/>
                    <w:rPr>
                      <w:rFonts w:ascii="宋体" w:hAnsi="宋体"/>
                      <w:szCs w:val="21"/>
                    </w:rPr>
                  </w:pPr>
                </w:p>
              </w:tc>
            </w:tr>
            <w:tr w14:paraId="5301D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04CA40C7">
                  <w:pPr>
                    <w:pStyle w:val="39"/>
                    <w:spacing w:line="276" w:lineRule="auto"/>
                    <w:rPr>
                      <w:szCs w:val="21"/>
                    </w:rPr>
                  </w:pPr>
                  <w:r>
                    <w:rPr>
                      <w:rFonts w:hint="eastAsia"/>
                      <w:szCs w:val="21"/>
                    </w:rPr>
                    <w:t>12</w:t>
                  </w:r>
                </w:p>
              </w:tc>
              <w:tc>
                <w:tcPr>
                  <w:tcW w:w="988" w:type="pct"/>
                  <w:vAlign w:val="center"/>
                </w:tcPr>
                <w:p w14:paraId="366C9294">
                  <w:pPr>
                    <w:pStyle w:val="39"/>
                    <w:spacing w:line="276" w:lineRule="auto"/>
                    <w:rPr>
                      <w:rFonts w:hAnsi="宋体"/>
                      <w:szCs w:val="21"/>
                    </w:rPr>
                  </w:pPr>
                  <w:r>
                    <w:rPr>
                      <w:rFonts w:hint="eastAsia" w:hAnsi="宋体"/>
                      <w:szCs w:val="21"/>
                    </w:rPr>
                    <w:t>废机油</w:t>
                  </w:r>
                </w:p>
              </w:tc>
              <w:tc>
                <w:tcPr>
                  <w:tcW w:w="767" w:type="pct"/>
                  <w:vAlign w:val="center"/>
                </w:tcPr>
                <w:p w14:paraId="65D7A1D3">
                  <w:pPr>
                    <w:pStyle w:val="39"/>
                    <w:spacing w:line="276" w:lineRule="auto"/>
                    <w:rPr>
                      <w:szCs w:val="21"/>
                    </w:rPr>
                  </w:pPr>
                  <w:r>
                    <w:rPr>
                      <w:rFonts w:hint="eastAsia"/>
                      <w:szCs w:val="21"/>
                    </w:rPr>
                    <w:t>0.5</w:t>
                  </w:r>
                </w:p>
              </w:tc>
              <w:tc>
                <w:tcPr>
                  <w:tcW w:w="671" w:type="pct"/>
                  <w:vMerge w:val="continue"/>
                  <w:vAlign w:val="center"/>
                </w:tcPr>
                <w:p w14:paraId="268E85B4">
                  <w:pPr>
                    <w:pStyle w:val="39"/>
                    <w:spacing w:line="276" w:lineRule="auto"/>
                    <w:rPr>
                      <w:spacing w:val="-2"/>
                      <w:szCs w:val="21"/>
                    </w:rPr>
                  </w:pPr>
                </w:p>
              </w:tc>
              <w:tc>
                <w:tcPr>
                  <w:tcW w:w="1178" w:type="pct"/>
                  <w:vAlign w:val="center"/>
                </w:tcPr>
                <w:p w14:paraId="348551EA">
                  <w:pPr>
                    <w:pStyle w:val="39"/>
                    <w:spacing w:line="276" w:lineRule="auto"/>
                    <w:rPr>
                      <w:szCs w:val="21"/>
                    </w:rPr>
                  </w:pPr>
                  <w:r>
                    <w:rPr>
                      <w:rFonts w:hint="eastAsia"/>
                      <w:szCs w:val="21"/>
                    </w:rPr>
                    <w:t>HW08</w:t>
                  </w:r>
                </w:p>
                <w:p w14:paraId="041F4DB9">
                  <w:pPr>
                    <w:spacing w:line="276" w:lineRule="auto"/>
                    <w:jc w:val="center"/>
                  </w:pPr>
                  <w:r>
                    <w:rPr>
                      <w:rFonts w:hint="eastAsia"/>
                      <w:kern w:val="2"/>
                      <w:sz w:val="21"/>
                      <w:szCs w:val="21"/>
                    </w:rPr>
                    <w:t>900-214-08</w:t>
                  </w:r>
                </w:p>
              </w:tc>
              <w:tc>
                <w:tcPr>
                  <w:tcW w:w="1061" w:type="pct"/>
                  <w:vMerge w:val="continue"/>
                  <w:vAlign w:val="center"/>
                </w:tcPr>
                <w:p w14:paraId="50F74773">
                  <w:pPr>
                    <w:pStyle w:val="39"/>
                    <w:spacing w:line="276" w:lineRule="auto"/>
                    <w:rPr>
                      <w:rFonts w:ascii="宋体" w:hAnsi="宋体"/>
                      <w:szCs w:val="21"/>
                    </w:rPr>
                  </w:pPr>
                </w:p>
              </w:tc>
            </w:tr>
            <w:tr w14:paraId="69EB60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7D6749E9">
                  <w:pPr>
                    <w:pStyle w:val="39"/>
                    <w:spacing w:line="276" w:lineRule="auto"/>
                    <w:rPr>
                      <w:szCs w:val="21"/>
                    </w:rPr>
                  </w:pPr>
                  <w:r>
                    <w:rPr>
                      <w:rFonts w:hint="eastAsia"/>
                      <w:szCs w:val="21"/>
                    </w:rPr>
                    <w:t>13</w:t>
                  </w:r>
                </w:p>
              </w:tc>
              <w:tc>
                <w:tcPr>
                  <w:tcW w:w="988" w:type="pct"/>
                  <w:vAlign w:val="center"/>
                </w:tcPr>
                <w:p w14:paraId="6DCCE6A4">
                  <w:pPr>
                    <w:pStyle w:val="39"/>
                    <w:spacing w:line="276" w:lineRule="auto"/>
                    <w:rPr>
                      <w:rFonts w:hAnsi="宋体"/>
                      <w:szCs w:val="21"/>
                    </w:rPr>
                  </w:pPr>
                  <w:r>
                    <w:rPr>
                      <w:rFonts w:hint="eastAsia" w:hAnsi="宋体"/>
                      <w:szCs w:val="21"/>
                    </w:rPr>
                    <w:t>废机油桶</w:t>
                  </w:r>
                </w:p>
              </w:tc>
              <w:tc>
                <w:tcPr>
                  <w:tcW w:w="767" w:type="pct"/>
                  <w:vAlign w:val="center"/>
                </w:tcPr>
                <w:p w14:paraId="44C9834C">
                  <w:pPr>
                    <w:pStyle w:val="39"/>
                    <w:spacing w:line="276" w:lineRule="auto"/>
                    <w:rPr>
                      <w:szCs w:val="21"/>
                    </w:rPr>
                  </w:pPr>
                  <w:r>
                    <w:rPr>
                      <w:rFonts w:hint="eastAsia"/>
                      <w:szCs w:val="21"/>
                    </w:rPr>
                    <w:t>0.06</w:t>
                  </w:r>
                </w:p>
              </w:tc>
              <w:tc>
                <w:tcPr>
                  <w:tcW w:w="671" w:type="pct"/>
                  <w:vMerge w:val="continue"/>
                  <w:vAlign w:val="center"/>
                </w:tcPr>
                <w:p w14:paraId="389E7F9A">
                  <w:pPr>
                    <w:pStyle w:val="39"/>
                    <w:spacing w:line="276" w:lineRule="auto"/>
                    <w:rPr>
                      <w:spacing w:val="-2"/>
                      <w:szCs w:val="21"/>
                    </w:rPr>
                  </w:pPr>
                </w:p>
              </w:tc>
              <w:tc>
                <w:tcPr>
                  <w:tcW w:w="1178" w:type="pct"/>
                  <w:vAlign w:val="center"/>
                </w:tcPr>
                <w:p w14:paraId="420A4032">
                  <w:pPr>
                    <w:pStyle w:val="39"/>
                    <w:spacing w:line="276" w:lineRule="auto"/>
                    <w:rPr>
                      <w:szCs w:val="21"/>
                    </w:rPr>
                  </w:pPr>
                  <w:r>
                    <w:rPr>
                      <w:rFonts w:hint="eastAsia"/>
                      <w:szCs w:val="21"/>
                    </w:rPr>
                    <w:t>HW08</w:t>
                  </w:r>
                </w:p>
                <w:p w14:paraId="3A696F18">
                  <w:pPr>
                    <w:pStyle w:val="39"/>
                    <w:spacing w:line="276" w:lineRule="auto"/>
                    <w:rPr>
                      <w:szCs w:val="21"/>
                    </w:rPr>
                  </w:pPr>
                  <w:r>
                    <w:rPr>
                      <w:rFonts w:hint="eastAsia"/>
                      <w:szCs w:val="21"/>
                    </w:rPr>
                    <w:t>900-249-08</w:t>
                  </w:r>
                </w:p>
              </w:tc>
              <w:tc>
                <w:tcPr>
                  <w:tcW w:w="1061" w:type="pct"/>
                  <w:vMerge w:val="continue"/>
                  <w:vAlign w:val="center"/>
                </w:tcPr>
                <w:p w14:paraId="5A41D01D">
                  <w:pPr>
                    <w:pStyle w:val="39"/>
                    <w:spacing w:line="276" w:lineRule="auto"/>
                    <w:rPr>
                      <w:rFonts w:ascii="宋体" w:hAnsi="宋体"/>
                      <w:szCs w:val="21"/>
                    </w:rPr>
                  </w:pPr>
                </w:p>
              </w:tc>
            </w:tr>
            <w:tr w14:paraId="3434EC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7690ED97">
                  <w:pPr>
                    <w:pStyle w:val="39"/>
                    <w:spacing w:line="276" w:lineRule="auto"/>
                    <w:rPr>
                      <w:szCs w:val="21"/>
                    </w:rPr>
                  </w:pPr>
                  <w:r>
                    <w:rPr>
                      <w:rFonts w:hint="eastAsia"/>
                      <w:szCs w:val="21"/>
                    </w:rPr>
                    <w:t>14</w:t>
                  </w:r>
                </w:p>
              </w:tc>
              <w:tc>
                <w:tcPr>
                  <w:tcW w:w="988" w:type="pct"/>
                  <w:vAlign w:val="center"/>
                </w:tcPr>
                <w:p w14:paraId="529847EE">
                  <w:pPr>
                    <w:pStyle w:val="39"/>
                    <w:spacing w:line="276" w:lineRule="auto"/>
                    <w:rPr>
                      <w:rFonts w:hAnsi="宋体"/>
                      <w:szCs w:val="21"/>
                    </w:rPr>
                  </w:pPr>
                  <w:r>
                    <w:rPr>
                      <w:rFonts w:hint="eastAsia" w:hAnsi="宋体"/>
                      <w:szCs w:val="21"/>
                    </w:rPr>
                    <w:t>含油抹布</w:t>
                  </w:r>
                </w:p>
              </w:tc>
              <w:tc>
                <w:tcPr>
                  <w:tcW w:w="767" w:type="pct"/>
                  <w:vAlign w:val="center"/>
                </w:tcPr>
                <w:p w14:paraId="4545B30F">
                  <w:pPr>
                    <w:pStyle w:val="39"/>
                    <w:spacing w:line="276" w:lineRule="auto"/>
                    <w:rPr>
                      <w:szCs w:val="21"/>
                    </w:rPr>
                  </w:pPr>
                  <w:r>
                    <w:rPr>
                      <w:rFonts w:hint="eastAsia"/>
                      <w:szCs w:val="21"/>
                    </w:rPr>
                    <w:t>0.05</w:t>
                  </w:r>
                </w:p>
              </w:tc>
              <w:tc>
                <w:tcPr>
                  <w:tcW w:w="671" w:type="pct"/>
                  <w:vMerge w:val="continue"/>
                  <w:vAlign w:val="center"/>
                </w:tcPr>
                <w:p w14:paraId="4AA8E373">
                  <w:pPr>
                    <w:pStyle w:val="39"/>
                    <w:spacing w:line="276" w:lineRule="auto"/>
                    <w:rPr>
                      <w:spacing w:val="-2"/>
                      <w:szCs w:val="21"/>
                    </w:rPr>
                  </w:pPr>
                </w:p>
              </w:tc>
              <w:tc>
                <w:tcPr>
                  <w:tcW w:w="1178" w:type="pct"/>
                  <w:vAlign w:val="center"/>
                </w:tcPr>
                <w:p w14:paraId="237401D5">
                  <w:pPr>
                    <w:pStyle w:val="39"/>
                    <w:spacing w:line="276" w:lineRule="auto"/>
                    <w:rPr>
                      <w:szCs w:val="21"/>
                    </w:rPr>
                  </w:pPr>
                  <w:r>
                    <w:rPr>
                      <w:rFonts w:hint="eastAsia"/>
                      <w:szCs w:val="21"/>
                    </w:rPr>
                    <w:t>HW49</w:t>
                  </w:r>
                </w:p>
                <w:p w14:paraId="131288B1">
                  <w:pPr>
                    <w:pStyle w:val="39"/>
                    <w:spacing w:line="276" w:lineRule="auto"/>
                    <w:rPr>
                      <w:szCs w:val="21"/>
                    </w:rPr>
                  </w:pPr>
                  <w:r>
                    <w:rPr>
                      <w:rFonts w:hint="eastAsia"/>
                      <w:szCs w:val="21"/>
                    </w:rPr>
                    <w:t>900-041-49</w:t>
                  </w:r>
                </w:p>
              </w:tc>
              <w:tc>
                <w:tcPr>
                  <w:tcW w:w="1061" w:type="pct"/>
                  <w:vMerge w:val="continue"/>
                  <w:vAlign w:val="center"/>
                </w:tcPr>
                <w:p w14:paraId="01038AC1">
                  <w:pPr>
                    <w:pStyle w:val="39"/>
                    <w:spacing w:line="276" w:lineRule="auto"/>
                    <w:rPr>
                      <w:rFonts w:ascii="宋体" w:hAnsi="宋体"/>
                      <w:szCs w:val="21"/>
                    </w:rPr>
                  </w:pPr>
                </w:p>
              </w:tc>
            </w:tr>
            <w:tr w14:paraId="2AFCFC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523" w:type="dxa"/>
                  <w:vAlign w:val="center"/>
                </w:tcPr>
                <w:p w14:paraId="1FDAB976">
                  <w:pPr>
                    <w:pStyle w:val="39"/>
                    <w:spacing w:line="276" w:lineRule="auto"/>
                    <w:rPr>
                      <w:szCs w:val="21"/>
                    </w:rPr>
                  </w:pPr>
                  <w:r>
                    <w:rPr>
                      <w:rFonts w:hint="eastAsia"/>
                      <w:szCs w:val="21"/>
                    </w:rPr>
                    <w:t>15</w:t>
                  </w:r>
                </w:p>
              </w:tc>
              <w:tc>
                <w:tcPr>
                  <w:tcW w:w="988" w:type="pct"/>
                  <w:vAlign w:val="center"/>
                </w:tcPr>
                <w:p w14:paraId="0B37E6BD">
                  <w:pPr>
                    <w:pStyle w:val="39"/>
                    <w:spacing w:line="276" w:lineRule="auto"/>
                    <w:rPr>
                      <w:rFonts w:hAnsi="宋体"/>
                      <w:szCs w:val="21"/>
                    </w:rPr>
                  </w:pPr>
                  <w:r>
                    <w:rPr>
                      <w:rFonts w:hint="eastAsia" w:hAnsi="宋体"/>
                      <w:szCs w:val="21"/>
                    </w:rPr>
                    <w:t>废活性炭</w:t>
                  </w:r>
                </w:p>
              </w:tc>
              <w:tc>
                <w:tcPr>
                  <w:tcW w:w="767" w:type="pct"/>
                  <w:vAlign w:val="center"/>
                </w:tcPr>
                <w:p w14:paraId="235C0520">
                  <w:pPr>
                    <w:pStyle w:val="39"/>
                    <w:spacing w:line="276" w:lineRule="auto"/>
                    <w:rPr>
                      <w:rFonts w:hint="default" w:eastAsia="宋体"/>
                      <w:szCs w:val="21"/>
                      <w:lang w:val="en-US" w:eastAsia="zh-CN"/>
                    </w:rPr>
                  </w:pPr>
                  <w:r>
                    <w:rPr>
                      <w:rFonts w:hint="eastAsia"/>
                      <w:szCs w:val="21"/>
                      <w:lang w:val="en-US" w:eastAsia="zh-CN"/>
                    </w:rPr>
                    <w:t>31.495</w:t>
                  </w:r>
                </w:p>
              </w:tc>
              <w:tc>
                <w:tcPr>
                  <w:tcW w:w="671" w:type="pct"/>
                  <w:vMerge w:val="continue"/>
                  <w:vAlign w:val="center"/>
                </w:tcPr>
                <w:p w14:paraId="3A59420E">
                  <w:pPr>
                    <w:pStyle w:val="39"/>
                    <w:spacing w:line="276" w:lineRule="auto"/>
                    <w:rPr>
                      <w:spacing w:val="-2"/>
                      <w:szCs w:val="21"/>
                    </w:rPr>
                  </w:pPr>
                </w:p>
              </w:tc>
              <w:tc>
                <w:tcPr>
                  <w:tcW w:w="1178" w:type="pct"/>
                  <w:vAlign w:val="center"/>
                </w:tcPr>
                <w:p w14:paraId="5B29ABC3">
                  <w:pPr>
                    <w:pStyle w:val="39"/>
                    <w:spacing w:line="276" w:lineRule="auto"/>
                    <w:rPr>
                      <w:szCs w:val="21"/>
                    </w:rPr>
                  </w:pPr>
                  <w:r>
                    <w:rPr>
                      <w:rFonts w:hint="eastAsia"/>
                      <w:szCs w:val="21"/>
                    </w:rPr>
                    <w:t>HW49</w:t>
                  </w:r>
                </w:p>
                <w:p w14:paraId="096A0B4F">
                  <w:pPr>
                    <w:pStyle w:val="39"/>
                    <w:spacing w:line="276" w:lineRule="auto"/>
                    <w:rPr>
                      <w:szCs w:val="21"/>
                    </w:rPr>
                  </w:pPr>
                  <w:r>
                    <w:rPr>
                      <w:rFonts w:hint="eastAsia"/>
                      <w:szCs w:val="21"/>
                    </w:rPr>
                    <w:t>900-039-49</w:t>
                  </w:r>
                </w:p>
              </w:tc>
              <w:tc>
                <w:tcPr>
                  <w:tcW w:w="1061" w:type="pct"/>
                  <w:vMerge w:val="continue"/>
                  <w:vAlign w:val="center"/>
                </w:tcPr>
                <w:p w14:paraId="35F9660F">
                  <w:pPr>
                    <w:pStyle w:val="39"/>
                    <w:spacing w:line="276" w:lineRule="auto"/>
                    <w:rPr>
                      <w:rFonts w:ascii="宋体" w:hAnsi="宋体"/>
                      <w:szCs w:val="21"/>
                    </w:rPr>
                  </w:pPr>
                </w:p>
              </w:tc>
            </w:tr>
            <w:tr w14:paraId="67A065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33" w:type="pct"/>
                  <w:vAlign w:val="center"/>
                </w:tcPr>
                <w:p w14:paraId="46B9FC71">
                  <w:pPr>
                    <w:pStyle w:val="39"/>
                    <w:spacing w:line="276" w:lineRule="auto"/>
                    <w:rPr>
                      <w:szCs w:val="21"/>
                    </w:rPr>
                  </w:pPr>
                  <w:r>
                    <w:rPr>
                      <w:rFonts w:hint="eastAsia"/>
                      <w:szCs w:val="21"/>
                    </w:rPr>
                    <w:t>16</w:t>
                  </w:r>
                </w:p>
              </w:tc>
              <w:tc>
                <w:tcPr>
                  <w:tcW w:w="988" w:type="pct"/>
                  <w:vAlign w:val="center"/>
                </w:tcPr>
                <w:p w14:paraId="7603C1BF">
                  <w:pPr>
                    <w:pStyle w:val="39"/>
                    <w:spacing w:line="276" w:lineRule="auto"/>
                    <w:rPr>
                      <w:szCs w:val="21"/>
                    </w:rPr>
                  </w:pPr>
                  <w:r>
                    <w:rPr>
                      <w:rFonts w:hAnsi="宋体"/>
                      <w:szCs w:val="21"/>
                    </w:rPr>
                    <w:t>生活垃圾</w:t>
                  </w:r>
                </w:p>
              </w:tc>
              <w:tc>
                <w:tcPr>
                  <w:tcW w:w="767" w:type="pct"/>
                  <w:vAlign w:val="center"/>
                </w:tcPr>
                <w:p w14:paraId="0F28E541">
                  <w:pPr>
                    <w:pStyle w:val="39"/>
                    <w:spacing w:line="276" w:lineRule="auto"/>
                    <w:rPr>
                      <w:szCs w:val="21"/>
                    </w:rPr>
                  </w:pPr>
                  <w:r>
                    <w:rPr>
                      <w:rFonts w:hint="eastAsia"/>
                      <w:szCs w:val="21"/>
                    </w:rPr>
                    <w:t>18.72</w:t>
                  </w:r>
                </w:p>
              </w:tc>
              <w:tc>
                <w:tcPr>
                  <w:tcW w:w="671" w:type="pct"/>
                  <w:vAlign w:val="center"/>
                </w:tcPr>
                <w:p w14:paraId="58BA54D0">
                  <w:pPr>
                    <w:pStyle w:val="39"/>
                    <w:spacing w:line="276" w:lineRule="auto"/>
                    <w:rPr>
                      <w:szCs w:val="21"/>
                    </w:rPr>
                  </w:pPr>
                  <w:r>
                    <w:rPr>
                      <w:rFonts w:hint="eastAsia"/>
                      <w:szCs w:val="21"/>
                    </w:rPr>
                    <w:t>/</w:t>
                  </w:r>
                </w:p>
              </w:tc>
              <w:tc>
                <w:tcPr>
                  <w:tcW w:w="1178" w:type="pct"/>
                  <w:vAlign w:val="center"/>
                </w:tcPr>
                <w:p w14:paraId="2F92D2C4">
                  <w:pPr>
                    <w:pStyle w:val="39"/>
                    <w:spacing w:line="276" w:lineRule="auto"/>
                    <w:rPr>
                      <w:szCs w:val="21"/>
                    </w:rPr>
                  </w:pPr>
                  <w:r>
                    <w:rPr>
                      <w:szCs w:val="21"/>
                    </w:rPr>
                    <w:t>/</w:t>
                  </w:r>
                </w:p>
              </w:tc>
              <w:tc>
                <w:tcPr>
                  <w:tcW w:w="1061" w:type="pct"/>
                  <w:vAlign w:val="center"/>
                </w:tcPr>
                <w:p w14:paraId="359C0DCC">
                  <w:pPr>
                    <w:pStyle w:val="39"/>
                    <w:spacing w:line="276" w:lineRule="auto"/>
                    <w:rPr>
                      <w:szCs w:val="21"/>
                    </w:rPr>
                  </w:pPr>
                  <w:r>
                    <w:rPr>
                      <w:rFonts w:hint="eastAsia"/>
                      <w:szCs w:val="21"/>
                    </w:rPr>
                    <w:t>收集后由环卫部门清运</w:t>
                  </w:r>
                </w:p>
              </w:tc>
            </w:tr>
          </w:tbl>
          <w:p w14:paraId="4F739C10">
            <w:pPr>
              <w:spacing w:line="360" w:lineRule="auto"/>
              <w:ind w:firstLine="480" w:firstLineChars="200"/>
              <w:rPr>
                <w:rFonts w:hAnsi="宋体"/>
              </w:rPr>
            </w:pPr>
            <w:r>
              <w:rPr>
                <w:rFonts w:hint="eastAsia"/>
              </w:rPr>
              <w:t>（2）</w:t>
            </w:r>
            <w:r>
              <w:rPr>
                <w:rFonts w:hAnsi="宋体"/>
              </w:rPr>
              <w:t>运营期固废环境保护措施</w:t>
            </w:r>
          </w:p>
          <w:p w14:paraId="3B261776">
            <w:pPr>
              <w:spacing w:line="360" w:lineRule="auto"/>
              <w:ind w:firstLine="480" w:firstLineChars="200"/>
              <w:rPr>
                <w:rFonts w:hAnsi="宋体"/>
              </w:rPr>
            </w:pPr>
            <w:r>
              <w:rPr>
                <w:rFonts w:hint="eastAsia" w:hAnsi="宋体"/>
              </w:rPr>
              <w:t>①</w:t>
            </w:r>
            <w:r>
              <w:rPr>
                <w:rFonts w:hAnsi="宋体"/>
              </w:rPr>
              <w:t>贮存场所（设施）污染防治设施</w:t>
            </w:r>
          </w:p>
          <w:p w14:paraId="28803DAB">
            <w:pPr>
              <w:spacing w:line="360" w:lineRule="auto"/>
              <w:ind w:firstLine="480" w:firstLineChars="200"/>
              <w:rPr>
                <w:rFonts w:hAnsi="宋体"/>
                <w:color w:val="FF0000"/>
              </w:rPr>
            </w:pPr>
            <w:r>
              <w:rPr>
                <w:rFonts w:hAnsi="宋体"/>
              </w:rPr>
              <w:t>所有纳入危险废物范畴的固体废物在企业内的存放地设置符合《危险废物贮存污染控制标准》（GB18597-20</w:t>
            </w:r>
            <w:r>
              <w:rPr>
                <w:rFonts w:hint="eastAsia" w:hAnsi="宋体"/>
              </w:rPr>
              <w:t>23</w:t>
            </w:r>
            <w:r>
              <w:rPr>
                <w:rFonts w:hAnsi="宋体"/>
              </w:rPr>
              <w:t>）的专用标志。危险废物必须使用专用的容器贮存，除非在常温常压下不水解、不挥发的固体危险废物可在贮存设施内分别堆放。贮存容器应有明显标志，并且标明废物的特性，是否具有耐腐蚀、与所贮存的废物发生反应等特性。贮存场所严格按照“四防”（防风、防雨、防晒、防渗漏）要求进行设置，有集排水设施且贮存场所符合消防要求，贮存场所内采用安全照明设施，并设置观察窗口。</w:t>
            </w:r>
          </w:p>
          <w:p w14:paraId="0272E85A">
            <w:pPr>
              <w:spacing w:line="360" w:lineRule="auto"/>
              <w:ind w:firstLine="480" w:firstLineChars="200"/>
              <w:rPr>
                <w:rFonts w:hAnsi="宋体"/>
              </w:rPr>
            </w:pPr>
            <w:r>
              <w:rPr>
                <w:rFonts w:hAnsi="宋体"/>
              </w:rPr>
              <w:t>1</w:t>
            </w:r>
            <w:r>
              <w:rPr>
                <w:rFonts w:hint="eastAsia" w:hAnsi="宋体"/>
              </w:rPr>
              <w:t>）一般固废暂存场所</w:t>
            </w:r>
          </w:p>
          <w:p w14:paraId="3A26A5BC">
            <w:pPr>
              <w:spacing w:line="360" w:lineRule="auto"/>
              <w:ind w:firstLine="480" w:firstLineChars="200"/>
              <w:rPr>
                <w:rFonts w:hAnsi="宋体"/>
              </w:rPr>
            </w:pPr>
            <w:r>
              <w:rPr>
                <w:rFonts w:hint="eastAsia" w:hAnsi="宋体"/>
              </w:rPr>
              <w:t>项目在2楼北侧设置一座一般固废暂存间，占地约面积50m</w:t>
            </w:r>
            <w:r>
              <w:rPr>
                <w:rFonts w:hAnsi="宋体"/>
                <w:vertAlign w:val="superscript"/>
              </w:rPr>
              <w:t>2</w:t>
            </w:r>
            <w:r>
              <w:rPr>
                <w:rFonts w:hint="eastAsia" w:hAnsi="宋体"/>
              </w:rPr>
              <w:t>。厂区的一般工业固体废物暂存间应参照《一般工业固体废物贮存和填埋污染控制标准》（</w:t>
            </w:r>
            <w:r>
              <w:rPr>
                <w:rFonts w:hAnsi="宋体"/>
              </w:rPr>
              <w:t>GB18599-2020</w:t>
            </w:r>
            <w:r>
              <w:rPr>
                <w:rFonts w:hint="eastAsia" w:hAnsi="宋体"/>
              </w:rPr>
              <w:t>）中的要求规范化建设，应满足以下要求：</w:t>
            </w:r>
          </w:p>
          <w:p w14:paraId="14D468CC">
            <w:pPr>
              <w:spacing w:line="360" w:lineRule="auto"/>
              <w:ind w:firstLine="480" w:firstLineChars="200"/>
              <w:rPr>
                <w:rFonts w:hAnsi="宋体"/>
              </w:rPr>
            </w:pPr>
            <w:r>
              <w:rPr>
                <w:rFonts w:hint="eastAsia" w:hAnsi="宋体"/>
              </w:rPr>
              <w:t>a、应选在防渗性能好的地基上，天然基础层地表距地下水位的距离不得小于</w:t>
            </w:r>
            <w:r>
              <w:rPr>
                <w:rFonts w:hAnsi="宋体"/>
              </w:rPr>
              <w:t>1.5m</w:t>
            </w:r>
            <w:r>
              <w:rPr>
                <w:rFonts w:hint="eastAsia" w:hAnsi="宋体"/>
              </w:rPr>
              <w:t>，四周应建有围墙，防止固废流失以及造成粉尘污染；</w:t>
            </w:r>
          </w:p>
          <w:p w14:paraId="7093A0CA">
            <w:pPr>
              <w:spacing w:line="360" w:lineRule="auto"/>
              <w:ind w:firstLine="480" w:firstLineChars="200"/>
              <w:rPr>
                <w:rFonts w:hAnsi="宋体"/>
              </w:rPr>
            </w:pPr>
            <w:r>
              <w:rPr>
                <w:rFonts w:hint="eastAsia" w:hAnsi="宋体"/>
              </w:rPr>
              <w:t>b、应建有防雨淋、防渗透措施，地面进行硬化，满足防雨淋、防渗透要求；</w:t>
            </w:r>
          </w:p>
          <w:p w14:paraId="01A42EF4">
            <w:pPr>
              <w:spacing w:line="360" w:lineRule="auto"/>
              <w:ind w:firstLine="480" w:firstLineChars="200"/>
              <w:rPr>
                <w:rFonts w:hAnsi="宋体"/>
              </w:rPr>
            </w:pPr>
            <w:r>
              <w:rPr>
                <w:rFonts w:hint="eastAsia" w:hAnsi="宋体"/>
              </w:rPr>
              <w:t>c、为了便于管理，临时堆放场应按</w:t>
            </w:r>
            <w:r>
              <w:rPr>
                <w:rFonts w:hAnsi="宋体"/>
              </w:rPr>
              <w:t>GB15562.2-1995</w:t>
            </w:r>
            <w:r>
              <w:rPr>
                <w:rFonts w:hint="eastAsia" w:hAnsi="宋体"/>
              </w:rPr>
              <w:t>《环境保护图形标识—固体废物贮存（处置）场》设置环境保护图形标志；</w:t>
            </w:r>
          </w:p>
          <w:p w14:paraId="30B9229B">
            <w:pPr>
              <w:spacing w:line="360" w:lineRule="auto"/>
              <w:ind w:firstLine="480" w:firstLineChars="200"/>
              <w:rPr>
                <w:rFonts w:hAnsi="宋体"/>
                <w:color w:val="FF0000"/>
              </w:rPr>
            </w:pPr>
            <w:r>
              <w:rPr>
                <w:rFonts w:hint="eastAsia" w:hAnsi="宋体"/>
              </w:rPr>
              <w:t>d、一般工业固体废物暂存间禁止危险废物和生活垃圾混入。</w:t>
            </w:r>
          </w:p>
          <w:p w14:paraId="7B2BD11F">
            <w:pPr>
              <w:spacing w:line="360" w:lineRule="auto"/>
              <w:ind w:firstLine="480" w:firstLineChars="200"/>
              <w:rPr>
                <w:rFonts w:hAnsi="宋体"/>
              </w:rPr>
            </w:pPr>
            <w:r>
              <w:rPr>
                <w:rFonts w:hint="eastAsia" w:hAnsi="宋体"/>
              </w:rPr>
              <w:t>2）</w:t>
            </w:r>
            <w:r>
              <w:rPr>
                <w:rFonts w:hAnsi="宋体"/>
              </w:rPr>
              <w:t>危险废物暂存场所</w:t>
            </w:r>
          </w:p>
          <w:p w14:paraId="1650AF54">
            <w:pPr>
              <w:spacing w:line="360" w:lineRule="auto"/>
              <w:ind w:firstLine="480" w:firstLineChars="200"/>
              <w:rPr>
                <w:rFonts w:hAnsi="宋体"/>
              </w:rPr>
            </w:pPr>
            <w:r>
              <w:rPr>
                <w:rFonts w:hint="eastAsia" w:hAnsi="宋体"/>
              </w:rPr>
              <w:t>项目拟在2楼北侧新建</w:t>
            </w:r>
            <w:r>
              <w:rPr>
                <w:rFonts w:hAnsi="宋体"/>
              </w:rPr>
              <w:t>1</w:t>
            </w:r>
            <w:r>
              <w:rPr>
                <w:rFonts w:hint="eastAsia" w:hAnsi="宋体"/>
              </w:rPr>
              <w:t>个危险废物暂存间，总占地面积50m</w:t>
            </w:r>
            <w:r>
              <w:rPr>
                <w:rFonts w:hAnsi="宋体"/>
                <w:vertAlign w:val="superscript"/>
              </w:rPr>
              <w:t>2</w:t>
            </w:r>
            <w:r>
              <w:rPr>
                <w:rFonts w:hint="eastAsia" w:hAnsi="宋体"/>
              </w:rPr>
              <w:t>。厂区的危险废物暂存间应根据</w:t>
            </w:r>
            <w:r>
              <w:rPr>
                <w:rFonts w:hAnsi="宋体"/>
              </w:rPr>
              <w:t>危险废物贮存污染控制标准》（GB18597-20</w:t>
            </w:r>
            <w:r>
              <w:rPr>
                <w:rFonts w:hint="eastAsia" w:hAnsi="宋体"/>
              </w:rPr>
              <w:t>23</w:t>
            </w:r>
            <w:r>
              <w:rPr>
                <w:rFonts w:hAnsi="宋体"/>
              </w:rPr>
              <w:t>）</w:t>
            </w:r>
            <w:r>
              <w:rPr>
                <w:rFonts w:hint="eastAsia" w:hAnsi="宋体"/>
              </w:rPr>
              <w:t>中的要求规范化建设，应满足以下要求：</w:t>
            </w:r>
          </w:p>
          <w:p w14:paraId="2A533679">
            <w:pPr>
              <w:spacing w:line="360" w:lineRule="auto"/>
              <w:ind w:firstLine="480" w:firstLineChars="200"/>
              <w:rPr>
                <w:rFonts w:hAnsi="宋体"/>
              </w:rPr>
            </w:pPr>
            <w:r>
              <w:rPr>
                <w:rFonts w:hAnsi="宋体"/>
              </w:rPr>
              <w:t>a</w:t>
            </w:r>
            <w:r>
              <w:rPr>
                <w:rFonts w:hint="eastAsia" w:hAnsi="宋体"/>
              </w:rPr>
              <w:t>.</w:t>
            </w:r>
            <w:r>
              <w:rPr>
                <w:rFonts w:hAnsi="宋体"/>
              </w:rPr>
              <w:t>库房内部各类危废划区堆放；应有隔离设施、报警装置和防风、防晒、防雨设施。</w:t>
            </w:r>
          </w:p>
          <w:p w14:paraId="6C45F74E">
            <w:pPr>
              <w:spacing w:line="360" w:lineRule="auto"/>
              <w:ind w:firstLine="480" w:firstLineChars="200"/>
              <w:rPr>
                <w:rFonts w:hAnsi="宋体"/>
              </w:rPr>
            </w:pPr>
            <w:r>
              <w:rPr>
                <w:rFonts w:hAnsi="宋体"/>
              </w:rPr>
              <w:t>b</w:t>
            </w:r>
            <w:r>
              <w:rPr>
                <w:rFonts w:hint="eastAsia" w:hAnsi="宋体"/>
              </w:rPr>
              <w:t>.</w:t>
            </w:r>
            <w:r>
              <w:rPr>
                <w:rFonts w:hAnsi="宋体"/>
              </w:rPr>
              <w:t>各类危废干湿分区，不同化学属性的存放区采用实体墙隔离，不同种类危废存放区域贴/挂</w:t>
            </w:r>
            <w:r>
              <w:rPr>
                <w:rFonts w:hint="eastAsia" w:hAnsi="宋体"/>
              </w:rPr>
              <w:t>标识</w:t>
            </w:r>
            <w:r>
              <w:rPr>
                <w:rFonts w:hAnsi="宋体"/>
              </w:rPr>
              <w:t>标牌。</w:t>
            </w:r>
          </w:p>
          <w:p w14:paraId="3C0A8DA5">
            <w:pPr>
              <w:spacing w:line="360" w:lineRule="auto"/>
              <w:ind w:firstLine="480" w:firstLineChars="200"/>
              <w:rPr>
                <w:rFonts w:hAnsi="宋体"/>
              </w:rPr>
            </w:pPr>
            <w:r>
              <w:rPr>
                <w:rFonts w:hAnsi="宋体"/>
              </w:rPr>
              <w:t>c</w:t>
            </w:r>
            <w:r>
              <w:rPr>
                <w:rFonts w:hint="eastAsia" w:hAnsi="宋体"/>
              </w:rPr>
              <w:t>.</w:t>
            </w:r>
            <w:r>
              <w:rPr>
                <w:rFonts w:hAnsi="宋体"/>
              </w:rPr>
              <w:t>干区进行地面硬化；湿区地面进行防腐、防渗处理。</w:t>
            </w:r>
          </w:p>
          <w:p w14:paraId="26FE29D3">
            <w:pPr>
              <w:spacing w:line="360" w:lineRule="auto"/>
              <w:ind w:firstLine="480" w:firstLineChars="200"/>
              <w:rPr>
                <w:rFonts w:hAnsi="宋体"/>
              </w:rPr>
            </w:pPr>
            <w:r>
              <w:rPr>
                <w:rFonts w:hAnsi="宋体"/>
              </w:rPr>
              <w:t>d</w:t>
            </w:r>
            <w:r>
              <w:rPr>
                <w:rFonts w:hint="eastAsia" w:hAnsi="宋体"/>
              </w:rPr>
              <w:t>.</w:t>
            </w:r>
            <w:r>
              <w:rPr>
                <w:rFonts w:hAnsi="宋体"/>
              </w:rPr>
              <w:t>湿区出入口设置围挡，内置空桶，用于收集日常产生的少量渗滤液，收集后做危废处置。</w:t>
            </w:r>
          </w:p>
          <w:p w14:paraId="1BD34179">
            <w:pPr>
              <w:spacing w:line="360" w:lineRule="auto"/>
              <w:ind w:firstLine="480" w:firstLineChars="200"/>
              <w:rPr>
                <w:rFonts w:hAnsi="宋体"/>
              </w:rPr>
            </w:pPr>
            <w:r>
              <w:rPr>
                <w:rFonts w:hAnsi="宋体"/>
              </w:rPr>
              <w:t>e</w:t>
            </w:r>
            <w:r>
              <w:rPr>
                <w:rFonts w:hint="eastAsia" w:hAnsi="宋体"/>
              </w:rPr>
              <w:t>.</w:t>
            </w:r>
            <w:r>
              <w:rPr>
                <w:rFonts w:hAnsi="宋体"/>
              </w:rPr>
              <w:t>暂存区外围周边贴挂明显的</w:t>
            </w:r>
            <w:r>
              <w:rPr>
                <w:rFonts w:hint="eastAsia" w:hAnsi="宋体"/>
              </w:rPr>
              <w:t>标识</w:t>
            </w:r>
            <w:r>
              <w:rPr>
                <w:rFonts w:hAnsi="宋体"/>
              </w:rPr>
              <w:t>标牌，注明主要暂存危废的种类、数量、危废编号等信息。</w:t>
            </w:r>
          </w:p>
          <w:p w14:paraId="581461FD">
            <w:pPr>
              <w:spacing w:line="360" w:lineRule="auto"/>
              <w:ind w:firstLine="480" w:firstLineChars="200"/>
              <w:rPr>
                <w:rFonts w:hAnsi="宋体"/>
                <w:color w:val="FF0000"/>
              </w:rPr>
            </w:pPr>
            <w:r>
              <w:rPr>
                <w:rFonts w:hAnsi="宋体"/>
              </w:rPr>
              <w:t>f</w:t>
            </w:r>
            <w:r>
              <w:rPr>
                <w:rFonts w:hint="eastAsia" w:hAnsi="宋体"/>
              </w:rPr>
              <w:t>.</w:t>
            </w:r>
            <w:r>
              <w:rPr>
                <w:rFonts w:hAnsi="宋体"/>
              </w:rPr>
              <w:t>合理选择危废包装物。危废贮存容器、材质满足相应的强度要求，日常确保完好无损；容器材质和衬里与危险废物相容；盛装液体废物的桶开孔直径应不超过70mm，并有放气孔。</w:t>
            </w:r>
          </w:p>
          <w:p w14:paraId="46629ACF">
            <w:pPr>
              <w:spacing w:line="360" w:lineRule="auto"/>
              <w:ind w:firstLine="480" w:firstLineChars="200"/>
              <w:rPr>
                <w:rFonts w:hAnsi="宋体"/>
              </w:rPr>
            </w:pPr>
            <w:r>
              <w:rPr>
                <w:rFonts w:hint="eastAsia" w:hAnsi="宋体"/>
              </w:rPr>
              <w:t>②</w:t>
            </w:r>
            <w:r>
              <w:rPr>
                <w:rFonts w:hAnsi="宋体"/>
              </w:rPr>
              <w:t>运输过程污染防治措施</w:t>
            </w:r>
          </w:p>
          <w:p w14:paraId="7D918038">
            <w:pPr>
              <w:spacing w:line="360" w:lineRule="auto"/>
              <w:ind w:firstLine="480" w:firstLineChars="200"/>
              <w:rPr>
                <w:rFonts w:hAnsi="宋体"/>
              </w:rPr>
            </w:pPr>
            <w:r>
              <w:rPr>
                <w:rFonts w:hAnsi="宋体"/>
              </w:rPr>
              <w:t>项目所处理的危险废物采用专门的车辆，密闭运输，严格禁止抛洒滴漏，杜绝在运输过程中造成环境的二次污染。在危险废物的运输中执行《危险废物转移联单管理办法》中有关的规定和要求。</w:t>
            </w:r>
          </w:p>
          <w:p w14:paraId="0CE04D9B">
            <w:pPr>
              <w:spacing w:line="360" w:lineRule="auto"/>
              <w:ind w:firstLine="480" w:firstLineChars="200"/>
              <w:rPr>
                <w:rFonts w:hAnsi="宋体"/>
              </w:rPr>
            </w:pPr>
            <w:r>
              <w:rPr>
                <w:rFonts w:hint="eastAsia" w:hAnsi="宋体"/>
              </w:rPr>
              <w:t>③</w:t>
            </w:r>
            <w:r>
              <w:rPr>
                <w:rFonts w:hAnsi="宋体"/>
              </w:rPr>
              <w:t>日常管理要求</w:t>
            </w:r>
          </w:p>
          <w:p w14:paraId="1CC73FB4">
            <w:pPr>
              <w:spacing w:line="360" w:lineRule="auto"/>
              <w:ind w:firstLine="480" w:firstLineChars="200"/>
              <w:rPr>
                <w:rFonts w:hAnsi="宋体"/>
              </w:rPr>
            </w:pPr>
            <w:r>
              <w:rPr>
                <w:rFonts w:hAnsi="宋体"/>
              </w:rPr>
              <w:t>项目固废处置时，尽可能采用减量化、资源化利用措施。委托处置的应与处置单位签订委托处理合同，报</w:t>
            </w:r>
            <w:r>
              <w:rPr>
                <w:rFonts w:hint="eastAsia" w:hAnsi="宋体"/>
              </w:rPr>
              <w:t>生态环境</w:t>
            </w:r>
            <w:r>
              <w:rPr>
                <w:rFonts w:hAnsi="宋体"/>
              </w:rPr>
              <w:t>主管部门备案。危险废物转移需执行报批和转移联单等制度。各固废在外运处置前，须在厂内安全暂存，确保固废不产生二次污染。</w:t>
            </w:r>
          </w:p>
          <w:p w14:paraId="5AC32A21">
            <w:pPr>
              <w:spacing w:line="360" w:lineRule="auto"/>
              <w:ind w:firstLine="480" w:firstLineChars="200"/>
              <w:rPr>
                <w:rFonts w:hAnsi="宋体"/>
              </w:rPr>
            </w:pPr>
            <w:r>
              <w:rPr>
                <w:rFonts w:hint="eastAsia" w:hAnsi="宋体"/>
              </w:rPr>
              <w:t>a.</w:t>
            </w:r>
            <w:r>
              <w:rPr>
                <w:rFonts w:hAnsi="宋体"/>
              </w:rPr>
              <w:t>履行申报登记制度；</w:t>
            </w:r>
          </w:p>
          <w:p w14:paraId="697FE40B">
            <w:pPr>
              <w:spacing w:line="360" w:lineRule="auto"/>
              <w:ind w:firstLine="480" w:firstLineChars="200"/>
              <w:rPr>
                <w:rFonts w:hAnsi="宋体"/>
              </w:rPr>
            </w:pPr>
            <w:r>
              <w:rPr>
                <w:rFonts w:hint="eastAsia" w:hAnsi="宋体"/>
              </w:rPr>
              <w:t>b.</w:t>
            </w:r>
            <w:r>
              <w:rPr>
                <w:rFonts w:hAnsi="宋体"/>
              </w:rPr>
              <w:t>建立台账管理制度，企业须做好危险废物情况的记录，记录上需注明危险废物的名称、来源、数量、特性和包装容器的类别；</w:t>
            </w:r>
          </w:p>
          <w:p w14:paraId="452E0D47">
            <w:pPr>
              <w:spacing w:line="360" w:lineRule="auto"/>
              <w:ind w:firstLine="480" w:firstLineChars="200"/>
              <w:rPr>
                <w:rFonts w:hAnsi="宋体"/>
              </w:rPr>
            </w:pPr>
            <w:r>
              <w:rPr>
                <w:rFonts w:hint="eastAsia" w:hAnsi="宋体"/>
              </w:rPr>
              <w:t>c.</w:t>
            </w:r>
            <w:r>
              <w:rPr>
                <w:rFonts w:hAnsi="宋体"/>
              </w:rPr>
              <w:t>委托处置应执行报批和转移联单等制度；</w:t>
            </w:r>
          </w:p>
          <w:p w14:paraId="03D7DE1F">
            <w:pPr>
              <w:spacing w:line="360" w:lineRule="auto"/>
              <w:ind w:firstLine="480" w:firstLineChars="200"/>
              <w:rPr>
                <w:rFonts w:hAnsi="宋体"/>
              </w:rPr>
            </w:pPr>
            <w:r>
              <w:rPr>
                <w:rFonts w:hint="eastAsia" w:hAnsi="宋体"/>
              </w:rPr>
              <w:t>d.</w:t>
            </w:r>
            <w:r>
              <w:rPr>
                <w:rFonts w:hAnsi="宋体"/>
              </w:rPr>
              <w:t>定期对暂存的危险废物包装容器及贮存设施进行检查，及早发现破损，及时采取措施清理更换；</w:t>
            </w:r>
          </w:p>
          <w:p w14:paraId="70049D4A">
            <w:pPr>
              <w:spacing w:line="360" w:lineRule="auto"/>
              <w:ind w:firstLine="480" w:firstLineChars="200"/>
              <w:rPr>
                <w:rFonts w:hAnsi="宋体"/>
              </w:rPr>
            </w:pPr>
            <w:r>
              <w:rPr>
                <w:rFonts w:hint="eastAsia" w:hAnsi="宋体"/>
              </w:rPr>
              <w:t>e.</w:t>
            </w:r>
            <w:r>
              <w:rPr>
                <w:rFonts w:hAnsi="宋体"/>
              </w:rPr>
              <w:t>固废贮存（处置）场所规范化设置，固体废物贮存</w:t>
            </w:r>
            <w:r>
              <w:rPr>
                <w:rFonts w:hint="eastAsia" w:hAnsi="宋体"/>
              </w:rPr>
              <w:t>（</w:t>
            </w:r>
            <w:r>
              <w:rPr>
                <w:rFonts w:hAnsi="宋体"/>
              </w:rPr>
              <w:t>处置</w:t>
            </w:r>
            <w:r>
              <w:rPr>
                <w:rFonts w:hint="eastAsia" w:hAnsi="宋体"/>
              </w:rPr>
              <w:t>）</w:t>
            </w:r>
            <w:r>
              <w:rPr>
                <w:rFonts w:hAnsi="宋体"/>
              </w:rPr>
              <w:t>场所应在醒目处设置标志牌；</w:t>
            </w:r>
          </w:p>
          <w:p w14:paraId="207E7E83">
            <w:pPr>
              <w:spacing w:line="360" w:lineRule="auto"/>
              <w:ind w:firstLine="480" w:firstLineChars="200"/>
              <w:rPr>
                <w:rFonts w:hAnsi="宋体"/>
              </w:rPr>
            </w:pPr>
            <w:r>
              <w:rPr>
                <w:rFonts w:hint="eastAsia" w:hAnsi="宋体"/>
              </w:rPr>
              <w:t>f.</w:t>
            </w:r>
            <w:r>
              <w:rPr>
                <w:rFonts w:hAnsi="宋体"/>
              </w:rPr>
              <w:t>危废应根据其化学特性选择合适的容器和存放地点，通过密闭容器存放，不可混合贮存，容器标签必须标明废物种类、贮存时间，定期处理</w:t>
            </w:r>
            <w:r>
              <w:rPr>
                <w:rFonts w:hint="eastAsia" w:hAnsi="宋体"/>
              </w:rPr>
              <w:t>。</w:t>
            </w:r>
          </w:p>
          <w:p w14:paraId="3EF9C757">
            <w:pPr>
              <w:spacing w:line="360" w:lineRule="auto"/>
              <w:jc w:val="center"/>
              <w:rPr>
                <w:rFonts w:hAnsi="黑体" w:eastAsia="黑体"/>
              </w:rPr>
            </w:pPr>
          </w:p>
          <w:p w14:paraId="75D728C7">
            <w:pPr>
              <w:spacing w:line="360" w:lineRule="auto"/>
              <w:jc w:val="center"/>
              <w:rPr>
                <w:rFonts w:eastAsia="黑体"/>
              </w:rPr>
            </w:pPr>
            <w:r>
              <w:rPr>
                <w:rFonts w:hAnsi="黑体" w:eastAsia="黑体"/>
              </w:rPr>
              <w:t>表</w:t>
            </w:r>
            <w:r>
              <w:rPr>
                <w:rFonts w:eastAsia="黑体"/>
              </w:rPr>
              <w:t>4-</w:t>
            </w:r>
            <w:r>
              <w:rPr>
                <w:rFonts w:hint="eastAsia" w:eastAsia="黑体"/>
              </w:rPr>
              <w:t>1</w:t>
            </w:r>
            <w:r>
              <w:rPr>
                <w:rFonts w:hint="eastAsia" w:eastAsia="黑体"/>
                <w:lang w:val="en-US" w:eastAsia="zh-CN"/>
              </w:rPr>
              <w:t xml:space="preserve">0  </w:t>
            </w:r>
            <w:r>
              <w:rPr>
                <w:rFonts w:hAnsi="黑体" w:eastAsia="黑体"/>
              </w:rPr>
              <w:t>建设项目危险废物贮存场所（设施）基本情况表</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3"/>
              <w:gridCol w:w="689"/>
              <w:gridCol w:w="1058"/>
              <w:gridCol w:w="849"/>
              <w:gridCol w:w="1176"/>
              <w:gridCol w:w="739"/>
              <w:gridCol w:w="896"/>
              <w:gridCol w:w="1108"/>
              <w:gridCol w:w="925"/>
            </w:tblGrid>
            <w:tr w14:paraId="2048B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04632C47">
                  <w:pPr>
                    <w:spacing w:line="276" w:lineRule="auto"/>
                    <w:jc w:val="center"/>
                    <w:rPr>
                      <w:rFonts w:hAnsi="宋体"/>
                      <w:b/>
                      <w:sz w:val="21"/>
                      <w:szCs w:val="21"/>
                    </w:rPr>
                  </w:pPr>
                  <w:r>
                    <w:rPr>
                      <w:rFonts w:hint="eastAsia" w:hAnsi="宋体"/>
                      <w:b/>
                      <w:sz w:val="21"/>
                      <w:szCs w:val="21"/>
                    </w:rPr>
                    <w:t>序号</w:t>
                  </w:r>
                </w:p>
              </w:tc>
              <w:tc>
                <w:tcPr>
                  <w:tcW w:w="689" w:type="dxa"/>
                  <w:tcMar>
                    <w:left w:w="28" w:type="dxa"/>
                    <w:right w:w="28" w:type="dxa"/>
                  </w:tcMar>
                  <w:vAlign w:val="center"/>
                </w:tcPr>
                <w:p w14:paraId="71CA4652">
                  <w:pPr>
                    <w:spacing w:line="276" w:lineRule="auto"/>
                    <w:jc w:val="center"/>
                    <w:rPr>
                      <w:rFonts w:hAnsi="宋体"/>
                      <w:b/>
                      <w:sz w:val="21"/>
                      <w:szCs w:val="21"/>
                    </w:rPr>
                  </w:pPr>
                  <w:r>
                    <w:rPr>
                      <w:rFonts w:hint="eastAsia" w:hAnsi="宋体"/>
                      <w:b/>
                      <w:sz w:val="21"/>
                      <w:szCs w:val="21"/>
                    </w:rPr>
                    <w:t>贮存场所名称</w:t>
                  </w:r>
                </w:p>
              </w:tc>
              <w:tc>
                <w:tcPr>
                  <w:tcW w:w="1058" w:type="dxa"/>
                  <w:tcMar>
                    <w:left w:w="28" w:type="dxa"/>
                    <w:right w:w="28" w:type="dxa"/>
                  </w:tcMar>
                  <w:vAlign w:val="center"/>
                </w:tcPr>
                <w:p w14:paraId="0E996099">
                  <w:pPr>
                    <w:spacing w:line="276" w:lineRule="auto"/>
                    <w:jc w:val="center"/>
                    <w:rPr>
                      <w:rFonts w:hAnsi="宋体"/>
                      <w:b/>
                      <w:sz w:val="21"/>
                      <w:szCs w:val="21"/>
                    </w:rPr>
                  </w:pPr>
                  <w:r>
                    <w:rPr>
                      <w:rFonts w:hint="eastAsia" w:hAnsi="宋体"/>
                      <w:b/>
                      <w:sz w:val="21"/>
                      <w:szCs w:val="21"/>
                    </w:rPr>
                    <w:t>危险废物名称</w:t>
                  </w:r>
                </w:p>
              </w:tc>
              <w:tc>
                <w:tcPr>
                  <w:tcW w:w="849" w:type="dxa"/>
                  <w:tcMar>
                    <w:left w:w="28" w:type="dxa"/>
                    <w:right w:w="28" w:type="dxa"/>
                  </w:tcMar>
                  <w:vAlign w:val="center"/>
                </w:tcPr>
                <w:p w14:paraId="02C896C6">
                  <w:pPr>
                    <w:spacing w:line="276" w:lineRule="auto"/>
                    <w:jc w:val="center"/>
                    <w:rPr>
                      <w:rFonts w:hAnsi="宋体"/>
                      <w:b/>
                      <w:sz w:val="21"/>
                      <w:szCs w:val="21"/>
                    </w:rPr>
                  </w:pPr>
                  <w:r>
                    <w:rPr>
                      <w:rFonts w:hint="eastAsia" w:hAnsi="宋体"/>
                      <w:b/>
                      <w:sz w:val="21"/>
                      <w:szCs w:val="21"/>
                    </w:rPr>
                    <w:t>危险废物类别</w:t>
                  </w:r>
                </w:p>
              </w:tc>
              <w:tc>
                <w:tcPr>
                  <w:tcW w:w="1176" w:type="dxa"/>
                  <w:tcMar>
                    <w:left w:w="28" w:type="dxa"/>
                    <w:right w:w="28" w:type="dxa"/>
                  </w:tcMar>
                  <w:vAlign w:val="center"/>
                </w:tcPr>
                <w:p w14:paraId="461C198C">
                  <w:pPr>
                    <w:spacing w:line="276" w:lineRule="auto"/>
                    <w:jc w:val="center"/>
                    <w:rPr>
                      <w:rFonts w:hAnsi="宋体"/>
                      <w:b/>
                      <w:sz w:val="21"/>
                      <w:szCs w:val="21"/>
                    </w:rPr>
                  </w:pPr>
                  <w:r>
                    <w:rPr>
                      <w:rFonts w:hint="eastAsia" w:hAnsi="宋体"/>
                      <w:b/>
                      <w:sz w:val="21"/>
                      <w:szCs w:val="21"/>
                    </w:rPr>
                    <w:t>危险废物代码</w:t>
                  </w:r>
                </w:p>
              </w:tc>
              <w:tc>
                <w:tcPr>
                  <w:tcW w:w="739" w:type="dxa"/>
                  <w:tcMar>
                    <w:left w:w="28" w:type="dxa"/>
                    <w:right w:w="28" w:type="dxa"/>
                  </w:tcMar>
                  <w:vAlign w:val="center"/>
                </w:tcPr>
                <w:p w14:paraId="63CEFA99">
                  <w:pPr>
                    <w:spacing w:line="276" w:lineRule="auto"/>
                    <w:jc w:val="center"/>
                    <w:rPr>
                      <w:rFonts w:hAnsi="宋体"/>
                      <w:b/>
                      <w:sz w:val="21"/>
                      <w:szCs w:val="21"/>
                    </w:rPr>
                  </w:pPr>
                  <w:r>
                    <w:rPr>
                      <w:rFonts w:hint="eastAsia" w:hAnsi="宋体"/>
                      <w:b/>
                      <w:sz w:val="21"/>
                      <w:szCs w:val="21"/>
                    </w:rPr>
                    <w:t>占地面积</w:t>
                  </w:r>
                </w:p>
              </w:tc>
              <w:tc>
                <w:tcPr>
                  <w:tcW w:w="896" w:type="dxa"/>
                  <w:tcMar>
                    <w:left w:w="28" w:type="dxa"/>
                    <w:right w:w="28" w:type="dxa"/>
                  </w:tcMar>
                  <w:vAlign w:val="center"/>
                </w:tcPr>
                <w:p w14:paraId="4E682771">
                  <w:pPr>
                    <w:spacing w:line="276" w:lineRule="auto"/>
                    <w:jc w:val="center"/>
                    <w:rPr>
                      <w:rFonts w:hAnsi="宋体"/>
                      <w:b/>
                      <w:sz w:val="21"/>
                      <w:szCs w:val="21"/>
                    </w:rPr>
                  </w:pPr>
                  <w:r>
                    <w:rPr>
                      <w:rFonts w:hint="eastAsia" w:hAnsi="宋体"/>
                      <w:b/>
                      <w:sz w:val="21"/>
                      <w:szCs w:val="21"/>
                    </w:rPr>
                    <w:t>贮存方式</w:t>
                  </w:r>
                </w:p>
              </w:tc>
              <w:tc>
                <w:tcPr>
                  <w:tcW w:w="1108" w:type="dxa"/>
                  <w:tcMar>
                    <w:left w:w="28" w:type="dxa"/>
                    <w:right w:w="28" w:type="dxa"/>
                  </w:tcMar>
                  <w:vAlign w:val="center"/>
                </w:tcPr>
                <w:p w14:paraId="3F6729D7">
                  <w:pPr>
                    <w:spacing w:line="276" w:lineRule="auto"/>
                    <w:jc w:val="center"/>
                    <w:rPr>
                      <w:rFonts w:hAnsi="宋体"/>
                      <w:b/>
                      <w:sz w:val="21"/>
                      <w:szCs w:val="21"/>
                    </w:rPr>
                  </w:pPr>
                  <w:r>
                    <w:rPr>
                      <w:rFonts w:hint="eastAsia" w:hAnsi="宋体"/>
                      <w:b/>
                      <w:sz w:val="21"/>
                      <w:szCs w:val="21"/>
                    </w:rPr>
                    <w:t>贮存能力</w:t>
                  </w:r>
                </w:p>
              </w:tc>
              <w:tc>
                <w:tcPr>
                  <w:tcW w:w="925" w:type="dxa"/>
                  <w:tcMar>
                    <w:left w:w="28" w:type="dxa"/>
                    <w:right w:w="28" w:type="dxa"/>
                  </w:tcMar>
                  <w:vAlign w:val="center"/>
                </w:tcPr>
                <w:p w14:paraId="7CBA3F62">
                  <w:pPr>
                    <w:spacing w:line="276" w:lineRule="auto"/>
                    <w:jc w:val="center"/>
                    <w:rPr>
                      <w:rFonts w:hAnsi="宋体"/>
                      <w:b/>
                      <w:sz w:val="21"/>
                      <w:szCs w:val="21"/>
                    </w:rPr>
                  </w:pPr>
                  <w:r>
                    <w:rPr>
                      <w:rFonts w:hint="eastAsia" w:hAnsi="宋体"/>
                      <w:b/>
                      <w:sz w:val="21"/>
                      <w:szCs w:val="21"/>
                    </w:rPr>
                    <w:t>贮存周期</w:t>
                  </w:r>
                </w:p>
              </w:tc>
            </w:tr>
            <w:tr w14:paraId="769E37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39ACF900">
                  <w:pPr>
                    <w:spacing w:line="276" w:lineRule="auto"/>
                    <w:jc w:val="center"/>
                    <w:rPr>
                      <w:rFonts w:hAnsi="宋体"/>
                      <w:sz w:val="21"/>
                      <w:szCs w:val="21"/>
                    </w:rPr>
                  </w:pPr>
                  <w:r>
                    <w:rPr>
                      <w:rFonts w:hint="eastAsia" w:hAnsi="宋体"/>
                      <w:sz w:val="21"/>
                      <w:szCs w:val="21"/>
                    </w:rPr>
                    <w:t>1</w:t>
                  </w:r>
                </w:p>
              </w:tc>
              <w:tc>
                <w:tcPr>
                  <w:tcW w:w="689" w:type="dxa"/>
                  <w:vMerge w:val="restart"/>
                  <w:tcMar>
                    <w:left w:w="28" w:type="dxa"/>
                    <w:right w:w="28" w:type="dxa"/>
                  </w:tcMar>
                  <w:vAlign w:val="center"/>
                </w:tcPr>
                <w:p w14:paraId="77AB32BB">
                  <w:pPr>
                    <w:spacing w:line="276" w:lineRule="auto"/>
                    <w:jc w:val="center"/>
                    <w:rPr>
                      <w:rFonts w:hAnsi="宋体"/>
                      <w:sz w:val="21"/>
                      <w:szCs w:val="21"/>
                    </w:rPr>
                  </w:pPr>
                  <w:r>
                    <w:rPr>
                      <w:rFonts w:hAnsi="宋体"/>
                      <w:sz w:val="21"/>
                      <w:szCs w:val="21"/>
                    </w:rPr>
                    <w:t>危废暂存间</w:t>
                  </w:r>
                </w:p>
              </w:tc>
              <w:tc>
                <w:tcPr>
                  <w:tcW w:w="1058" w:type="dxa"/>
                  <w:tcMar>
                    <w:left w:w="28" w:type="dxa"/>
                    <w:right w:w="28" w:type="dxa"/>
                  </w:tcMar>
                  <w:vAlign w:val="center"/>
                </w:tcPr>
                <w:p w14:paraId="79CB77E6">
                  <w:pPr>
                    <w:pStyle w:val="39"/>
                    <w:spacing w:line="276" w:lineRule="auto"/>
                    <w:rPr>
                      <w:rFonts w:hAnsi="宋体"/>
                      <w:szCs w:val="21"/>
                    </w:rPr>
                  </w:pPr>
                  <w:r>
                    <w:rPr>
                      <w:rFonts w:hint="eastAsia" w:hAnsi="宋体"/>
                      <w:szCs w:val="21"/>
                    </w:rPr>
                    <w:t>振光废水</w:t>
                  </w:r>
                </w:p>
              </w:tc>
              <w:tc>
                <w:tcPr>
                  <w:tcW w:w="849" w:type="dxa"/>
                  <w:tcMar>
                    <w:left w:w="28" w:type="dxa"/>
                    <w:right w:w="28" w:type="dxa"/>
                  </w:tcMar>
                  <w:vAlign w:val="center"/>
                </w:tcPr>
                <w:p w14:paraId="67F656FF">
                  <w:pPr>
                    <w:pStyle w:val="39"/>
                    <w:spacing w:line="276" w:lineRule="auto"/>
                    <w:rPr>
                      <w:szCs w:val="21"/>
                    </w:rPr>
                  </w:pPr>
                  <w:r>
                    <w:rPr>
                      <w:szCs w:val="21"/>
                    </w:rPr>
                    <w:t>HW</w:t>
                  </w:r>
                  <w:r>
                    <w:rPr>
                      <w:rFonts w:hint="eastAsia"/>
                      <w:szCs w:val="21"/>
                    </w:rPr>
                    <w:t>09</w:t>
                  </w:r>
                </w:p>
              </w:tc>
              <w:tc>
                <w:tcPr>
                  <w:tcW w:w="1176" w:type="dxa"/>
                  <w:tcMar>
                    <w:left w:w="28" w:type="dxa"/>
                    <w:right w:w="28" w:type="dxa"/>
                  </w:tcMar>
                  <w:vAlign w:val="center"/>
                </w:tcPr>
                <w:p w14:paraId="2649F9FB">
                  <w:pPr>
                    <w:spacing w:line="276" w:lineRule="auto"/>
                    <w:jc w:val="center"/>
                    <w:rPr>
                      <w:sz w:val="21"/>
                      <w:szCs w:val="21"/>
                    </w:rPr>
                  </w:pPr>
                  <w:r>
                    <w:rPr>
                      <w:rFonts w:hint="eastAsia"/>
                      <w:sz w:val="21"/>
                      <w:szCs w:val="21"/>
                    </w:rPr>
                    <w:t>900-007-09</w:t>
                  </w:r>
                </w:p>
              </w:tc>
              <w:tc>
                <w:tcPr>
                  <w:tcW w:w="739" w:type="dxa"/>
                  <w:tcMar>
                    <w:left w:w="28" w:type="dxa"/>
                    <w:right w:w="28" w:type="dxa"/>
                  </w:tcMar>
                  <w:vAlign w:val="center"/>
                </w:tcPr>
                <w:p w14:paraId="003A44A3">
                  <w:pPr>
                    <w:spacing w:line="276" w:lineRule="auto"/>
                    <w:jc w:val="center"/>
                    <w:rPr>
                      <w:rFonts w:hAnsi="宋体"/>
                      <w:sz w:val="21"/>
                      <w:szCs w:val="21"/>
                    </w:rPr>
                  </w:pPr>
                  <w:r>
                    <w:rPr>
                      <w:rFonts w:hint="eastAsia" w:hAnsi="宋体"/>
                      <w:sz w:val="21"/>
                      <w:szCs w:val="21"/>
                    </w:rPr>
                    <w:t>10</w:t>
                  </w:r>
                </w:p>
              </w:tc>
              <w:tc>
                <w:tcPr>
                  <w:tcW w:w="896" w:type="dxa"/>
                  <w:tcMar>
                    <w:left w:w="28" w:type="dxa"/>
                    <w:right w:w="28" w:type="dxa"/>
                  </w:tcMar>
                  <w:vAlign w:val="center"/>
                </w:tcPr>
                <w:p w14:paraId="32C3A109">
                  <w:pPr>
                    <w:spacing w:line="276" w:lineRule="auto"/>
                    <w:jc w:val="center"/>
                    <w:rPr>
                      <w:rFonts w:hAnsi="宋体"/>
                      <w:sz w:val="21"/>
                      <w:szCs w:val="21"/>
                    </w:rPr>
                  </w:pPr>
                  <w:r>
                    <w:rPr>
                      <w:rFonts w:hAnsi="宋体"/>
                      <w:sz w:val="21"/>
                      <w:szCs w:val="21"/>
                    </w:rPr>
                    <w:t>桶装密封</w:t>
                  </w:r>
                </w:p>
              </w:tc>
              <w:tc>
                <w:tcPr>
                  <w:tcW w:w="1108" w:type="dxa"/>
                  <w:tcMar>
                    <w:left w:w="28" w:type="dxa"/>
                    <w:right w:w="28" w:type="dxa"/>
                  </w:tcMar>
                  <w:vAlign w:val="center"/>
                </w:tcPr>
                <w:p w14:paraId="7B7581F1">
                  <w:pPr>
                    <w:spacing w:line="276" w:lineRule="auto"/>
                    <w:jc w:val="center"/>
                    <w:rPr>
                      <w:rFonts w:hAnsi="宋体"/>
                      <w:sz w:val="21"/>
                      <w:szCs w:val="21"/>
                    </w:rPr>
                  </w:pPr>
                  <w:r>
                    <w:rPr>
                      <w:rFonts w:hint="eastAsia" w:hAnsi="宋体"/>
                      <w:sz w:val="21"/>
                      <w:szCs w:val="21"/>
                    </w:rPr>
                    <w:t>0.717t</w:t>
                  </w:r>
                </w:p>
              </w:tc>
              <w:tc>
                <w:tcPr>
                  <w:tcW w:w="925" w:type="dxa"/>
                  <w:tcMar>
                    <w:left w:w="28" w:type="dxa"/>
                    <w:right w:w="28" w:type="dxa"/>
                  </w:tcMar>
                  <w:vAlign w:val="center"/>
                </w:tcPr>
                <w:p w14:paraId="14BD91AB">
                  <w:pPr>
                    <w:spacing w:line="276" w:lineRule="auto"/>
                    <w:jc w:val="center"/>
                    <w:rPr>
                      <w:rFonts w:hAnsi="宋体"/>
                      <w:sz w:val="21"/>
                      <w:szCs w:val="21"/>
                    </w:rPr>
                  </w:pPr>
                  <w:r>
                    <w:rPr>
                      <w:rFonts w:hint="eastAsia" w:hAnsi="宋体"/>
                      <w:sz w:val="21"/>
                      <w:szCs w:val="21"/>
                    </w:rPr>
                    <w:t>1个月</w:t>
                  </w:r>
                </w:p>
              </w:tc>
            </w:tr>
            <w:tr w14:paraId="6E771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07BEF220">
                  <w:pPr>
                    <w:spacing w:line="276" w:lineRule="auto"/>
                    <w:jc w:val="center"/>
                    <w:rPr>
                      <w:rFonts w:hAnsi="宋体"/>
                      <w:sz w:val="21"/>
                      <w:szCs w:val="21"/>
                    </w:rPr>
                  </w:pPr>
                  <w:r>
                    <w:rPr>
                      <w:rFonts w:hint="eastAsia" w:hAnsi="宋体"/>
                      <w:sz w:val="21"/>
                      <w:szCs w:val="21"/>
                    </w:rPr>
                    <w:t>2</w:t>
                  </w:r>
                </w:p>
              </w:tc>
              <w:tc>
                <w:tcPr>
                  <w:tcW w:w="689" w:type="dxa"/>
                  <w:vMerge w:val="continue"/>
                  <w:tcMar>
                    <w:left w:w="28" w:type="dxa"/>
                    <w:right w:w="28" w:type="dxa"/>
                  </w:tcMar>
                  <w:vAlign w:val="center"/>
                </w:tcPr>
                <w:p w14:paraId="34A3776A">
                  <w:pPr>
                    <w:spacing w:line="276" w:lineRule="auto"/>
                    <w:jc w:val="center"/>
                    <w:rPr>
                      <w:rFonts w:hAnsi="宋体"/>
                      <w:sz w:val="21"/>
                      <w:szCs w:val="21"/>
                    </w:rPr>
                  </w:pPr>
                </w:p>
              </w:tc>
              <w:tc>
                <w:tcPr>
                  <w:tcW w:w="1058" w:type="dxa"/>
                  <w:tcMar>
                    <w:left w:w="28" w:type="dxa"/>
                    <w:right w:w="28" w:type="dxa"/>
                  </w:tcMar>
                  <w:vAlign w:val="center"/>
                </w:tcPr>
                <w:p w14:paraId="187B56A4">
                  <w:pPr>
                    <w:pStyle w:val="39"/>
                    <w:spacing w:line="276" w:lineRule="auto"/>
                    <w:rPr>
                      <w:rFonts w:hAnsi="宋体"/>
                      <w:szCs w:val="21"/>
                    </w:rPr>
                  </w:pPr>
                  <w:r>
                    <w:rPr>
                      <w:rFonts w:hint="eastAsia"/>
                      <w:szCs w:val="21"/>
                    </w:rPr>
                    <w:t>清洗废液和废水</w:t>
                  </w:r>
                </w:p>
              </w:tc>
              <w:tc>
                <w:tcPr>
                  <w:tcW w:w="849" w:type="dxa"/>
                  <w:tcMar>
                    <w:left w:w="28" w:type="dxa"/>
                    <w:right w:w="28" w:type="dxa"/>
                  </w:tcMar>
                  <w:vAlign w:val="center"/>
                </w:tcPr>
                <w:p w14:paraId="4B4766B3">
                  <w:pPr>
                    <w:pStyle w:val="39"/>
                    <w:spacing w:line="276" w:lineRule="auto"/>
                    <w:rPr>
                      <w:szCs w:val="21"/>
                    </w:rPr>
                  </w:pPr>
                  <w:r>
                    <w:rPr>
                      <w:szCs w:val="21"/>
                    </w:rPr>
                    <w:t>HW</w:t>
                  </w:r>
                  <w:r>
                    <w:rPr>
                      <w:rFonts w:hint="eastAsia"/>
                      <w:szCs w:val="21"/>
                    </w:rPr>
                    <w:t>09</w:t>
                  </w:r>
                </w:p>
              </w:tc>
              <w:tc>
                <w:tcPr>
                  <w:tcW w:w="1176" w:type="dxa"/>
                  <w:tcMar>
                    <w:left w:w="28" w:type="dxa"/>
                    <w:right w:w="28" w:type="dxa"/>
                  </w:tcMar>
                  <w:vAlign w:val="center"/>
                </w:tcPr>
                <w:p w14:paraId="4CB0F237">
                  <w:pPr>
                    <w:spacing w:line="276" w:lineRule="auto"/>
                    <w:jc w:val="center"/>
                    <w:rPr>
                      <w:sz w:val="21"/>
                      <w:szCs w:val="21"/>
                    </w:rPr>
                  </w:pPr>
                  <w:r>
                    <w:rPr>
                      <w:rFonts w:hint="eastAsia"/>
                      <w:sz w:val="21"/>
                      <w:szCs w:val="21"/>
                    </w:rPr>
                    <w:t>900-007-09</w:t>
                  </w:r>
                </w:p>
              </w:tc>
              <w:tc>
                <w:tcPr>
                  <w:tcW w:w="739" w:type="dxa"/>
                  <w:tcMar>
                    <w:left w:w="28" w:type="dxa"/>
                    <w:right w:w="28" w:type="dxa"/>
                  </w:tcMar>
                  <w:vAlign w:val="center"/>
                </w:tcPr>
                <w:p w14:paraId="304A82E5">
                  <w:pPr>
                    <w:spacing w:line="276" w:lineRule="auto"/>
                    <w:jc w:val="center"/>
                    <w:rPr>
                      <w:rFonts w:hAnsi="宋体"/>
                      <w:sz w:val="21"/>
                      <w:szCs w:val="21"/>
                    </w:rPr>
                  </w:pPr>
                  <w:r>
                    <w:rPr>
                      <w:rFonts w:hint="eastAsia" w:hAnsi="宋体"/>
                      <w:sz w:val="21"/>
                      <w:szCs w:val="21"/>
                    </w:rPr>
                    <w:t>22</w:t>
                  </w:r>
                </w:p>
              </w:tc>
              <w:tc>
                <w:tcPr>
                  <w:tcW w:w="896" w:type="dxa"/>
                  <w:tcMar>
                    <w:left w:w="28" w:type="dxa"/>
                    <w:right w:w="28" w:type="dxa"/>
                  </w:tcMar>
                  <w:vAlign w:val="center"/>
                </w:tcPr>
                <w:p w14:paraId="558A950D">
                  <w:pPr>
                    <w:spacing w:line="276" w:lineRule="auto"/>
                    <w:jc w:val="center"/>
                    <w:rPr>
                      <w:rFonts w:hAnsi="宋体"/>
                      <w:sz w:val="21"/>
                      <w:szCs w:val="21"/>
                    </w:rPr>
                  </w:pPr>
                  <w:r>
                    <w:rPr>
                      <w:rFonts w:hAnsi="宋体"/>
                      <w:sz w:val="21"/>
                      <w:szCs w:val="21"/>
                    </w:rPr>
                    <w:t>桶装密封</w:t>
                  </w:r>
                </w:p>
              </w:tc>
              <w:tc>
                <w:tcPr>
                  <w:tcW w:w="1108" w:type="dxa"/>
                  <w:tcMar>
                    <w:left w:w="28" w:type="dxa"/>
                    <w:right w:w="28" w:type="dxa"/>
                  </w:tcMar>
                  <w:vAlign w:val="center"/>
                </w:tcPr>
                <w:p w14:paraId="77143977">
                  <w:pPr>
                    <w:spacing w:line="276" w:lineRule="auto"/>
                    <w:jc w:val="center"/>
                    <w:rPr>
                      <w:rFonts w:hAnsi="宋体"/>
                      <w:sz w:val="21"/>
                      <w:szCs w:val="21"/>
                    </w:rPr>
                  </w:pPr>
                  <w:r>
                    <w:rPr>
                      <w:rFonts w:hint="eastAsia" w:hAnsi="宋体"/>
                      <w:sz w:val="21"/>
                      <w:szCs w:val="21"/>
                      <w:lang w:val="en-US" w:eastAsia="zh-CN"/>
                    </w:rPr>
                    <w:t>2.921</w:t>
                  </w:r>
                  <w:r>
                    <w:rPr>
                      <w:rFonts w:hint="eastAsia" w:hAnsi="宋体"/>
                      <w:sz w:val="21"/>
                      <w:szCs w:val="21"/>
                    </w:rPr>
                    <w:t>t</w:t>
                  </w:r>
                </w:p>
              </w:tc>
              <w:tc>
                <w:tcPr>
                  <w:tcW w:w="925" w:type="dxa"/>
                  <w:tcMar>
                    <w:left w:w="28" w:type="dxa"/>
                    <w:right w:w="28" w:type="dxa"/>
                  </w:tcMar>
                  <w:vAlign w:val="center"/>
                </w:tcPr>
                <w:p w14:paraId="7F92CC9B">
                  <w:pPr>
                    <w:spacing w:line="276" w:lineRule="auto"/>
                    <w:jc w:val="center"/>
                    <w:rPr>
                      <w:rFonts w:hAnsi="宋体"/>
                      <w:sz w:val="21"/>
                      <w:szCs w:val="21"/>
                    </w:rPr>
                  </w:pPr>
                  <w:r>
                    <w:rPr>
                      <w:rFonts w:hint="eastAsia" w:hAnsi="宋体"/>
                      <w:sz w:val="21"/>
                      <w:szCs w:val="21"/>
                    </w:rPr>
                    <w:t>1个月</w:t>
                  </w:r>
                </w:p>
              </w:tc>
            </w:tr>
            <w:tr w14:paraId="0B8B9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6A10DD64">
                  <w:pPr>
                    <w:spacing w:line="276" w:lineRule="auto"/>
                    <w:jc w:val="center"/>
                    <w:rPr>
                      <w:rFonts w:hAnsi="宋体"/>
                      <w:sz w:val="21"/>
                      <w:szCs w:val="21"/>
                    </w:rPr>
                  </w:pPr>
                  <w:r>
                    <w:rPr>
                      <w:rFonts w:hint="eastAsia" w:hAnsi="宋体"/>
                      <w:sz w:val="21"/>
                      <w:szCs w:val="21"/>
                    </w:rPr>
                    <w:t>3</w:t>
                  </w:r>
                </w:p>
              </w:tc>
              <w:tc>
                <w:tcPr>
                  <w:tcW w:w="689" w:type="dxa"/>
                  <w:vMerge w:val="continue"/>
                  <w:tcMar>
                    <w:left w:w="28" w:type="dxa"/>
                    <w:right w:w="28" w:type="dxa"/>
                  </w:tcMar>
                  <w:vAlign w:val="center"/>
                </w:tcPr>
                <w:p w14:paraId="6F8513DF">
                  <w:pPr>
                    <w:spacing w:line="276" w:lineRule="auto"/>
                    <w:jc w:val="center"/>
                    <w:rPr>
                      <w:rFonts w:hAnsi="宋体"/>
                      <w:sz w:val="21"/>
                      <w:szCs w:val="21"/>
                    </w:rPr>
                  </w:pPr>
                </w:p>
              </w:tc>
              <w:tc>
                <w:tcPr>
                  <w:tcW w:w="1058" w:type="dxa"/>
                  <w:tcMar>
                    <w:left w:w="28" w:type="dxa"/>
                    <w:right w:w="28" w:type="dxa"/>
                  </w:tcMar>
                  <w:vAlign w:val="center"/>
                </w:tcPr>
                <w:p w14:paraId="4E9FB720">
                  <w:pPr>
                    <w:pStyle w:val="39"/>
                    <w:spacing w:line="276" w:lineRule="auto"/>
                    <w:rPr>
                      <w:rFonts w:hAnsi="宋体"/>
                      <w:szCs w:val="21"/>
                    </w:rPr>
                  </w:pPr>
                  <w:r>
                    <w:rPr>
                      <w:rFonts w:hint="eastAsia" w:hAnsi="宋体"/>
                      <w:szCs w:val="21"/>
                    </w:rPr>
                    <w:t>废脱模剂</w:t>
                  </w:r>
                </w:p>
              </w:tc>
              <w:tc>
                <w:tcPr>
                  <w:tcW w:w="849" w:type="dxa"/>
                  <w:tcMar>
                    <w:left w:w="28" w:type="dxa"/>
                    <w:right w:w="28" w:type="dxa"/>
                  </w:tcMar>
                  <w:vAlign w:val="center"/>
                </w:tcPr>
                <w:p w14:paraId="1D438D3B">
                  <w:pPr>
                    <w:pStyle w:val="39"/>
                    <w:spacing w:line="276" w:lineRule="auto"/>
                    <w:rPr>
                      <w:szCs w:val="21"/>
                    </w:rPr>
                  </w:pPr>
                  <w:r>
                    <w:rPr>
                      <w:szCs w:val="21"/>
                    </w:rPr>
                    <w:t>HW</w:t>
                  </w:r>
                  <w:r>
                    <w:rPr>
                      <w:rFonts w:hint="eastAsia"/>
                      <w:szCs w:val="21"/>
                    </w:rPr>
                    <w:t>09</w:t>
                  </w:r>
                </w:p>
              </w:tc>
              <w:tc>
                <w:tcPr>
                  <w:tcW w:w="1176" w:type="dxa"/>
                  <w:tcMar>
                    <w:left w:w="28" w:type="dxa"/>
                    <w:right w:w="28" w:type="dxa"/>
                  </w:tcMar>
                  <w:vAlign w:val="center"/>
                </w:tcPr>
                <w:p w14:paraId="47141CD2">
                  <w:pPr>
                    <w:spacing w:line="276" w:lineRule="auto"/>
                    <w:jc w:val="center"/>
                    <w:rPr>
                      <w:sz w:val="21"/>
                      <w:szCs w:val="21"/>
                    </w:rPr>
                  </w:pPr>
                  <w:r>
                    <w:rPr>
                      <w:rFonts w:hint="eastAsia"/>
                      <w:sz w:val="21"/>
                      <w:szCs w:val="21"/>
                    </w:rPr>
                    <w:t>900-007-09</w:t>
                  </w:r>
                </w:p>
              </w:tc>
              <w:tc>
                <w:tcPr>
                  <w:tcW w:w="739" w:type="dxa"/>
                  <w:tcMar>
                    <w:left w:w="28" w:type="dxa"/>
                    <w:right w:w="28" w:type="dxa"/>
                  </w:tcMar>
                  <w:vAlign w:val="center"/>
                </w:tcPr>
                <w:p w14:paraId="78C83ED1">
                  <w:pPr>
                    <w:spacing w:line="276" w:lineRule="auto"/>
                    <w:jc w:val="center"/>
                    <w:rPr>
                      <w:rFonts w:hAnsi="宋体"/>
                      <w:sz w:val="21"/>
                      <w:szCs w:val="21"/>
                    </w:rPr>
                  </w:pPr>
                  <w:r>
                    <w:rPr>
                      <w:rFonts w:hint="eastAsia" w:hAnsi="宋体"/>
                      <w:sz w:val="21"/>
                      <w:szCs w:val="21"/>
                    </w:rPr>
                    <w:t>1</w:t>
                  </w:r>
                </w:p>
              </w:tc>
              <w:tc>
                <w:tcPr>
                  <w:tcW w:w="896" w:type="dxa"/>
                  <w:tcMar>
                    <w:left w:w="28" w:type="dxa"/>
                    <w:right w:w="28" w:type="dxa"/>
                  </w:tcMar>
                  <w:vAlign w:val="center"/>
                </w:tcPr>
                <w:p w14:paraId="7CC5267A">
                  <w:pPr>
                    <w:spacing w:line="276" w:lineRule="auto"/>
                    <w:jc w:val="center"/>
                    <w:rPr>
                      <w:rFonts w:hAnsi="宋体"/>
                      <w:sz w:val="21"/>
                      <w:szCs w:val="21"/>
                    </w:rPr>
                  </w:pPr>
                  <w:r>
                    <w:rPr>
                      <w:rFonts w:hAnsi="宋体"/>
                      <w:sz w:val="21"/>
                      <w:szCs w:val="21"/>
                    </w:rPr>
                    <w:t>桶装密封</w:t>
                  </w:r>
                </w:p>
              </w:tc>
              <w:tc>
                <w:tcPr>
                  <w:tcW w:w="1108" w:type="dxa"/>
                  <w:tcMar>
                    <w:left w:w="28" w:type="dxa"/>
                    <w:right w:w="28" w:type="dxa"/>
                  </w:tcMar>
                  <w:vAlign w:val="center"/>
                </w:tcPr>
                <w:p w14:paraId="19A6A0C1">
                  <w:pPr>
                    <w:spacing w:line="276" w:lineRule="auto"/>
                    <w:jc w:val="center"/>
                    <w:rPr>
                      <w:rFonts w:hAnsi="宋体"/>
                      <w:sz w:val="21"/>
                      <w:szCs w:val="21"/>
                    </w:rPr>
                  </w:pPr>
                  <w:r>
                    <w:rPr>
                      <w:rFonts w:hint="eastAsia" w:hAnsi="宋体"/>
                      <w:sz w:val="21"/>
                      <w:szCs w:val="21"/>
                    </w:rPr>
                    <w:t>0.014t</w:t>
                  </w:r>
                </w:p>
              </w:tc>
              <w:tc>
                <w:tcPr>
                  <w:tcW w:w="925" w:type="dxa"/>
                  <w:tcMar>
                    <w:left w:w="28" w:type="dxa"/>
                    <w:right w:w="28" w:type="dxa"/>
                  </w:tcMar>
                  <w:vAlign w:val="center"/>
                </w:tcPr>
                <w:p w14:paraId="362B8938">
                  <w:pPr>
                    <w:spacing w:line="276" w:lineRule="auto"/>
                    <w:jc w:val="center"/>
                    <w:rPr>
                      <w:rFonts w:hAnsi="宋体"/>
                      <w:sz w:val="21"/>
                      <w:szCs w:val="21"/>
                    </w:rPr>
                  </w:pPr>
                  <w:r>
                    <w:rPr>
                      <w:rFonts w:hint="eastAsia" w:hAnsi="宋体"/>
                      <w:sz w:val="21"/>
                      <w:szCs w:val="21"/>
                    </w:rPr>
                    <w:t>3个月</w:t>
                  </w:r>
                </w:p>
              </w:tc>
            </w:tr>
            <w:tr w14:paraId="28978F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14B54E64">
                  <w:pPr>
                    <w:spacing w:line="276" w:lineRule="auto"/>
                    <w:jc w:val="center"/>
                    <w:rPr>
                      <w:rFonts w:hAnsi="宋体"/>
                      <w:sz w:val="21"/>
                      <w:szCs w:val="21"/>
                    </w:rPr>
                  </w:pPr>
                  <w:r>
                    <w:rPr>
                      <w:rFonts w:hint="eastAsia" w:hAnsi="宋体"/>
                      <w:sz w:val="21"/>
                      <w:szCs w:val="21"/>
                    </w:rPr>
                    <w:t>4</w:t>
                  </w:r>
                </w:p>
              </w:tc>
              <w:tc>
                <w:tcPr>
                  <w:tcW w:w="689" w:type="dxa"/>
                  <w:vMerge w:val="continue"/>
                  <w:tcMar>
                    <w:left w:w="28" w:type="dxa"/>
                    <w:right w:w="28" w:type="dxa"/>
                  </w:tcMar>
                  <w:vAlign w:val="center"/>
                </w:tcPr>
                <w:p w14:paraId="31C82C68">
                  <w:pPr>
                    <w:spacing w:line="276" w:lineRule="auto"/>
                    <w:jc w:val="center"/>
                    <w:rPr>
                      <w:rFonts w:hAnsi="宋体"/>
                      <w:sz w:val="21"/>
                      <w:szCs w:val="21"/>
                    </w:rPr>
                  </w:pPr>
                </w:p>
              </w:tc>
              <w:tc>
                <w:tcPr>
                  <w:tcW w:w="1058" w:type="dxa"/>
                  <w:tcMar>
                    <w:left w:w="28" w:type="dxa"/>
                    <w:right w:w="28" w:type="dxa"/>
                  </w:tcMar>
                  <w:vAlign w:val="center"/>
                </w:tcPr>
                <w:p w14:paraId="29F139DE">
                  <w:pPr>
                    <w:pStyle w:val="39"/>
                    <w:spacing w:line="276" w:lineRule="auto"/>
                    <w:rPr>
                      <w:rFonts w:hAnsi="宋体"/>
                      <w:szCs w:val="21"/>
                    </w:rPr>
                  </w:pPr>
                  <w:r>
                    <w:rPr>
                      <w:rFonts w:hint="eastAsia" w:hAnsi="宋体"/>
                      <w:szCs w:val="21"/>
                    </w:rPr>
                    <w:t>废胶粘剂</w:t>
                  </w:r>
                </w:p>
              </w:tc>
              <w:tc>
                <w:tcPr>
                  <w:tcW w:w="849" w:type="dxa"/>
                  <w:tcMar>
                    <w:left w:w="28" w:type="dxa"/>
                    <w:right w:w="28" w:type="dxa"/>
                  </w:tcMar>
                  <w:vAlign w:val="center"/>
                </w:tcPr>
                <w:p w14:paraId="3E2B2621">
                  <w:pPr>
                    <w:pStyle w:val="39"/>
                    <w:spacing w:line="276" w:lineRule="auto"/>
                    <w:rPr>
                      <w:szCs w:val="21"/>
                    </w:rPr>
                  </w:pPr>
                  <w:r>
                    <w:rPr>
                      <w:szCs w:val="21"/>
                    </w:rPr>
                    <w:t>HW</w:t>
                  </w:r>
                  <w:r>
                    <w:rPr>
                      <w:rFonts w:hint="eastAsia"/>
                      <w:szCs w:val="21"/>
                    </w:rPr>
                    <w:t>09</w:t>
                  </w:r>
                </w:p>
              </w:tc>
              <w:tc>
                <w:tcPr>
                  <w:tcW w:w="1176" w:type="dxa"/>
                  <w:tcMar>
                    <w:left w:w="28" w:type="dxa"/>
                    <w:right w:w="28" w:type="dxa"/>
                  </w:tcMar>
                  <w:vAlign w:val="center"/>
                </w:tcPr>
                <w:p w14:paraId="7E970867">
                  <w:pPr>
                    <w:spacing w:line="276" w:lineRule="auto"/>
                    <w:jc w:val="center"/>
                    <w:rPr>
                      <w:sz w:val="21"/>
                      <w:szCs w:val="21"/>
                    </w:rPr>
                  </w:pPr>
                  <w:r>
                    <w:rPr>
                      <w:rFonts w:hint="eastAsia"/>
                      <w:sz w:val="21"/>
                      <w:szCs w:val="21"/>
                    </w:rPr>
                    <w:t>900-007-09</w:t>
                  </w:r>
                </w:p>
              </w:tc>
              <w:tc>
                <w:tcPr>
                  <w:tcW w:w="739" w:type="dxa"/>
                  <w:tcMar>
                    <w:left w:w="28" w:type="dxa"/>
                    <w:right w:w="28" w:type="dxa"/>
                  </w:tcMar>
                  <w:vAlign w:val="center"/>
                </w:tcPr>
                <w:p w14:paraId="7D5B3DC1">
                  <w:pPr>
                    <w:spacing w:line="276" w:lineRule="auto"/>
                    <w:jc w:val="center"/>
                    <w:rPr>
                      <w:rFonts w:hAnsi="宋体"/>
                      <w:sz w:val="21"/>
                      <w:szCs w:val="21"/>
                    </w:rPr>
                  </w:pPr>
                  <w:r>
                    <w:rPr>
                      <w:rFonts w:hint="eastAsia" w:hAnsi="宋体"/>
                      <w:sz w:val="21"/>
                      <w:szCs w:val="21"/>
                    </w:rPr>
                    <w:t>1</w:t>
                  </w:r>
                </w:p>
              </w:tc>
              <w:tc>
                <w:tcPr>
                  <w:tcW w:w="896" w:type="dxa"/>
                  <w:tcMar>
                    <w:left w:w="28" w:type="dxa"/>
                    <w:right w:w="28" w:type="dxa"/>
                  </w:tcMar>
                  <w:vAlign w:val="center"/>
                </w:tcPr>
                <w:p w14:paraId="58C814E0">
                  <w:pPr>
                    <w:spacing w:line="276" w:lineRule="auto"/>
                    <w:jc w:val="center"/>
                    <w:rPr>
                      <w:rFonts w:hAnsi="宋体"/>
                      <w:sz w:val="21"/>
                      <w:szCs w:val="21"/>
                    </w:rPr>
                  </w:pPr>
                  <w:r>
                    <w:rPr>
                      <w:rFonts w:hAnsi="宋体"/>
                      <w:sz w:val="21"/>
                      <w:szCs w:val="21"/>
                    </w:rPr>
                    <w:t>桶装密封</w:t>
                  </w:r>
                </w:p>
              </w:tc>
              <w:tc>
                <w:tcPr>
                  <w:tcW w:w="1108" w:type="dxa"/>
                  <w:tcMar>
                    <w:left w:w="28" w:type="dxa"/>
                    <w:right w:w="28" w:type="dxa"/>
                  </w:tcMar>
                  <w:vAlign w:val="center"/>
                </w:tcPr>
                <w:p w14:paraId="016FE3CA">
                  <w:pPr>
                    <w:spacing w:line="276" w:lineRule="auto"/>
                    <w:jc w:val="center"/>
                    <w:rPr>
                      <w:rFonts w:hAnsi="宋体"/>
                      <w:sz w:val="21"/>
                      <w:szCs w:val="21"/>
                    </w:rPr>
                  </w:pPr>
                  <w:r>
                    <w:rPr>
                      <w:rFonts w:hint="eastAsia" w:hAnsi="宋体"/>
                      <w:sz w:val="21"/>
                      <w:szCs w:val="21"/>
                    </w:rPr>
                    <w:t>0.02t</w:t>
                  </w:r>
                </w:p>
              </w:tc>
              <w:tc>
                <w:tcPr>
                  <w:tcW w:w="925" w:type="dxa"/>
                  <w:tcMar>
                    <w:left w:w="28" w:type="dxa"/>
                    <w:right w:w="28" w:type="dxa"/>
                  </w:tcMar>
                  <w:vAlign w:val="center"/>
                </w:tcPr>
                <w:p w14:paraId="3E064B51">
                  <w:pPr>
                    <w:spacing w:line="276" w:lineRule="auto"/>
                    <w:jc w:val="center"/>
                    <w:rPr>
                      <w:rFonts w:hAnsi="宋体"/>
                      <w:sz w:val="21"/>
                      <w:szCs w:val="21"/>
                    </w:rPr>
                  </w:pPr>
                  <w:r>
                    <w:rPr>
                      <w:rFonts w:hint="eastAsia" w:hAnsi="宋体"/>
                      <w:sz w:val="21"/>
                      <w:szCs w:val="21"/>
                    </w:rPr>
                    <w:t>3个月</w:t>
                  </w:r>
                </w:p>
              </w:tc>
            </w:tr>
            <w:tr w14:paraId="28530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2387C0EF">
                  <w:pPr>
                    <w:spacing w:line="276" w:lineRule="auto"/>
                    <w:jc w:val="center"/>
                    <w:rPr>
                      <w:rFonts w:hAnsi="宋体"/>
                      <w:sz w:val="21"/>
                      <w:szCs w:val="21"/>
                    </w:rPr>
                  </w:pPr>
                  <w:r>
                    <w:rPr>
                      <w:rFonts w:hint="eastAsia" w:hAnsi="宋体"/>
                      <w:sz w:val="21"/>
                      <w:szCs w:val="21"/>
                    </w:rPr>
                    <w:t>5</w:t>
                  </w:r>
                </w:p>
              </w:tc>
              <w:tc>
                <w:tcPr>
                  <w:tcW w:w="689" w:type="dxa"/>
                  <w:vMerge w:val="continue"/>
                  <w:tcMar>
                    <w:left w:w="28" w:type="dxa"/>
                    <w:right w:w="28" w:type="dxa"/>
                  </w:tcMar>
                  <w:vAlign w:val="center"/>
                </w:tcPr>
                <w:p w14:paraId="06C26299">
                  <w:pPr>
                    <w:spacing w:line="276" w:lineRule="auto"/>
                    <w:jc w:val="center"/>
                    <w:rPr>
                      <w:rFonts w:hAnsi="宋体"/>
                      <w:sz w:val="21"/>
                      <w:szCs w:val="21"/>
                    </w:rPr>
                  </w:pPr>
                </w:p>
              </w:tc>
              <w:tc>
                <w:tcPr>
                  <w:tcW w:w="1058" w:type="dxa"/>
                  <w:tcMar>
                    <w:left w:w="28" w:type="dxa"/>
                    <w:right w:w="28" w:type="dxa"/>
                  </w:tcMar>
                  <w:vAlign w:val="center"/>
                </w:tcPr>
                <w:p w14:paraId="2AA0106E">
                  <w:pPr>
                    <w:spacing w:line="276" w:lineRule="auto"/>
                    <w:jc w:val="center"/>
                    <w:rPr>
                      <w:rFonts w:hAnsi="宋体"/>
                      <w:sz w:val="21"/>
                      <w:szCs w:val="21"/>
                    </w:rPr>
                  </w:pPr>
                  <w:r>
                    <w:rPr>
                      <w:rFonts w:hint="eastAsia" w:hAnsi="宋体"/>
                      <w:sz w:val="21"/>
                      <w:szCs w:val="21"/>
                    </w:rPr>
                    <w:t>废包装桶</w:t>
                  </w:r>
                </w:p>
              </w:tc>
              <w:tc>
                <w:tcPr>
                  <w:tcW w:w="849" w:type="dxa"/>
                  <w:tcMar>
                    <w:left w:w="28" w:type="dxa"/>
                    <w:right w:w="28" w:type="dxa"/>
                  </w:tcMar>
                  <w:vAlign w:val="center"/>
                </w:tcPr>
                <w:p w14:paraId="7DE22E90">
                  <w:pPr>
                    <w:spacing w:line="276" w:lineRule="auto"/>
                    <w:jc w:val="center"/>
                    <w:rPr>
                      <w:sz w:val="21"/>
                      <w:szCs w:val="21"/>
                    </w:rPr>
                  </w:pPr>
                  <w:r>
                    <w:rPr>
                      <w:rFonts w:hint="eastAsia"/>
                      <w:sz w:val="21"/>
                      <w:szCs w:val="21"/>
                    </w:rPr>
                    <w:t>HW49</w:t>
                  </w:r>
                </w:p>
              </w:tc>
              <w:tc>
                <w:tcPr>
                  <w:tcW w:w="1176" w:type="dxa"/>
                  <w:tcMar>
                    <w:left w:w="28" w:type="dxa"/>
                    <w:right w:w="28" w:type="dxa"/>
                  </w:tcMar>
                  <w:vAlign w:val="center"/>
                </w:tcPr>
                <w:p w14:paraId="5E62025C">
                  <w:pPr>
                    <w:spacing w:line="276" w:lineRule="auto"/>
                    <w:jc w:val="center"/>
                    <w:rPr>
                      <w:sz w:val="21"/>
                      <w:szCs w:val="21"/>
                    </w:rPr>
                  </w:pPr>
                  <w:r>
                    <w:rPr>
                      <w:rFonts w:hint="eastAsia"/>
                      <w:sz w:val="21"/>
                      <w:szCs w:val="21"/>
                    </w:rPr>
                    <w:t>900-041-49</w:t>
                  </w:r>
                </w:p>
              </w:tc>
              <w:tc>
                <w:tcPr>
                  <w:tcW w:w="739" w:type="dxa"/>
                  <w:tcMar>
                    <w:left w:w="28" w:type="dxa"/>
                    <w:right w:w="28" w:type="dxa"/>
                  </w:tcMar>
                  <w:vAlign w:val="center"/>
                </w:tcPr>
                <w:p w14:paraId="48A79645">
                  <w:pPr>
                    <w:spacing w:line="276" w:lineRule="auto"/>
                    <w:jc w:val="center"/>
                    <w:rPr>
                      <w:rFonts w:hAnsi="宋体"/>
                      <w:sz w:val="21"/>
                      <w:szCs w:val="21"/>
                    </w:rPr>
                  </w:pPr>
                  <w:r>
                    <w:rPr>
                      <w:rFonts w:hint="eastAsia" w:hAnsi="宋体"/>
                      <w:sz w:val="21"/>
                      <w:szCs w:val="21"/>
                    </w:rPr>
                    <w:t>5</w:t>
                  </w:r>
                </w:p>
              </w:tc>
              <w:tc>
                <w:tcPr>
                  <w:tcW w:w="896" w:type="dxa"/>
                  <w:tcMar>
                    <w:left w:w="28" w:type="dxa"/>
                    <w:right w:w="28" w:type="dxa"/>
                  </w:tcMar>
                  <w:vAlign w:val="center"/>
                </w:tcPr>
                <w:p w14:paraId="0E626F42">
                  <w:pPr>
                    <w:spacing w:line="276" w:lineRule="auto"/>
                    <w:jc w:val="center"/>
                    <w:rPr>
                      <w:rFonts w:hAnsi="宋体"/>
                      <w:sz w:val="21"/>
                      <w:szCs w:val="21"/>
                    </w:rPr>
                  </w:pPr>
                  <w:r>
                    <w:rPr>
                      <w:rFonts w:hAnsi="宋体"/>
                      <w:sz w:val="21"/>
                      <w:szCs w:val="21"/>
                    </w:rPr>
                    <w:t>密封</w:t>
                  </w:r>
                </w:p>
              </w:tc>
              <w:tc>
                <w:tcPr>
                  <w:tcW w:w="1108" w:type="dxa"/>
                  <w:tcMar>
                    <w:left w:w="28" w:type="dxa"/>
                    <w:right w:w="28" w:type="dxa"/>
                  </w:tcMar>
                  <w:vAlign w:val="center"/>
                </w:tcPr>
                <w:p w14:paraId="7B5E7D31">
                  <w:pPr>
                    <w:spacing w:line="276" w:lineRule="auto"/>
                    <w:jc w:val="center"/>
                    <w:rPr>
                      <w:rFonts w:hAnsi="宋体"/>
                      <w:sz w:val="21"/>
                      <w:szCs w:val="21"/>
                    </w:rPr>
                  </w:pPr>
                  <w:r>
                    <w:rPr>
                      <w:rFonts w:hint="eastAsia" w:hAnsi="宋体"/>
                      <w:sz w:val="21"/>
                      <w:szCs w:val="21"/>
                    </w:rPr>
                    <w:t>1.3945t</w:t>
                  </w:r>
                </w:p>
              </w:tc>
              <w:tc>
                <w:tcPr>
                  <w:tcW w:w="925" w:type="dxa"/>
                  <w:tcMar>
                    <w:left w:w="28" w:type="dxa"/>
                    <w:right w:w="28" w:type="dxa"/>
                  </w:tcMar>
                  <w:vAlign w:val="center"/>
                </w:tcPr>
                <w:p w14:paraId="1DDF4D08">
                  <w:pPr>
                    <w:spacing w:line="276" w:lineRule="auto"/>
                    <w:jc w:val="center"/>
                    <w:rPr>
                      <w:rFonts w:hAnsi="宋体"/>
                      <w:sz w:val="21"/>
                      <w:szCs w:val="21"/>
                    </w:rPr>
                  </w:pPr>
                  <w:r>
                    <w:rPr>
                      <w:rFonts w:hint="eastAsia" w:hAnsi="宋体"/>
                      <w:sz w:val="21"/>
                      <w:szCs w:val="21"/>
                    </w:rPr>
                    <w:t>3个月</w:t>
                  </w:r>
                </w:p>
              </w:tc>
            </w:tr>
            <w:tr w14:paraId="6440F3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11DA605F">
                  <w:pPr>
                    <w:spacing w:line="276" w:lineRule="auto"/>
                    <w:jc w:val="center"/>
                    <w:rPr>
                      <w:rFonts w:hAnsi="宋体"/>
                      <w:sz w:val="21"/>
                      <w:szCs w:val="21"/>
                    </w:rPr>
                  </w:pPr>
                  <w:r>
                    <w:rPr>
                      <w:rFonts w:hint="eastAsia" w:hAnsi="宋体"/>
                      <w:sz w:val="21"/>
                      <w:szCs w:val="21"/>
                    </w:rPr>
                    <w:t>6</w:t>
                  </w:r>
                </w:p>
              </w:tc>
              <w:tc>
                <w:tcPr>
                  <w:tcW w:w="689" w:type="dxa"/>
                  <w:vMerge w:val="continue"/>
                  <w:tcMar>
                    <w:left w:w="28" w:type="dxa"/>
                    <w:right w:w="28" w:type="dxa"/>
                  </w:tcMar>
                  <w:vAlign w:val="center"/>
                </w:tcPr>
                <w:p w14:paraId="7DCE9D5C">
                  <w:pPr>
                    <w:spacing w:line="276" w:lineRule="auto"/>
                    <w:jc w:val="center"/>
                    <w:rPr>
                      <w:rFonts w:hAnsi="宋体"/>
                      <w:sz w:val="21"/>
                      <w:szCs w:val="21"/>
                    </w:rPr>
                  </w:pPr>
                </w:p>
              </w:tc>
              <w:tc>
                <w:tcPr>
                  <w:tcW w:w="1058" w:type="dxa"/>
                  <w:tcMar>
                    <w:left w:w="28" w:type="dxa"/>
                    <w:right w:w="28" w:type="dxa"/>
                  </w:tcMar>
                  <w:vAlign w:val="center"/>
                </w:tcPr>
                <w:p w14:paraId="719E8D2D">
                  <w:pPr>
                    <w:spacing w:line="276" w:lineRule="auto"/>
                    <w:jc w:val="center"/>
                    <w:rPr>
                      <w:rFonts w:hAnsi="宋体"/>
                      <w:sz w:val="21"/>
                      <w:szCs w:val="21"/>
                    </w:rPr>
                  </w:pPr>
                  <w:r>
                    <w:rPr>
                      <w:rFonts w:hint="eastAsia" w:hAnsi="宋体"/>
                      <w:sz w:val="21"/>
                      <w:szCs w:val="21"/>
                    </w:rPr>
                    <w:t>槽渣</w:t>
                  </w:r>
                </w:p>
              </w:tc>
              <w:tc>
                <w:tcPr>
                  <w:tcW w:w="849" w:type="dxa"/>
                  <w:tcMar>
                    <w:left w:w="28" w:type="dxa"/>
                    <w:right w:w="28" w:type="dxa"/>
                  </w:tcMar>
                  <w:vAlign w:val="center"/>
                </w:tcPr>
                <w:p w14:paraId="3A00C571">
                  <w:pPr>
                    <w:spacing w:line="276" w:lineRule="auto"/>
                    <w:jc w:val="center"/>
                    <w:rPr>
                      <w:sz w:val="21"/>
                      <w:szCs w:val="21"/>
                    </w:rPr>
                  </w:pPr>
                  <w:r>
                    <w:rPr>
                      <w:rFonts w:hint="eastAsia"/>
                      <w:sz w:val="21"/>
                      <w:szCs w:val="21"/>
                    </w:rPr>
                    <w:t>HW17</w:t>
                  </w:r>
                </w:p>
              </w:tc>
              <w:tc>
                <w:tcPr>
                  <w:tcW w:w="1176" w:type="dxa"/>
                  <w:tcMar>
                    <w:left w:w="28" w:type="dxa"/>
                    <w:right w:w="28" w:type="dxa"/>
                  </w:tcMar>
                  <w:vAlign w:val="center"/>
                </w:tcPr>
                <w:p w14:paraId="57E75278">
                  <w:pPr>
                    <w:spacing w:line="276" w:lineRule="auto"/>
                    <w:jc w:val="center"/>
                    <w:rPr>
                      <w:sz w:val="21"/>
                      <w:szCs w:val="21"/>
                    </w:rPr>
                  </w:pPr>
                  <w:r>
                    <w:rPr>
                      <w:rFonts w:hint="eastAsia"/>
                      <w:sz w:val="21"/>
                      <w:szCs w:val="21"/>
                    </w:rPr>
                    <w:t>336-064-17</w:t>
                  </w:r>
                </w:p>
              </w:tc>
              <w:tc>
                <w:tcPr>
                  <w:tcW w:w="739" w:type="dxa"/>
                  <w:tcMar>
                    <w:left w:w="28" w:type="dxa"/>
                    <w:right w:w="28" w:type="dxa"/>
                  </w:tcMar>
                  <w:vAlign w:val="center"/>
                </w:tcPr>
                <w:p w14:paraId="1D241E8F">
                  <w:pPr>
                    <w:spacing w:line="276" w:lineRule="auto"/>
                    <w:jc w:val="center"/>
                    <w:rPr>
                      <w:rFonts w:hAnsi="宋体"/>
                      <w:sz w:val="21"/>
                      <w:szCs w:val="21"/>
                    </w:rPr>
                  </w:pPr>
                  <w:r>
                    <w:rPr>
                      <w:rFonts w:hint="eastAsia" w:hAnsi="宋体"/>
                      <w:sz w:val="21"/>
                      <w:szCs w:val="21"/>
                    </w:rPr>
                    <w:t>2</w:t>
                  </w:r>
                </w:p>
              </w:tc>
              <w:tc>
                <w:tcPr>
                  <w:tcW w:w="896" w:type="dxa"/>
                  <w:tcMar>
                    <w:left w:w="28" w:type="dxa"/>
                    <w:right w:w="28" w:type="dxa"/>
                  </w:tcMar>
                  <w:vAlign w:val="center"/>
                </w:tcPr>
                <w:p w14:paraId="416E9EE5">
                  <w:pPr>
                    <w:spacing w:line="276" w:lineRule="auto"/>
                    <w:jc w:val="center"/>
                    <w:rPr>
                      <w:rFonts w:hAnsi="宋体"/>
                      <w:sz w:val="21"/>
                      <w:szCs w:val="21"/>
                    </w:rPr>
                  </w:pPr>
                  <w:r>
                    <w:rPr>
                      <w:rFonts w:hAnsi="宋体"/>
                      <w:sz w:val="21"/>
                      <w:szCs w:val="21"/>
                    </w:rPr>
                    <w:t>袋装密封</w:t>
                  </w:r>
                </w:p>
              </w:tc>
              <w:tc>
                <w:tcPr>
                  <w:tcW w:w="1108" w:type="dxa"/>
                  <w:tcMar>
                    <w:left w:w="28" w:type="dxa"/>
                    <w:right w:w="28" w:type="dxa"/>
                  </w:tcMar>
                  <w:vAlign w:val="center"/>
                </w:tcPr>
                <w:p w14:paraId="6E4D4CF6">
                  <w:pPr>
                    <w:spacing w:line="276" w:lineRule="auto"/>
                    <w:jc w:val="center"/>
                    <w:rPr>
                      <w:rFonts w:hAnsi="宋体"/>
                      <w:sz w:val="21"/>
                      <w:szCs w:val="21"/>
                    </w:rPr>
                  </w:pPr>
                  <w:r>
                    <w:rPr>
                      <w:rFonts w:hint="eastAsia" w:hAnsi="宋体"/>
                      <w:sz w:val="21"/>
                      <w:szCs w:val="21"/>
                    </w:rPr>
                    <w:t>0.375t</w:t>
                  </w:r>
                </w:p>
              </w:tc>
              <w:tc>
                <w:tcPr>
                  <w:tcW w:w="925" w:type="dxa"/>
                  <w:tcMar>
                    <w:left w:w="28" w:type="dxa"/>
                    <w:right w:w="28" w:type="dxa"/>
                  </w:tcMar>
                  <w:vAlign w:val="center"/>
                </w:tcPr>
                <w:p w14:paraId="70333BE3">
                  <w:pPr>
                    <w:spacing w:line="276" w:lineRule="auto"/>
                    <w:jc w:val="center"/>
                    <w:rPr>
                      <w:rFonts w:hAnsi="宋体"/>
                      <w:sz w:val="21"/>
                      <w:szCs w:val="21"/>
                    </w:rPr>
                  </w:pPr>
                  <w:r>
                    <w:rPr>
                      <w:rFonts w:hint="eastAsia" w:hAnsi="宋体"/>
                      <w:sz w:val="21"/>
                      <w:szCs w:val="21"/>
                    </w:rPr>
                    <w:t>3个月</w:t>
                  </w:r>
                </w:p>
              </w:tc>
            </w:tr>
            <w:tr w14:paraId="60D3D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36BCF300">
                  <w:pPr>
                    <w:spacing w:line="276" w:lineRule="auto"/>
                    <w:jc w:val="center"/>
                    <w:rPr>
                      <w:rFonts w:hAnsi="宋体"/>
                      <w:sz w:val="21"/>
                      <w:szCs w:val="21"/>
                    </w:rPr>
                  </w:pPr>
                  <w:r>
                    <w:rPr>
                      <w:rFonts w:hint="eastAsia" w:hAnsi="宋体"/>
                      <w:sz w:val="21"/>
                      <w:szCs w:val="21"/>
                    </w:rPr>
                    <w:t>7</w:t>
                  </w:r>
                </w:p>
              </w:tc>
              <w:tc>
                <w:tcPr>
                  <w:tcW w:w="689" w:type="dxa"/>
                  <w:vMerge w:val="continue"/>
                  <w:tcMar>
                    <w:left w:w="28" w:type="dxa"/>
                    <w:right w:w="28" w:type="dxa"/>
                  </w:tcMar>
                  <w:vAlign w:val="center"/>
                </w:tcPr>
                <w:p w14:paraId="6B5EB411">
                  <w:pPr>
                    <w:spacing w:line="276" w:lineRule="auto"/>
                    <w:jc w:val="center"/>
                    <w:rPr>
                      <w:rFonts w:hAnsi="宋体"/>
                      <w:sz w:val="21"/>
                      <w:szCs w:val="21"/>
                    </w:rPr>
                  </w:pPr>
                </w:p>
              </w:tc>
              <w:tc>
                <w:tcPr>
                  <w:tcW w:w="1058" w:type="dxa"/>
                  <w:tcMar>
                    <w:left w:w="28" w:type="dxa"/>
                    <w:right w:w="28" w:type="dxa"/>
                  </w:tcMar>
                  <w:vAlign w:val="center"/>
                </w:tcPr>
                <w:p w14:paraId="0978F37B">
                  <w:pPr>
                    <w:spacing w:line="276" w:lineRule="auto"/>
                    <w:jc w:val="center"/>
                    <w:rPr>
                      <w:rFonts w:hAnsi="宋体"/>
                      <w:sz w:val="21"/>
                      <w:szCs w:val="21"/>
                    </w:rPr>
                  </w:pPr>
                  <w:r>
                    <w:rPr>
                      <w:rFonts w:hAnsi="宋体"/>
                      <w:sz w:val="21"/>
                      <w:szCs w:val="21"/>
                    </w:rPr>
                    <w:t>废机油</w:t>
                  </w:r>
                </w:p>
              </w:tc>
              <w:tc>
                <w:tcPr>
                  <w:tcW w:w="849" w:type="dxa"/>
                  <w:tcMar>
                    <w:left w:w="28" w:type="dxa"/>
                    <w:right w:w="28" w:type="dxa"/>
                  </w:tcMar>
                  <w:vAlign w:val="center"/>
                </w:tcPr>
                <w:p w14:paraId="0A08A4A2">
                  <w:pPr>
                    <w:spacing w:line="276" w:lineRule="auto"/>
                    <w:jc w:val="center"/>
                    <w:rPr>
                      <w:rFonts w:hAnsi="宋体"/>
                      <w:sz w:val="21"/>
                      <w:szCs w:val="21"/>
                    </w:rPr>
                  </w:pPr>
                  <w:r>
                    <w:rPr>
                      <w:sz w:val="21"/>
                      <w:szCs w:val="21"/>
                    </w:rPr>
                    <w:t>HW</w:t>
                  </w:r>
                  <w:r>
                    <w:rPr>
                      <w:rFonts w:hint="eastAsia"/>
                      <w:sz w:val="21"/>
                      <w:szCs w:val="21"/>
                    </w:rPr>
                    <w:t>08</w:t>
                  </w:r>
                </w:p>
              </w:tc>
              <w:tc>
                <w:tcPr>
                  <w:tcW w:w="1176" w:type="dxa"/>
                  <w:tcMar>
                    <w:left w:w="28" w:type="dxa"/>
                    <w:right w:w="28" w:type="dxa"/>
                  </w:tcMar>
                  <w:vAlign w:val="center"/>
                </w:tcPr>
                <w:p w14:paraId="082E8DE3">
                  <w:pPr>
                    <w:spacing w:line="276" w:lineRule="auto"/>
                    <w:jc w:val="center"/>
                    <w:rPr>
                      <w:rFonts w:hAnsi="宋体"/>
                      <w:sz w:val="21"/>
                      <w:szCs w:val="21"/>
                    </w:rPr>
                  </w:pPr>
                  <w:r>
                    <w:rPr>
                      <w:rFonts w:hint="eastAsia"/>
                      <w:sz w:val="21"/>
                      <w:szCs w:val="21"/>
                    </w:rPr>
                    <w:t>900-214-08</w:t>
                  </w:r>
                </w:p>
              </w:tc>
              <w:tc>
                <w:tcPr>
                  <w:tcW w:w="739" w:type="dxa"/>
                  <w:tcMar>
                    <w:left w:w="28" w:type="dxa"/>
                    <w:right w:w="28" w:type="dxa"/>
                  </w:tcMar>
                  <w:vAlign w:val="center"/>
                </w:tcPr>
                <w:p w14:paraId="659FC99E">
                  <w:pPr>
                    <w:spacing w:line="276" w:lineRule="auto"/>
                    <w:jc w:val="center"/>
                    <w:rPr>
                      <w:rFonts w:hAnsi="宋体"/>
                      <w:sz w:val="21"/>
                      <w:szCs w:val="21"/>
                    </w:rPr>
                  </w:pPr>
                  <w:r>
                    <w:rPr>
                      <w:rFonts w:hint="eastAsia" w:hAnsi="宋体"/>
                      <w:sz w:val="21"/>
                      <w:szCs w:val="21"/>
                    </w:rPr>
                    <w:t>1</w:t>
                  </w:r>
                </w:p>
              </w:tc>
              <w:tc>
                <w:tcPr>
                  <w:tcW w:w="896" w:type="dxa"/>
                  <w:tcMar>
                    <w:left w:w="28" w:type="dxa"/>
                    <w:right w:w="28" w:type="dxa"/>
                  </w:tcMar>
                  <w:vAlign w:val="center"/>
                </w:tcPr>
                <w:p w14:paraId="1F7F0287">
                  <w:pPr>
                    <w:spacing w:line="276" w:lineRule="auto"/>
                    <w:jc w:val="center"/>
                    <w:rPr>
                      <w:rFonts w:hAnsi="宋体"/>
                      <w:sz w:val="21"/>
                      <w:szCs w:val="21"/>
                    </w:rPr>
                  </w:pPr>
                  <w:r>
                    <w:rPr>
                      <w:rFonts w:hAnsi="宋体"/>
                      <w:sz w:val="21"/>
                      <w:szCs w:val="21"/>
                    </w:rPr>
                    <w:t>桶装密封</w:t>
                  </w:r>
                </w:p>
              </w:tc>
              <w:tc>
                <w:tcPr>
                  <w:tcW w:w="1108" w:type="dxa"/>
                  <w:tcMar>
                    <w:left w:w="28" w:type="dxa"/>
                    <w:right w:w="28" w:type="dxa"/>
                  </w:tcMar>
                  <w:vAlign w:val="center"/>
                </w:tcPr>
                <w:p w14:paraId="27F8037E">
                  <w:pPr>
                    <w:spacing w:line="276" w:lineRule="auto"/>
                    <w:jc w:val="center"/>
                    <w:rPr>
                      <w:rFonts w:hAnsi="宋体"/>
                      <w:sz w:val="21"/>
                      <w:szCs w:val="21"/>
                    </w:rPr>
                  </w:pPr>
                  <w:r>
                    <w:rPr>
                      <w:rFonts w:hint="eastAsia" w:hAnsi="宋体"/>
                      <w:sz w:val="21"/>
                      <w:szCs w:val="21"/>
                    </w:rPr>
                    <w:t>0.125t</w:t>
                  </w:r>
                </w:p>
              </w:tc>
              <w:tc>
                <w:tcPr>
                  <w:tcW w:w="925" w:type="dxa"/>
                  <w:tcMar>
                    <w:left w:w="28" w:type="dxa"/>
                    <w:right w:w="28" w:type="dxa"/>
                  </w:tcMar>
                  <w:vAlign w:val="center"/>
                </w:tcPr>
                <w:p w14:paraId="1BC3E439">
                  <w:pPr>
                    <w:spacing w:line="276" w:lineRule="auto"/>
                    <w:jc w:val="center"/>
                    <w:rPr>
                      <w:rFonts w:hAnsi="宋体"/>
                      <w:sz w:val="21"/>
                      <w:szCs w:val="21"/>
                    </w:rPr>
                  </w:pPr>
                  <w:r>
                    <w:rPr>
                      <w:rFonts w:hint="eastAsia" w:hAnsi="宋体"/>
                      <w:sz w:val="21"/>
                      <w:szCs w:val="21"/>
                    </w:rPr>
                    <w:t>3个月</w:t>
                  </w:r>
                </w:p>
              </w:tc>
            </w:tr>
            <w:tr w14:paraId="1B8BF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7A9F96E7">
                  <w:pPr>
                    <w:spacing w:line="276" w:lineRule="auto"/>
                    <w:jc w:val="center"/>
                    <w:rPr>
                      <w:rFonts w:hAnsi="宋体"/>
                      <w:sz w:val="21"/>
                      <w:szCs w:val="21"/>
                    </w:rPr>
                  </w:pPr>
                  <w:r>
                    <w:rPr>
                      <w:rFonts w:hint="eastAsia" w:hAnsi="宋体"/>
                      <w:sz w:val="21"/>
                      <w:szCs w:val="21"/>
                    </w:rPr>
                    <w:t>8</w:t>
                  </w:r>
                </w:p>
              </w:tc>
              <w:tc>
                <w:tcPr>
                  <w:tcW w:w="689" w:type="dxa"/>
                  <w:vMerge w:val="continue"/>
                  <w:tcMar>
                    <w:left w:w="28" w:type="dxa"/>
                    <w:right w:w="28" w:type="dxa"/>
                  </w:tcMar>
                  <w:vAlign w:val="center"/>
                </w:tcPr>
                <w:p w14:paraId="00E88D10">
                  <w:pPr>
                    <w:spacing w:line="276" w:lineRule="auto"/>
                    <w:jc w:val="center"/>
                    <w:rPr>
                      <w:rFonts w:hAnsi="宋体"/>
                      <w:sz w:val="21"/>
                      <w:szCs w:val="21"/>
                    </w:rPr>
                  </w:pPr>
                </w:p>
              </w:tc>
              <w:tc>
                <w:tcPr>
                  <w:tcW w:w="1058" w:type="dxa"/>
                  <w:tcMar>
                    <w:left w:w="28" w:type="dxa"/>
                    <w:right w:w="28" w:type="dxa"/>
                  </w:tcMar>
                  <w:vAlign w:val="center"/>
                </w:tcPr>
                <w:p w14:paraId="00F81804">
                  <w:pPr>
                    <w:spacing w:line="276" w:lineRule="auto"/>
                    <w:jc w:val="center"/>
                    <w:rPr>
                      <w:rFonts w:hAnsi="宋体"/>
                      <w:sz w:val="21"/>
                      <w:szCs w:val="21"/>
                    </w:rPr>
                  </w:pPr>
                  <w:r>
                    <w:rPr>
                      <w:rFonts w:hAnsi="宋体"/>
                      <w:sz w:val="21"/>
                      <w:szCs w:val="21"/>
                    </w:rPr>
                    <w:t>废机油桶</w:t>
                  </w:r>
                </w:p>
              </w:tc>
              <w:tc>
                <w:tcPr>
                  <w:tcW w:w="849" w:type="dxa"/>
                  <w:tcMar>
                    <w:left w:w="28" w:type="dxa"/>
                    <w:right w:w="28" w:type="dxa"/>
                  </w:tcMar>
                  <w:vAlign w:val="center"/>
                </w:tcPr>
                <w:p w14:paraId="1D099AFE">
                  <w:pPr>
                    <w:spacing w:line="276" w:lineRule="auto"/>
                    <w:jc w:val="center"/>
                    <w:rPr>
                      <w:rFonts w:hAnsi="宋体"/>
                      <w:sz w:val="21"/>
                      <w:szCs w:val="21"/>
                    </w:rPr>
                  </w:pPr>
                  <w:r>
                    <w:rPr>
                      <w:sz w:val="21"/>
                      <w:szCs w:val="21"/>
                    </w:rPr>
                    <w:t>HW</w:t>
                  </w:r>
                  <w:r>
                    <w:rPr>
                      <w:rFonts w:hint="eastAsia"/>
                      <w:sz w:val="21"/>
                      <w:szCs w:val="21"/>
                    </w:rPr>
                    <w:t>08</w:t>
                  </w:r>
                </w:p>
              </w:tc>
              <w:tc>
                <w:tcPr>
                  <w:tcW w:w="1176" w:type="dxa"/>
                  <w:tcMar>
                    <w:left w:w="28" w:type="dxa"/>
                    <w:right w:w="28" w:type="dxa"/>
                  </w:tcMar>
                  <w:vAlign w:val="center"/>
                </w:tcPr>
                <w:p w14:paraId="2E25F343">
                  <w:pPr>
                    <w:spacing w:line="276" w:lineRule="auto"/>
                    <w:jc w:val="center"/>
                    <w:rPr>
                      <w:rFonts w:hAnsi="宋体"/>
                      <w:sz w:val="21"/>
                      <w:szCs w:val="21"/>
                    </w:rPr>
                  </w:pPr>
                  <w:r>
                    <w:rPr>
                      <w:rFonts w:hint="eastAsia"/>
                      <w:sz w:val="21"/>
                      <w:szCs w:val="21"/>
                    </w:rPr>
                    <w:t>900-249-08</w:t>
                  </w:r>
                </w:p>
              </w:tc>
              <w:tc>
                <w:tcPr>
                  <w:tcW w:w="739" w:type="dxa"/>
                  <w:tcMar>
                    <w:left w:w="28" w:type="dxa"/>
                    <w:right w:w="28" w:type="dxa"/>
                  </w:tcMar>
                  <w:vAlign w:val="center"/>
                </w:tcPr>
                <w:p w14:paraId="33EBC175">
                  <w:pPr>
                    <w:spacing w:line="276" w:lineRule="auto"/>
                    <w:jc w:val="center"/>
                    <w:rPr>
                      <w:rFonts w:hAnsi="宋体"/>
                      <w:sz w:val="21"/>
                      <w:szCs w:val="21"/>
                    </w:rPr>
                  </w:pPr>
                  <w:r>
                    <w:rPr>
                      <w:rFonts w:hint="eastAsia" w:hAnsi="宋体"/>
                      <w:sz w:val="21"/>
                      <w:szCs w:val="21"/>
                    </w:rPr>
                    <w:t>2</w:t>
                  </w:r>
                </w:p>
              </w:tc>
              <w:tc>
                <w:tcPr>
                  <w:tcW w:w="896" w:type="dxa"/>
                  <w:tcMar>
                    <w:left w:w="28" w:type="dxa"/>
                    <w:right w:w="28" w:type="dxa"/>
                  </w:tcMar>
                  <w:vAlign w:val="center"/>
                </w:tcPr>
                <w:p w14:paraId="66C3F765">
                  <w:pPr>
                    <w:spacing w:line="276" w:lineRule="auto"/>
                    <w:jc w:val="center"/>
                    <w:rPr>
                      <w:rFonts w:hAnsi="宋体"/>
                      <w:sz w:val="21"/>
                      <w:szCs w:val="21"/>
                    </w:rPr>
                  </w:pPr>
                  <w:r>
                    <w:rPr>
                      <w:rFonts w:hAnsi="宋体"/>
                      <w:sz w:val="21"/>
                      <w:szCs w:val="21"/>
                    </w:rPr>
                    <w:t>密封</w:t>
                  </w:r>
                </w:p>
              </w:tc>
              <w:tc>
                <w:tcPr>
                  <w:tcW w:w="1108" w:type="dxa"/>
                  <w:tcMar>
                    <w:left w:w="28" w:type="dxa"/>
                    <w:right w:w="28" w:type="dxa"/>
                  </w:tcMar>
                  <w:vAlign w:val="center"/>
                </w:tcPr>
                <w:p w14:paraId="66AB7163">
                  <w:pPr>
                    <w:spacing w:line="276" w:lineRule="auto"/>
                    <w:jc w:val="center"/>
                    <w:rPr>
                      <w:rFonts w:hAnsi="宋体"/>
                      <w:sz w:val="21"/>
                      <w:szCs w:val="21"/>
                    </w:rPr>
                  </w:pPr>
                  <w:r>
                    <w:rPr>
                      <w:rFonts w:hint="eastAsia" w:hAnsi="宋体"/>
                      <w:sz w:val="21"/>
                      <w:szCs w:val="21"/>
                    </w:rPr>
                    <w:t>0.015t</w:t>
                  </w:r>
                </w:p>
              </w:tc>
              <w:tc>
                <w:tcPr>
                  <w:tcW w:w="925" w:type="dxa"/>
                  <w:tcMar>
                    <w:left w:w="28" w:type="dxa"/>
                    <w:right w:w="28" w:type="dxa"/>
                  </w:tcMar>
                  <w:vAlign w:val="center"/>
                </w:tcPr>
                <w:p w14:paraId="613ADF16">
                  <w:pPr>
                    <w:spacing w:line="276" w:lineRule="auto"/>
                    <w:jc w:val="center"/>
                    <w:rPr>
                      <w:rFonts w:hAnsi="宋体"/>
                      <w:sz w:val="21"/>
                      <w:szCs w:val="21"/>
                    </w:rPr>
                  </w:pPr>
                  <w:r>
                    <w:rPr>
                      <w:rFonts w:hint="eastAsia" w:hAnsi="宋体"/>
                      <w:sz w:val="21"/>
                      <w:szCs w:val="21"/>
                    </w:rPr>
                    <w:t>3个月</w:t>
                  </w:r>
                </w:p>
              </w:tc>
            </w:tr>
            <w:tr w14:paraId="5FB41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47F9B6CC">
                  <w:pPr>
                    <w:spacing w:line="276" w:lineRule="auto"/>
                    <w:jc w:val="center"/>
                    <w:rPr>
                      <w:rFonts w:hAnsi="宋体"/>
                      <w:sz w:val="21"/>
                      <w:szCs w:val="21"/>
                    </w:rPr>
                  </w:pPr>
                  <w:r>
                    <w:rPr>
                      <w:rFonts w:hint="eastAsia" w:hAnsi="宋体"/>
                      <w:sz w:val="21"/>
                      <w:szCs w:val="21"/>
                    </w:rPr>
                    <w:t>9</w:t>
                  </w:r>
                </w:p>
              </w:tc>
              <w:tc>
                <w:tcPr>
                  <w:tcW w:w="689" w:type="dxa"/>
                  <w:vMerge w:val="continue"/>
                  <w:tcMar>
                    <w:left w:w="28" w:type="dxa"/>
                    <w:right w:w="28" w:type="dxa"/>
                  </w:tcMar>
                  <w:vAlign w:val="center"/>
                </w:tcPr>
                <w:p w14:paraId="79DE2E9C">
                  <w:pPr>
                    <w:spacing w:line="276" w:lineRule="auto"/>
                    <w:jc w:val="center"/>
                    <w:rPr>
                      <w:rFonts w:hAnsi="宋体"/>
                      <w:sz w:val="21"/>
                      <w:szCs w:val="21"/>
                    </w:rPr>
                  </w:pPr>
                </w:p>
              </w:tc>
              <w:tc>
                <w:tcPr>
                  <w:tcW w:w="1058" w:type="dxa"/>
                  <w:tcMar>
                    <w:left w:w="28" w:type="dxa"/>
                    <w:right w:w="28" w:type="dxa"/>
                  </w:tcMar>
                  <w:vAlign w:val="center"/>
                </w:tcPr>
                <w:p w14:paraId="02C214A0">
                  <w:pPr>
                    <w:spacing w:line="276" w:lineRule="auto"/>
                    <w:jc w:val="center"/>
                    <w:rPr>
                      <w:rFonts w:hAnsi="宋体"/>
                      <w:sz w:val="21"/>
                      <w:szCs w:val="21"/>
                    </w:rPr>
                  </w:pPr>
                  <w:r>
                    <w:rPr>
                      <w:rFonts w:hAnsi="宋体"/>
                      <w:sz w:val="21"/>
                      <w:szCs w:val="21"/>
                    </w:rPr>
                    <w:t>含油抹布</w:t>
                  </w:r>
                </w:p>
              </w:tc>
              <w:tc>
                <w:tcPr>
                  <w:tcW w:w="849" w:type="dxa"/>
                  <w:tcMar>
                    <w:left w:w="28" w:type="dxa"/>
                    <w:right w:w="28" w:type="dxa"/>
                  </w:tcMar>
                  <w:vAlign w:val="center"/>
                </w:tcPr>
                <w:p w14:paraId="13BF762E">
                  <w:pPr>
                    <w:spacing w:line="276" w:lineRule="auto"/>
                    <w:jc w:val="center"/>
                    <w:rPr>
                      <w:rFonts w:hAnsi="宋体"/>
                      <w:sz w:val="21"/>
                      <w:szCs w:val="21"/>
                    </w:rPr>
                  </w:pPr>
                  <w:r>
                    <w:rPr>
                      <w:rFonts w:hint="eastAsia"/>
                      <w:sz w:val="21"/>
                      <w:szCs w:val="21"/>
                    </w:rPr>
                    <w:t>HW49</w:t>
                  </w:r>
                </w:p>
              </w:tc>
              <w:tc>
                <w:tcPr>
                  <w:tcW w:w="1176" w:type="dxa"/>
                  <w:tcMar>
                    <w:left w:w="28" w:type="dxa"/>
                    <w:right w:w="28" w:type="dxa"/>
                  </w:tcMar>
                  <w:vAlign w:val="center"/>
                </w:tcPr>
                <w:p w14:paraId="0D7F0D4F">
                  <w:pPr>
                    <w:spacing w:line="276" w:lineRule="auto"/>
                    <w:jc w:val="center"/>
                    <w:rPr>
                      <w:rFonts w:hAnsi="宋体"/>
                      <w:sz w:val="21"/>
                      <w:szCs w:val="21"/>
                    </w:rPr>
                  </w:pPr>
                  <w:r>
                    <w:rPr>
                      <w:rFonts w:hint="eastAsia"/>
                      <w:sz w:val="21"/>
                      <w:szCs w:val="21"/>
                    </w:rPr>
                    <w:t>900-041-49</w:t>
                  </w:r>
                </w:p>
              </w:tc>
              <w:tc>
                <w:tcPr>
                  <w:tcW w:w="739" w:type="dxa"/>
                  <w:tcMar>
                    <w:left w:w="28" w:type="dxa"/>
                    <w:right w:w="28" w:type="dxa"/>
                  </w:tcMar>
                  <w:vAlign w:val="center"/>
                </w:tcPr>
                <w:p w14:paraId="7CDFC422">
                  <w:pPr>
                    <w:spacing w:line="276" w:lineRule="auto"/>
                    <w:jc w:val="center"/>
                    <w:rPr>
                      <w:rFonts w:hAnsi="宋体"/>
                      <w:sz w:val="21"/>
                      <w:szCs w:val="21"/>
                    </w:rPr>
                  </w:pPr>
                  <w:r>
                    <w:rPr>
                      <w:rFonts w:hint="eastAsia" w:hAnsi="宋体"/>
                      <w:sz w:val="21"/>
                      <w:szCs w:val="21"/>
                    </w:rPr>
                    <w:t>1</w:t>
                  </w:r>
                </w:p>
              </w:tc>
              <w:tc>
                <w:tcPr>
                  <w:tcW w:w="896" w:type="dxa"/>
                  <w:tcMar>
                    <w:left w:w="28" w:type="dxa"/>
                    <w:right w:w="28" w:type="dxa"/>
                  </w:tcMar>
                  <w:vAlign w:val="center"/>
                </w:tcPr>
                <w:p w14:paraId="17311A41">
                  <w:pPr>
                    <w:spacing w:line="276" w:lineRule="auto"/>
                    <w:jc w:val="center"/>
                    <w:rPr>
                      <w:rFonts w:hAnsi="宋体"/>
                      <w:sz w:val="21"/>
                      <w:szCs w:val="21"/>
                    </w:rPr>
                  </w:pPr>
                  <w:r>
                    <w:rPr>
                      <w:rFonts w:hAnsi="宋体"/>
                      <w:sz w:val="21"/>
                      <w:szCs w:val="21"/>
                    </w:rPr>
                    <w:t>袋装密封</w:t>
                  </w:r>
                </w:p>
              </w:tc>
              <w:tc>
                <w:tcPr>
                  <w:tcW w:w="1108" w:type="dxa"/>
                  <w:tcMar>
                    <w:left w:w="28" w:type="dxa"/>
                    <w:right w:w="28" w:type="dxa"/>
                  </w:tcMar>
                  <w:vAlign w:val="center"/>
                </w:tcPr>
                <w:p w14:paraId="3440895F">
                  <w:pPr>
                    <w:spacing w:line="276" w:lineRule="auto"/>
                    <w:jc w:val="center"/>
                    <w:rPr>
                      <w:rFonts w:hAnsi="宋体"/>
                      <w:sz w:val="21"/>
                      <w:szCs w:val="21"/>
                    </w:rPr>
                  </w:pPr>
                  <w:r>
                    <w:rPr>
                      <w:rFonts w:hint="eastAsia" w:hAnsi="宋体"/>
                      <w:sz w:val="21"/>
                      <w:szCs w:val="21"/>
                    </w:rPr>
                    <w:t>0.0125t</w:t>
                  </w:r>
                </w:p>
              </w:tc>
              <w:tc>
                <w:tcPr>
                  <w:tcW w:w="925" w:type="dxa"/>
                  <w:tcMar>
                    <w:left w:w="28" w:type="dxa"/>
                    <w:right w:w="28" w:type="dxa"/>
                  </w:tcMar>
                  <w:vAlign w:val="center"/>
                </w:tcPr>
                <w:p w14:paraId="5770CE22">
                  <w:pPr>
                    <w:spacing w:line="276" w:lineRule="auto"/>
                    <w:jc w:val="center"/>
                    <w:rPr>
                      <w:rFonts w:hAnsi="宋体"/>
                      <w:sz w:val="21"/>
                      <w:szCs w:val="21"/>
                    </w:rPr>
                  </w:pPr>
                  <w:r>
                    <w:rPr>
                      <w:rFonts w:hint="eastAsia" w:hAnsi="宋体"/>
                      <w:sz w:val="21"/>
                      <w:szCs w:val="21"/>
                    </w:rPr>
                    <w:t>3个月</w:t>
                  </w:r>
                </w:p>
              </w:tc>
            </w:tr>
            <w:tr w14:paraId="75A22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3" w:type="dxa"/>
                  <w:tcMar>
                    <w:left w:w="28" w:type="dxa"/>
                    <w:right w:w="28" w:type="dxa"/>
                  </w:tcMar>
                  <w:vAlign w:val="center"/>
                </w:tcPr>
                <w:p w14:paraId="1E31C47B">
                  <w:pPr>
                    <w:spacing w:line="276" w:lineRule="auto"/>
                    <w:jc w:val="center"/>
                    <w:rPr>
                      <w:rFonts w:hAnsi="宋体"/>
                      <w:sz w:val="21"/>
                      <w:szCs w:val="21"/>
                    </w:rPr>
                  </w:pPr>
                  <w:r>
                    <w:rPr>
                      <w:rFonts w:hint="eastAsia" w:hAnsi="宋体"/>
                      <w:sz w:val="21"/>
                      <w:szCs w:val="21"/>
                    </w:rPr>
                    <w:t>10</w:t>
                  </w:r>
                </w:p>
              </w:tc>
              <w:tc>
                <w:tcPr>
                  <w:tcW w:w="689" w:type="dxa"/>
                  <w:vMerge w:val="continue"/>
                  <w:tcMar>
                    <w:left w:w="28" w:type="dxa"/>
                    <w:right w:w="28" w:type="dxa"/>
                  </w:tcMar>
                  <w:vAlign w:val="center"/>
                </w:tcPr>
                <w:p w14:paraId="715021EA">
                  <w:pPr>
                    <w:spacing w:line="276" w:lineRule="auto"/>
                    <w:jc w:val="center"/>
                    <w:rPr>
                      <w:rFonts w:hAnsi="宋体"/>
                      <w:sz w:val="21"/>
                      <w:szCs w:val="21"/>
                    </w:rPr>
                  </w:pPr>
                </w:p>
              </w:tc>
              <w:tc>
                <w:tcPr>
                  <w:tcW w:w="1058" w:type="dxa"/>
                  <w:tcMar>
                    <w:left w:w="28" w:type="dxa"/>
                    <w:right w:w="28" w:type="dxa"/>
                  </w:tcMar>
                  <w:vAlign w:val="center"/>
                </w:tcPr>
                <w:p w14:paraId="00F82E5D">
                  <w:pPr>
                    <w:spacing w:line="276" w:lineRule="auto"/>
                    <w:jc w:val="center"/>
                    <w:rPr>
                      <w:rFonts w:hAnsi="宋体"/>
                      <w:sz w:val="21"/>
                      <w:szCs w:val="21"/>
                    </w:rPr>
                  </w:pPr>
                  <w:r>
                    <w:rPr>
                      <w:rFonts w:hint="eastAsia" w:hAnsi="宋体"/>
                      <w:sz w:val="21"/>
                      <w:szCs w:val="21"/>
                    </w:rPr>
                    <w:t>废活性炭</w:t>
                  </w:r>
                </w:p>
              </w:tc>
              <w:tc>
                <w:tcPr>
                  <w:tcW w:w="849" w:type="dxa"/>
                  <w:tcMar>
                    <w:left w:w="28" w:type="dxa"/>
                    <w:right w:w="28" w:type="dxa"/>
                  </w:tcMar>
                  <w:vAlign w:val="center"/>
                </w:tcPr>
                <w:p w14:paraId="7894C665">
                  <w:pPr>
                    <w:spacing w:line="276" w:lineRule="auto"/>
                    <w:jc w:val="center"/>
                    <w:rPr>
                      <w:sz w:val="21"/>
                      <w:szCs w:val="21"/>
                    </w:rPr>
                  </w:pPr>
                  <w:r>
                    <w:rPr>
                      <w:rFonts w:hint="eastAsia"/>
                      <w:sz w:val="21"/>
                      <w:szCs w:val="21"/>
                    </w:rPr>
                    <w:t>HW49</w:t>
                  </w:r>
                </w:p>
              </w:tc>
              <w:tc>
                <w:tcPr>
                  <w:tcW w:w="1176" w:type="dxa"/>
                  <w:tcMar>
                    <w:left w:w="28" w:type="dxa"/>
                    <w:right w:w="28" w:type="dxa"/>
                  </w:tcMar>
                  <w:vAlign w:val="center"/>
                </w:tcPr>
                <w:p w14:paraId="5A5E3BF0">
                  <w:pPr>
                    <w:spacing w:line="276" w:lineRule="auto"/>
                    <w:jc w:val="center"/>
                    <w:rPr>
                      <w:sz w:val="21"/>
                      <w:szCs w:val="21"/>
                    </w:rPr>
                  </w:pPr>
                  <w:r>
                    <w:rPr>
                      <w:rFonts w:hint="eastAsia"/>
                      <w:sz w:val="21"/>
                      <w:szCs w:val="21"/>
                    </w:rPr>
                    <w:t>900-039-49</w:t>
                  </w:r>
                </w:p>
              </w:tc>
              <w:tc>
                <w:tcPr>
                  <w:tcW w:w="739" w:type="dxa"/>
                  <w:tcMar>
                    <w:left w:w="28" w:type="dxa"/>
                    <w:right w:w="28" w:type="dxa"/>
                  </w:tcMar>
                  <w:vAlign w:val="center"/>
                </w:tcPr>
                <w:p w14:paraId="63FCDA68">
                  <w:pPr>
                    <w:spacing w:line="276" w:lineRule="auto"/>
                    <w:jc w:val="center"/>
                    <w:rPr>
                      <w:rFonts w:hAnsi="宋体"/>
                      <w:sz w:val="21"/>
                      <w:szCs w:val="21"/>
                    </w:rPr>
                  </w:pPr>
                  <w:r>
                    <w:rPr>
                      <w:rFonts w:hint="eastAsia" w:hAnsi="宋体"/>
                      <w:sz w:val="21"/>
                      <w:szCs w:val="21"/>
                    </w:rPr>
                    <w:t>5</w:t>
                  </w:r>
                </w:p>
              </w:tc>
              <w:tc>
                <w:tcPr>
                  <w:tcW w:w="896" w:type="dxa"/>
                  <w:tcMar>
                    <w:left w:w="28" w:type="dxa"/>
                    <w:right w:w="28" w:type="dxa"/>
                  </w:tcMar>
                  <w:vAlign w:val="center"/>
                </w:tcPr>
                <w:p w14:paraId="206EBAE4">
                  <w:pPr>
                    <w:spacing w:line="276" w:lineRule="auto"/>
                    <w:jc w:val="center"/>
                    <w:rPr>
                      <w:rFonts w:hAnsi="宋体"/>
                      <w:sz w:val="21"/>
                      <w:szCs w:val="21"/>
                    </w:rPr>
                  </w:pPr>
                  <w:r>
                    <w:rPr>
                      <w:rFonts w:hAnsi="宋体"/>
                      <w:sz w:val="21"/>
                      <w:szCs w:val="21"/>
                    </w:rPr>
                    <w:t>袋装密封</w:t>
                  </w:r>
                </w:p>
              </w:tc>
              <w:tc>
                <w:tcPr>
                  <w:tcW w:w="1108" w:type="dxa"/>
                  <w:tcMar>
                    <w:left w:w="28" w:type="dxa"/>
                    <w:right w:w="28" w:type="dxa"/>
                  </w:tcMar>
                  <w:vAlign w:val="center"/>
                </w:tcPr>
                <w:p w14:paraId="0D24A170">
                  <w:pPr>
                    <w:spacing w:line="276" w:lineRule="auto"/>
                    <w:jc w:val="center"/>
                    <w:rPr>
                      <w:rFonts w:hAnsi="宋体"/>
                      <w:sz w:val="21"/>
                      <w:szCs w:val="21"/>
                    </w:rPr>
                  </w:pPr>
                  <w:r>
                    <w:rPr>
                      <w:rFonts w:hint="eastAsia" w:hAnsi="宋体"/>
                      <w:sz w:val="21"/>
                      <w:szCs w:val="21"/>
                      <w:lang w:val="en-US" w:eastAsia="zh-CN"/>
                    </w:rPr>
                    <w:t>2.625</w:t>
                  </w:r>
                  <w:r>
                    <w:rPr>
                      <w:rFonts w:hint="eastAsia" w:hAnsi="宋体"/>
                      <w:sz w:val="21"/>
                      <w:szCs w:val="21"/>
                    </w:rPr>
                    <w:t>t</w:t>
                  </w:r>
                </w:p>
              </w:tc>
              <w:tc>
                <w:tcPr>
                  <w:tcW w:w="925" w:type="dxa"/>
                  <w:tcMar>
                    <w:left w:w="28" w:type="dxa"/>
                    <w:right w:w="28" w:type="dxa"/>
                  </w:tcMar>
                  <w:vAlign w:val="center"/>
                </w:tcPr>
                <w:p w14:paraId="65E351B9">
                  <w:pPr>
                    <w:spacing w:line="276" w:lineRule="auto"/>
                    <w:jc w:val="center"/>
                    <w:rPr>
                      <w:rFonts w:hAnsi="宋体"/>
                      <w:sz w:val="21"/>
                      <w:szCs w:val="21"/>
                    </w:rPr>
                  </w:pPr>
                  <w:r>
                    <w:rPr>
                      <w:rFonts w:hint="eastAsia" w:hAnsi="宋体"/>
                      <w:sz w:val="21"/>
                      <w:szCs w:val="21"/>
                      <w:lang w:val="en-US" w:eastAsia="zh-CN"/>
                    </w:rPr>
                    <w:t>1</w:t>
                  </w:r>
                  <w:r>
                    <w:rPr>
                      <w:rFonts w:hint="eastAsia" w:hAnsi="宋体"/>
                      <w:sz w:val="21"/>
                      <w:szCs w:val="21"/>
                    </w:rPr>
                    <w:t>个月</w:t>
                  </w:r>
                </w:p>
              </w:tc>
            </w:tr>
            <w:tr w14:paraId="0E30F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5" w:type="dxa"/>
                  <w:gridSpan w:val="5"/>
                  <w:tcMar>
                    <w:left w:w="28" w:type="dxa"/>
                    <w:right w:w="28" w:type="dxa"/>
                  </w:tcMar>
                  <w:vAlign w:val="center"/>
                </w:tcPr>
                <w:p w14:paraId="5D7C01EE">
                  <w:pPr>
                    <w:spacing w:line="276" w:lineRule="auto"/>
                    <w:jc w:val="center"/>
                    <w:rPr>
                      <w:sz w:val="21"/>
                      <w:szCs w:val="21"/>
                    </w:rPr>
                  </w:pPr>
                  <w:r>
                    <w:rPr>
                      <w:rFonts w:hint="eastAsia" w:hAnsi="宋体"/>
                      <w:sz w:val="21"/>
                      <w:szCs w:val="21"/>
                    </w:rPr>
                    <w:t>合计</w:t>
                  </w:r>
                </w:p>
              </w:tc>
              <w:tc>
                <w:tcPr>
                  <w:tcW w:w="739" w:type="dxa"/>
                  <w:tcMar>
                    <w:left w:w="28" w:type="dxa"/>
                    <w:right w:w="28" w:type="dxa"/>
                  </w:tcMar>
                  <w:vAlign w:val="center"/>
                </w:tcPr>
                <w:p w14:paraId="58268B2A">
                  <w:pPr>
                    <w:spacing w:line="276" w:lineRule="auto"/>
                    <w:jc w:val="center"/>
                    <w:rPr>
                      <w:rFonts w:hAnsi="宋体"/>
                      <w:sz w:val="21"/>
                      <w:szCs w:val="21"/>
                    </w:rPr>
                  </w:pPr>
                  <w:r>
                    <w:rPr>
                      <w:rFonts w:hint="eastAsia" w:hAnsi="宋体"/>
                      <w:sz w:val="21"/>
                      <w:szCs w:val="21"/>
                    </w:rPr>
                    <w:t>50m</w:t>
                  </w:r>
                  <w:r>
                    <w:rPr>
                      <w:rFonts w:hint="eastAsia" w:hAnsi="宋体"/>
                      <w:sz w:val="21"/>
                      <w:szCs w:val="21"/>
                      <w:vertAlign w:val="superscript"/>
                    </w:rPr>
                    <w:t>2</w:t>
                  </w:r>
                </w:p>
              </w:tc>
              <w:tc>
                <w:tcPr>
                  <w:tcW w:w="896" w:type="dxa"/>
                  <w:tcMar>
                    <w:left w:w="28" w:type="dxa"/>
                    <w:right w:w="28" w:type="dxa"/>
                  </w:tcMar>
                  <w:vAlign w:val="center"/>
                </w:tcPr>
                <w:p w14:paraId="010F7EC7">
                  <w:pPr>
                    <w:spacing w:line="276" w:lineRule="auto"/>
                    <w:jc w:val="center"/>
                    <w:rPr>
                      <w:rFonts w:hAnsi="宋体"/>
                      <w:sz w:val="21"/>
                      <w:szCs w:val="21"/>
                    </w:rPr>
                  </w:pPr>
                  <w:r>
                    <w:rPr>
                      <w:rFonts w:hint="eastAsia" w:hAnsi="宋体"/>
                      <w:sz w:val="21"/>
                      <w:szCs w:val="21"/>
                    </w:rPr>
                    <w:t>/</w:t>
                  </w:r>
                </w:p>
              </w:tc>
              <w:tc>
                <w:tcPr>
                  <w:tcW w:w="1108" w:type="dxa"/>
                  <w:tcMar>
                    <w:left w:w="28" w:type="dxa"/>
                    <w:right w:w="28" w:type="dxa"/>
                  </w:tcMar>
                  <w:vAlign w:val="center"/>
                </w:tcPr>
                <w:p w14:paraId="145C6187">
                  <w:pPr>
                    <w:spacing w:line="276" w:lineRule="auto"/>
                    <w:jc w:val="center"/>
                    <w:rPr>
                      <w:rFonts w:hAnsi="宋体"/>
                      <w:sz w:val="21"/>
                      <w:szCs w:val="21"/>
                    </w:rPr>
                  </w:pPr>
                  <w:r>
                    <w:rPr>
                      <w:rFonts w:hint="eastAsia" w:hAnsi="宋体"/>
                      <w:sz w:val="21"/>
                      <w:szCs w:val="21"/>
                    </w:rPr>
                    <w:t>/</w:t>
                  </w:r>
                </w:p>
              </w:tc>
              <w:tc>
                <w:tcPr>
                  <w:tcW w:w="925" w:type="dxa"/>
                  <w:tcMar>
                    <w:left w:w="28" w:type="dxa"/>
                    <w:right w:w="28" w:type="dxa"/>
                  </w:tcMar>
                  <w:vAlign w:val="center"/>
                </w:tcPr>
                <w:p w14:paraId="0CFEC0D6">
                  <w:pPr>
                    <w:spacing w:line="276" w:lineRule="auto"/>
                    <w:jc w:val="center"/>
                    <w:rPr>
                      <w:rFonts w:hAnsi="宋体"/>
                      <w:sz w:val="21"/>
                      <w:szCs w:val="21"/>
                    </w:rPr>
                  </w:pPr>
                  <w:r>
                    <w:rPr>
                      <w:rFonts w:hint="eastAsia" w:hAnsi="宋体"/>
                      <w:sz w:val="21"/>
                      <w:szCs w:val="21"/>
                    </w:rPr>
                    <w:t>/</w:t>
                  </w:r>
                </w:p>
              </w:tc>
            </w:tr>
          </w:tbl>
          <w:p w14:paraId="56380C7C">
            <w:pPr>
              <w:spacing w:line="360" w:lineRule="auto"/>
              <w:ind w:firstLine="482" w:firstLineChars="200"/>
              <w:rPr>
                <w:b/>
              </w:rPr>
            </w:pPr>
            <w:r>
              <w:rPr>
                <w:rFonts w:hint="eastAsia"/>
                <w:b/>
              </w:rPr>
              <w:t>五、土壤、地下水环境影响和保护措施</w:t>
            </w:r>
          </w:p>
          <w:p w14:paraId="53D28AE3">
            <w:pPr>
              <w:spacing w:line="360" w:lineRule="auto"/>
              <w:ind w:firstLine="480" w:firstLineChars="200"/>
              <w:rPr>
                <w:bCs/>
              </w:rPr>
            </w:pPr>
            <w:r>
              <w:rPr>
                <w:rFonts w:hint="eastAsia"/>
                <w:bCs/>
              </w:rPr>
              <w:t>本项目实施雨污分流。生活污水经化粪池处理后满足淮南经济技术开发区工业污水处理厂接管限值后，排入淮南经济技术开发区工业污水处理厂处理。</w:t>
            </w:r>
          </w:p>
          <w:p w14:paraId="3EA5A3D0">
            <w:pPr>
              <w:spacing w:line="360" w:lineRule="auto"/>
              <w:ind w:firstLine="480" w:firstLineChars="200"/>
            </w:pPr>
            <w:r>
              <w:rPr>
                <w:rFonts w:hint="eastAsia" w:hAnsi="宋体"/>
                <w:bCs/>
              </w:rPr>
              <w:t>本项目</w:t>
            </w:r>
            <w:r>
              <w:t>不会对地下水环境</w:t>
            </w:r>
            <w:r>
              <w:rPr>
                <w:rFonts w:hint="eastAsia"/>
              </w:rPr>
              <w:t>、</w:t>
            </w:r>
            <w:r>
              <w:t>土壤环境产生显著影响。</w:t>
            </w:r>
            <w:r>
              <w:rPr>
                <w:rFonts w:hint="eastAsia"/>
              </w:rPr>
              <w:t>为更好的保护地下水环境、土壤环境，将本项目对地下水、土壤的影响降至最低，应采取以下的污染防治措施。</w:t>
            </w:r>
          </w:p>
          <w:p w14:paraId="55E639AE">
            <w:pPr>
              <w:pStyle w:val="32"/>
              <w:tabs>
                <w:tab w:val="center" w:pos="4165"/>
              </w:tabs>
              <w:adjustRightInd/>
              <w:spacing w:line="360" w:lineRule="auto"/>
              <w:ind w:firstLine="480" w:firstLineChars="200"/>
              <w:rPr>
                <w:color w:val="auto"/>
              </w:rPr>
            </w:pPr>
            <w:r>
              <w:rPr>
                <w:rFonts w:hint="eastAsia"/>
                <w:color w:val="auto"/>
              </w:rPr>
              <w:t>（1）源头控制</w:t>
            </w:r>
          </w:p>
          <w:p w14:paraId="439AF5B1">
            <w:pPr>
              <w:pStyle w:val="32"/>
              <w:adjustRightInd/>
              <w:spacing w:line="360" w:lineRule="auto"/>
              <w:ind w:firstLine="480" w:firstLineChars="200"/>
              <w:rPr>
                <w:color w:val="auto"/>
              </w:rPr>
            </w:pPr>
            <w:r>
              <w:rPr>
                <w:rFonts w:hint="eastAsia"/>
                <w:color w:val="auto"/>
              </w:rPr>
              <w:t>严格按照国家相关规范要求，坚持预防为主，防治结合，综合治理的原则，从源头上减少地下水、土壤污染源的产生，是符合污染防治的基本措施。</w:t>
            </w:r>
          </w:p>
          <w:p w14:paraId="6A19FD1E">
            <w:pPr>
              <w:pStyle w:val="32"/>
              <w:adjustRightInd/>
              <w:spacing w:line="360" w:lineRule="auto"/>
              <w:ind w:firstLine="480" w:firstLineChars="200"/>
              <w:rPr>
                <w:color w:val="auto"/>
              </w:rPr>
            </w:pPr>
            <w:r>
              <w:rPr>
                <w:rFonts w:hint="eastAsia"/>
                <w:color w:val="auto"/>
              </w:rPr>
              <w:t>（2）分区防渗</w:t>
            </w:r>
          </w:p>
          <w:p w14:paraId="69B4975F">
            <w:pPr>
              <w:pStyle w:val="34"/>
              <w:spacing w:line="360" w:lineRule="auto"/>
              <w:ind w:firstLine="480"/>
              <w:rPr>
                <w:sz w:val="24"/>
                <w:szCs w:val="24"/>
              </w:rPr>
            </w:pPr>
            <w:r>
              <w:rPr>
                <w:rFonts w:hint="eastAsia"/>
                <w:sz w:val="24"/>
                <w:szCs w:val="24"/>
              </w:rPr>
              <w:t>①重点防渗区：</w:t>
            </w:r>
            <w:r>
              <w:rPr>
                <w:sz w:val="24"/>
                <w:szCs w:val="24"/>
              </w:rPr>
              <w:t>重点防渗区是</w:t>
            </w:r>
            <w:r>
              <w:rPr>
                <w:rFonts w:hint="eastAsia"/>
                <w:sz w:val="24"/>
                <w:szCs w:val="24"/>
              </w:rPr>
              <w:t>指对地下水环境隐患大的区域，</w:t>
            </w:r>
            <w:r>
              <w:rPr>
                <w:sz w:val="24"/>
                <w:szCs w:val="24"/>
              </w:rPr>
              <w:t>泄漏污染物</w:t>
            </w:r>
            <w:r>
              <w:rPr>
                <w:rFonts w:hint="eastAsia"/>
                <w:sz w:val="24"/>
                <w:szCs w:val="24"/>
              </w:rPr>
              <w:t>可能会</w:t>
            </w:r>
            <w:r>
              <w:rPr>
                <w:sz w:val="24"/>
                <w:szCs w:val="24"/>
              </w:rPr>
              <w:t>对地下水造成污染，</w:t>
            </w:r>
            <w:r>
              <w:rPr>
                <w:rFonts w:hint="eastAsia"/>
                <w:sz w:val="24"/>
                <w:szCs w:val="24"/>
              </w:rPr>
              <w:t>泄漏</w:t>
            </w:r>
            <w:r>
              <w:rPr>
                <w:sz w:val="24"/>
                <w:szCs w:val="24"/>
              </w:rPr>
              <w:t>不</w:t>
            </w:r>
            <w:r>
              <w:rPr>
                <w:rFonts w:hint="eastAsia"/>
                <w:sz w:val="24"/>
                <w:szCs w:val="24"/>
              </w:rPr>
              <w:t>易</w:t>
            </w:r>
            <w:r>
              <w:rPr>
                <w:sz w:val="24"/>
                <w:szCs w:val="24"/>
              </w:rPr>
              <w:t>及时发现和处理，需要重点防治或者需要重点保护的区域</w:t>
            </w:r>
            <w:r>
              <w:rPr>
                <w:rFonts w:hint="eastAsia"/>
                <w:sz w:val="24"/>
                <w:szCs w:val="24"/>
              </w:rPr>
              <w:t>。</w:t>
            </w:r>
          </w:p>
          <w:p w14:paraId="52BFEA75">
            <w:pPr>
              <w:spacing w:line="360" w:lineRule="auto"/>
              <w:ind w:firstLine="480" w:firstLineChars="200"/>
            </w:pPr>
            <w:r>
              <w:rPr>
                <w:rFonts w:hint="eastAsia" w:hAnsi="宋体"/>
              </w:rPr>
              <w:t>本项目危废暂存间、抛丸区、清洗区、涂胶区、硫化注胶区和硫化配件区采取重点防渗。</w:t>
            </w:r>
          </w:p>
          <w:p w14:paraId="1EE18E21">
            <w:pPr>
              <w:pStyle w:val="34"/>
              <w:spacing w:line="360" w:lineRule="auto"/>
              <w:ind w:firstLine="480"/>
              <w:rPr>
                <w:sz w:val="24"/>
                <w:szCs w:val="24"/>
              </w:rPr>
            </w:pPr>
            <w:r>
              <w:rPr>
                <w:rFonts w:hint="eastAsia"/>
                <w:sz w:val="24"/>
                <w:szCs w:val="24"/>
              </w:rPr>
              <w:t>②一般防渗区：一般防渗区是指可能会对地下水和土壤造成污染，但危害性或风险程度相对较低的区域，本项目将切割区、冲压区、焊接区、抛边区、原料区、冲压模具库区和焊接配件堆放区设为一般防渗区。</w:t>
            </w:r>
          </w:p>
          <w:p w14:paraId="348A064A">
            <w:pPr>
              <w:pStyle w:val="34"/>
              <w:spacing w:line="360" w:lineRule="auto"/>
              <w:ind w:firstLine="480"/>
              <w:rPr>
                <w:rFonts w:eastAsia="黑体"/>
              </w:rPr>
            </w:pPr>
            <w:r>
              <w:rPr>
                <w:rFonts w:hint="eastAsia"/>
                <w:sz w:val="24"/>
                <w:szCs w:val="24"/>
              </w:rPr>
              <w:t>③简单防渗区：一般不会对地下水造成污染的区域，除重点防渗、一般防渗外的其他区域只需一般地面硬化。</w:t>
            </w:r>
            <w:bookmarkStart w:id="9" w:name="_Toc97798158"/>
            <w:bookmarkStart w:id="10" w:name="_Toc97798421"/>
          </w:p>
          <w:p w14:paraId="4D14A2D4">
            <w:pPr>
              <w:spacing w:line="360" w:lineRule="auto"/>
              <w:jc w:val="center"/>
              <w:outlineLvl w:val="0"/>
              <w:rPr>
                <w:rFonts w:hAnsi="黑体" w:eastAsia="黑体"/>
              </w:rPr>
            </w:pPr>
            <w:r>
              <w:rPr>
                <w:rFonts w:eastAsia="黑体"/>
              </w:rPr>
              <w:t>表</w:t>
            </w:r>
            <w:r>
              <w:rPr>
                <w:rFonts w:hint="eastAsia" w:eastAsia="黑体"/>
              </w:rPr>
              <w:t>4-1</w:t>
            </w:r>
            <w:r>
              <w:rPr>
                <w:rFonts w:hint="eastAsia" w:eastAsia="黑体"/>
                <w:lang w:val="en-US" w:eastAsia="zh-CN"/>
              </w:rPr>
              <w:t xml:space="preserve">1  </w:t>
            </w:r>
            <w:r>
              <w:rPr>
                <w:rFonts w:hint="eastAsia" w:eastAsia="黑体"/>
                <w:bCs/>
              </w:rPr>
              <w:t>本项目分区防渗</w:t>
            </w:r>
            <w:r>
              <w:rPr>
                <w:rFonts w:hAnsi="黑体" w:eastAsia="黑体"/>
              </w:rPr>
              <w:t>措施要求</w:t>
            </w:r>
            <w:bookmarkEnd w:id="9"/>
            <w:bookmarkEnd w:id="10"/>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200"/>
              <w:gridCol w:w="2845"/>
              <w:gridCol w:w="1642"/>
            </w:tblGrid>
            <w:tr w14:paraId="5093CD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77" w:type="pct"/>
                  <w:vAlign w:val="center"/>
                </w:tcPr>
                <w:p w14:paraId="78D2E556">
                  <w:pPr>
                    <w:widowControl/>
                    <w:autoSpaceDN w:val="0"/>
                    <w:spacing w:line="276" w:lineRule="auto"/>
                    <w:jc w:val="center"/>
                    <w:rPr>
                      <w:b/>
                      <w:sz w:val="21"/>
                      <w:szCs w:val="21"/>
                    </w:rPr>
                  </w:pPr>
                  <w:r>
                    <w:rPr>
                      <w:rFonts w:hint="eastAsia"/>
                      <w:b/>
                      <w:sz w:val="21"/>
                      <w:szCs w:val="21"/>
                    </w:rPr>
                    <w:t>构筑物</w:t>
                  </w:r>
                  <w:r>
                    <w:rPr>
                      <w:b/>
                      <w:sz w:val="21"/>
                      <w:szCs w:val="21"/>
                    </w:rPr>
                    <w:t>单元名称</w:t>
                  </w:r>
                </w:p>
              </w:tc>
              <w:tc>
                <w:tcPr>
                  <w:tcW w:w="764" w:type="pct"/>
                  <w:vAlign w:val="center"/>
                </w:tcPr>
                <w:p w14:paraId="1D472E00">
                  <w:pPr>
                    <w:widowControl/>
                    <w:autoSpaceDN w:val="0"/>
                    <w:spacing w:line="276" w:lineRule="auto"/>
                    <w:jc w:val="center"/>
                    <w:rPr>
                      <w:b/>
                      <w:sz w:val="21"/>
                      <w:szCs w:val="21"/>
                    </w:rPr>
                  </w:pPr>
                  <w:r>
                    <w:rPr>
                      <w:b/>
                      <w:sz w:val="21"/>
                      <w:szCs w:val="21"/>
                    </w:rPr>
                    <w:t>污染防治区类别</w:t>
                  </w:r>
                </w:p>
              </w:tc>
              <w:tc>
                <w:tcPr>
                  <w:tcW w:w="1812" w:type="pct"/>
                  <w:vAlign w:val="center"/>
                </w:tcPr>
                <w:p w14:paraId="1605641B">
                  <w:pPr>
                    <w:widowControl/>
                    <w:autoSpaceDN w:val="0"/>
                    <w:spacing w:line="276" w:lineRule="auto"/>
                    <w:jc w:val="center"/>
                    <w:rPr>
                      <w:b/>
                      <w:sz w:val="21"/>
                      <w:szCs w:val="21"/>
                    </w:rPr>
                  </w:pPr>
                  <w:r>
                    <w:rPr>
                      <w:b/>
                      <w:sz w:val="21"/>
                      <w:szCs w:val="21"/>
                    </w:rPr>
                    <w:t>防渗设计要求</w:t>
                  </w:r>
                </w:p>
              </w:tc>
              <w:tc>
                <w:tcPr>
                  <w:tcW w:w="1046" w:type="pct"/>
                  <w:vAlign w:val="center"/>
                </w:tcPr>
                <w:p w14:paraId="478AAEF9">
                  <w:pPr>
                    <w:widowControl/>
                    <w:autoSpaceDN w:val="0"/>
                    <w:spacing w:line="276" w:lineRule="auto"/>
                    <w:jc w:val="center"/>
                    <w:rPr>
                      <w:b/>
                      <w:sz w:val="21"/>
                      <w:szCs w:val="21"/>
                    </w:rPr>
                  </w:pPr>
                  <w:r>
                    <w:rPr>
                      <w:b/>
                      <w:sz w:val="21"/>
                      <w:szCs w:val="21"/>
                    </w:rPr>
                    <w:t>具体防渗措施</w:t>
                  </w:r>
                </w:p>
              </w:tc>
            </w:tr>
            <w:tr w14:paraId="1A58A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77" w:type="pct"/>
                  <w:vAlign w:val="center"/>
                </w:tcPr>
                <w:p w14:paraId="22A19CF0">
                  <w:pPr>
                    <w:autoSpaceDE w:val="0"/>
                    <w:autoSpaceDN w:val="0"/>
                    <w:jc w:val="center"/>
                    <w:rPr>
                      <w:bCs/>
                      <w:sz w:val="21"/>
                      <w:szCs w:val="21"/>
                    </w:rPr>
                  </w:pPr>
                  <w:r>
                    <w:rPr>
                      <w:rFonts w:hint="eastAsia"/>
                      <w:bCs/>
                      <w:sz w:val="21"/>
                      <w:szCs w:val="21"/>
                    </w:rPr>
                    <w:t>危废暂存间</w:t>
                  </w:r>
                </w:p>
              </w:tc>
              <w:tc>
                <w:tcPr>
                  <w:tcW w:w="764" w:type="pct"/>
                  <w:vMerge w:val="restart"/>
                  <w:vAlign w:val="center"/>
                </w:tcPr>
                <w:p w14:paraId="027CCA4B">
                  <w:pPr>
                    <w:autoSpaceDE w:val="0"/>
                    <w:autoSpaceDN w:val="0"/>
                    <w:jc w:val="center"/>
                    <w:rPr>
                      <w:sz w:val="21"/>
                      <w:szCs w:val="21"/>
                    </w:rPr>
                  </w:pPr>
                  <w:r>
                    <w:rPr>
                      <w:sz w:val="21"/>
                      <w:szCs w:val="21"/>
                    </w:rPr>
                    <w:t>重点防渗区</w:t>
                  </w:r>
                </w:p>
              </w:tc>
              <w:tc>
                <w:tcPr>
                  <w:tcW w:w="1812" w:type="pct"/>
                  <w:vAlign w:val="center"/>
                </w:tcPr>
                <w:p w14:paraId="2761B3E4">
                  <w:pPr>
                    <w:autoSpaceDE w:val="0"/>
                    <w:autoSpaceDN w:val="0"/>
                    <w:jc w:val="center"/>
                    <w:rPr>
                      <w:bCs/>
                      <w:sz w:val="21"/>
                      <w:szCs w:val="21"/>
                    </w:rPr>
                  </w:pPr>
                  <w:r>
                    <w:rPr>
                      <w:rFonts w:hint="eastAsia"/>
                      <w:bCs/>
                      <w:sz w:val="21"/>
                      <w:szCs w:val="21"/>
                    </w:rPr>
                    <w:t>等效黏土防渗层Mb≥6.0m，K≤1×10</w:t>
                  </w:r>
                  <w:r>
                    <w:rPr>
                      <w:rFonts w:hint="eastAsia"/>
                      <w:bCs/>
                      <w:sz w:val="21"/>
                      <w:szCs w:val="21"/>
                      <w:vertAlign w:val="superscript"/>
                    </w:rPr>
                    <w:t>-7</w:t>
                  </w:r>
                  <w:r>
                    <w:rPr>
                      <w:rFonts w:hint="eastAsia"/>
                      <w:bCs/>
                      <w:sz w:val="21"/>
                      <w:szCs w:val="21"/>
                    </w:rPr>
                    <w:t>cm/s；还应进行基础防渗，防渗层为至少1m厚粘土层（渗透系数≤10</w:t>
                  </w:r>
                  <w:r>
                    <w:rPr>
                      <w:rFonts w:hint="eastAsia"/>
                      <w:bCs/>
                      <w:sz w:val="21"/>
                      <w:szCs w:val="21"/>
                      <w:vertAlign w:val="superscript"/>
                    </w:rPr>
                    <w:t>-7</w:t>
                  </w:r>
                  <w:r>
                    <w:rPr>
                      <w:rFonts w:hint="eastAsia"/>
                      <w:bCs/>
                      <w:sz w:val="21"/>
                      <w:szCs w:val="21"/>
                    </w:rPr>
                    <w:t>cm/s），或2mm厚高密度聚乙烯，或至少2mm厚的其他人工材料，渗透系数≤10</w:t>
                  </w:r>
                  <w:r>
                    <w:rPr>
                      <w:rFonts w:hint="eastAsia"/>
                      <w:bCs/>
                      <w:sz w:val="21"/>
                      <w:szCs w:val="21"/>
                      <w:vertAlign w:val="superscript"/>
                    </w:rPr>
                    <w:t>-10</w:t>
                  </w:r>
                  <w:r>
                    <w:rPr>
                      <w:rFonts w:hint="eastAsia"/>
                      <w:bCs/>
                      <w:sz w:val="21"/>
                      <w:szCs w:val="21"/>
                    </w:rPr>
                    <w:t>cm/s</w:t>
                  </w:r>
                </w:p>
              </w:tc>
              <w:tc>
                <w:tcPr>
                  <w:tcW w:w="1046" w:type="pct"/>
                  <w:vAlign w:val="center"/>
                </w:tcPr>
                <w:p w14:paraId="5EA53160">
                  <w:pPr>
                    <w:autoSpaceDE w:val="0"/>
                    <w:autoSpaceDN w:val="0"/>
                    <w:jc w:val="center"/>
                    <w:rPr>
                      <w:bCs/>
                      <w:sz w:val="21"/>
                      <w:szCs w:val="21"/>
                    </w:rPr>
                  </w:pPr>
                  <w:r>
                    <w:rPr>
                      <w:rFonts w:hint="eastAsia"/>
                      <w:bCs/>
                      <w:sz w:val="21"/>
                      <w:szCs w:val="21"/>
                    </w:rPr>
                    <w:t>10~15cm厚抗渗混凝土+2mm厚的HDPE膜+3mm厚环氧树脂防腐</w:t>
                  </w:r>
                </w:p>
              </w:tc>
            </w:tr>
            <w:tr w14:paraId="0ED91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7" w:type="pct"/>
                  <w:vAlign w:val="center"/>
                </w:tcPr>
                <w:p w14:paraId="6C16C3EE">
                  <w:pPr>
                    <w:autoSpaceDE w:val="0"/>
                    <w:autoSpaceDN w:val="0"/>
                    <w:jc w:val="center"/>
                    <w:rPr>
                      <w:bCs/>
                      <w:sz w:val="21"/>
                      <w:szCs w:val="21"/>
                    </w:rPr>
                  </w:pPr>
                  <w:r>
                    <w:rPr>
                      <w:rFonts w:hint="eastAsia"/>
                      <w:bCs/>
                      <w:sz w:val="21"/>
                      <w:szCs w:val="21"/>
                    </w:rPr>
                    <w:t>抛丸区、清洗区、涂胶区、硫化注胶区和硫化配件区</w:t>
                  </w:r>
                </w:p>
              </w:tc>
              <w:tc>
                <w:tcPr>
                  <w:tcW w:w="764" w:type="pct"/>
                  <w:vMerge w:val="continue"/>
                  <w:vAlign w:val="center"/>
                </w:tcPr>
                <w:p w14:paraId="282D98D1">
                  <w:pPr>
                    <w:autoSpaceDE w:val="0"/>
                    <w:autoSpaceDN w:val="0"/>
                    <w:jc w:val="center"/>
                    <w:rPr>
                      <w:sz w:val="21"/>
                      <w:szCs w:val="21"/>
                    </w:rPr>
                  </w:pPr>
                </w:p>
              </w:tc>
              <w:tc>
                <w:tcPr>
                  <w:tcW w:w="1812" w:type="pct"/>
                  <w:vAlign w:val="center"/>
                </w:tcPr>
                <w:p w14:paraId="27DFD1DA">
                  <w:pPr>
                    <w:autoSpaceDE w:val="0"/>
                    <w:autoSpaceDN w:val="0"/>
                    <w:jc w:val="center"/>
                    <w:rPr>
                      <w:bCs/>
                      <w:sz w:val="21"/>
                      <w:szCs w:val="21"/>
                    </w:rPr>
                  </w:pPr>
                  <w:r>
                    <w:rPr>
                      <w:rFonts w:hint="eastAsia"/>
                      <w:bCs/>
                      <w:sz w:val="21"/>
                      <w:szCs w:val="21"/>
                    </w:rPr>
                    <w:t>等效黏土防渗层Mb≥6.0m，K≤1×10</w:t>
                  </w:r>
                  <w:r>
                    <w:rPr>
                      <w:rFonts w:hint="eastAsia"/>
                      <w:bCs/>
                      <w:sz w:val="21"/>
                      <w:szCs w:val="21"/>
                      <w:vertAlign w:val="superscript"/>
                    </w:rPr>
                    <w:t>-7</w:t>
                  </w:r>
                  <w:r>
                    <w:rPr>
                      <w:rFonts w:hint="eastAsia"/>
                      <w:bCs/>
                      <w:sz w:val="21"/>
                      <w:szCs w:val="21"/>
                    </w:rPr>
                    <w:t>cm/s</w:t>
                  </w:r>
                </w:p>
              </w:tc>
              <w:tc>
                <w:tcPr>
                  <w:tcW w:w="1046" w:type="pct"/>
                  <w:vAlign w:val="center"/>
                </w:tcPr>
                <w:p w14:paraId="3A2BD770">
                  <w:pPr>
                    <w:autoSpaceDE w:val="0"/>
                    <w:autoSpaceDN w:val="0"/>
                    <w:jc w:val="center"/>
                    <w:rPr>
                      <w:bCs/>
                      <w:sz w:val="21"/>
                      <w:szCs w:val="21"/>
                    </w:rPr>
                  </w:pPr>
                  <w:r>
                    <w:rPr>
                      <w:rFonts w:hint="eastAsia"/>
                      <w:bCs/>
                      <w:sz w:val="21"/>
                      <w:szCs w:val="21"/>
                    </w:rPr>
                    <w:t>10~15cm厚抗渗混凝土+2mm厚的HDPE膜</w:t>
                  </w:r>
                </w:p>
              </w:tc>
            </w:tr>
            <w:tr w14:paraId="65A3A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pct"/>
                  <w:vAlign w:val="center"/>
                </w:tcPr>
                <w:p w14:paraId="67AD1D09">
                  <w:pPr>
                    <w:autoSpaceDE w:val="0"/>
                    <w:autoSpaceDN w:val="0"/>
                    <w:jc w:val="center"/>
                    <w:rPr>
                      <w:sz w:val="21"/>
                      <w:szCs w:val="21"/>
                      <w:lang w:val="zh-CN"/>
                    </w:rPr>
                  </w:pPr>
                  <w:r>
                    <w:rPr>
                      <w:rFonts w:hint="eastAsia"/>
                      <w:bCs/>
                      <w:sz w:val="21"/>
                      <w:szCs w:val="21"/>
                    </w:rPr>
                    <w:t>切割区、冲压区、焊接区、抛边区、原料区、冲压模具库区和焊接配件堆放区</w:t>
                  </w:r>
                </w:p>
              </w:tc>
              <w:tc>
                <w:tcPr>
                  <w:tcW w:w="764" w:type="pct"/>
                  <w:vAlign w:val="center"/>
                </w:tcPr>
                <w:p w14:paraId="40CABB3D">
                  <w:pPr>
                    <w:autoSpaceDE w:val="0"/>
                    <w:autoSpaceDN w:val="0"/>
                    <w:jc w:val="center"/>
                    <w:rPr>
                      <w:sz w:val="21"/>
                      <w:szCs w:val="21"/>
                    </w:rPr>
                  </w:pPr>
                  <w:r>
                    <w:rPr>
                      <w:sz w:val="21"/>
                      <w:szCs w:val="21"/>
                    </w:rPr>
                    <w:t>一般防渗区</w:t>
                  </w:r>
                </w:p>
              </w:tc>
              <w:tc>
                <w:tcPr>
                  <w:tcW w:w="1812" w:type="pct"/>
                  <w:vAlign w:val="center"/>
                </w:tcPr>
                <w:p w14:paraId="00AA49F5">
                  <w:pPr>
                    <w:jc w:val="center"/>
                    <w:rPr>
                      <w:sz w:val="21"/>
                      <w:szCs w:val="21"/>
                    </w:rPr>
                  </w:pPr>
                  <w:r>
                    <w:rPr>
                      <w:rFonts w:hint="eastAsia"/>
                      <w:sz w:val="21"/>
                      <w:szCs w:val="21"/>
                    </w:rPr>
                    <w:t>等效黏土防渗层Mb≥1.5m，K≤10</w:t>
                  </w:r>
                  <w:r>
                    <w:rPr>
                      <w:rFonts w:hint="eastAsia"/>
                      <w:sz w:val="21"/>
                      <w:szCs w:val="21"/>
                      <w:vertAlign w:val="superscript"/>
                    </w:rPr>
                    <w:t>-7</w:t>
                  </w:r>
                  <w:r>
                    <w:rPr>
                      <w:rFonts w:hint="eastAsia"/>
                      <w:sz w:val="21"/>
                      <w:szCs w:val="21"/>
                    </w:rPr>
                    <w:t>cm/s</w:t>
                  </w:r>
                </w:p>
              </w:tc>
              <w:tc>
                <w:tcPr>
                  <w:tcW w:w="1046" w:type="pct"/>
                  <w:vAlign w:val="center"/>
                </w:tcPr>
                <w:p w14:paraId="267C15D8">
                  <w:pPr>
                    <w:jc w:val="center"/>
                    <w:rPr>
                      <w:sz w:val="21"/>
                      <w:szCs w:val="21"/>
                    </w:rPr>
                  </w:pPr>
                  <w:r>
                    <w:rPr>
                      <w:rFonts w:hint="eastAsia"/>
                      <w:sz w:val="21"/>
                      <w:szCs w:val="21"/>
                    </w:rPr>
                    <w:t>10~15cm厚抗渗混凝土</w:t>
                  </w:r>
                </w:p>
              </w:tc>
            </w:tr>
            <w:tr w14:paraId="0F262C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pct"/>
                  <w:vAlign w:val="center"/>
                </w:tcPr>
                <w:p w14:paraId="3546C480">
                  <w:pPr>
                    <w:autoSpaceDE w:val="0"/>
                    <w:autoSpaceDN w:val="0"/>
                    <w:jc w:val="center"/>
                    <w:rPr>
                      <w:rFonts w:hAnsi="宋体"/>
                      <w:sz w:val="21"/>
                      <w:szCs w:val="21"/>
                    </w:rPr>
                  </w:pPr>
                  <w:r>
                    <w:rPr>
                      <w:rFonts w:hint="eastAsia"/>
                      <w:bCs/>
                      <w:sz w:val="21"/>
                      <w:szCs w:val="21"/>
                    </w:rPr>
                    <w:t>除重点防渗、一般防渗外的其他区域</w:t>
                  </w:r>
                </w:p>
              </w:tc>
              <w:tc>
                <w:tcPr>
                  <w:tcW w:w="764" w:type="pct"/>
                  <w:vAlign w:val="center"/>
                </w:tcPr>
                <w:p w14:paraId="751A9BA1">
                  <w:pPr>
                    <w:autoSpaceDE w:val="0"/>
                    <w:autoSpaceDN w:val="0"/>
                    <w:jc w:val="center"/>
                    <w:rPr>
                      <w:sz w:val="21"/>
                      <w:szCs w:val="21"/>
                    </w:rPr>
                  </w:pPr>
                  <w:r>
                    <w:rPr>
                      <w:sz w:val="21"/>
                      <w:szCs w:val="21"/>
                    </w:rPr>
                    <w:t>简单防渗区</w:t>
                  </w:r>
                </w:p>
              </w:tc>
              <w:tc>
                <w:tcPr>
                  <w:tcW w:w="1812" w:type="pct"/>
                  <w:vAlign w:val="center"/>
                </w:tcPr>
                <w:p w14:paraId="3C94B831">
                  <w:pPr>
                    <w:jc w:val="center"/>
                    <w:rPr>
                      <w:sz w:val="21"/>
                      <w:szCs w:val="21"/>
                    </w:rPr>
                  </w:pPr>
                  <w:r>
                    <w:rPr>
                      <w:sz w:val="21"/>
                      <w:szCs w:val="21"/>
                    </w:rPr>
                    <w:t>一般地面硬化</w:t>
                  </w:r>
                </w:p>
              </w:tc>
              <w:tc>
                <w:tcPr>
                  <w:tcW w:w="1046" w:type="pct"/>
                  <w:vAlign w:val="center"/>
                </w:tcPr>
                <w:p w14:paraId="7EE8DF3B">
                  <w:pPr>
                    <w:jc w:val="center"/>
                    <w:rPr>
                      <w:sz w:val="21"/>
                      <w:szCs w:val="21"/>
                    </w:rPr>
                  </w:pPr>
                  <w:r>
                    <w:rPr>
                      <w:rFonts w:hint="eastAsia"/>
                      <w:sz w:val="21"/>
                      <w:szCs w:val="21"/>
                    </w:rPr>
                    <w:t>水泥硬化</w:t>
                  </w:r>
                </w:p>
              </w:tc>
            </w:tr>
          </w:tbl>
          <w:p w14:paraId="4EEFE4E0">
            <w:pPr>
              <w:spacing w:line="360" w:lineRule="auto"/>
              <w:ind w:firstLine="480" w:firstLineChars="200"/>
              <w:rPr>
                <w:b/>
              </w:rPr>
            </w:pPr>
            <w:r>
              <w:rPr>
                <w:rFonts w:hint="eastAsia"/>
                <w:bCs/>
              </w:rPr>
              <w:t>因此，在落实各项防渗措施后，项目不会对区域地下水、土壤环境产生明显影响。</w:t>
            </w:r>
          </w:p>
          <w:p w14:paraId="22A36167">
            <w:pPr>
              <w:spacing w:line="360" w:lineRule="auto"/>
              <w:ind w:firstLine="482" w:firstLineChars="200"/>
              <w:rPr>
                <w:b/>
                <w:color w:val="FF0000"/>
              </w:rPr>
            </w:pPr>
            <w:r>
              <w:rPr>
                <w:rFonts w:hint="eastAsia"/>
                <w:b/>
              </w:rPr>
              <w:t>六、环境风险评价</w:t>
            </w:r>
          </w:p>
          <w:p w14:paraId="298869D5">
            <w:pPr>
              <w:spacing w:line="360" w:lineRule="auto"/>
              <w:ind w:firstLine="482" w:firstLineChars="200"/>
              <w:rPr>
                <w:rFonts w:hAnsi="宋体"/>
                <w:color w:val="FF0000"/>
              </w:rPr>
            </w:pPr>
            <w:r>
              <w:rPr>
                <w:rFonts w:hAnsi="宋体"/>
                <w:b/>
                <w:bCs/>
              </w:rPr>
              <w:t>1</w:t>
            </w:r>
            <w:r>
              <w:rPr>
                <w:rFonts w:hint="eastAsia" w:hAnsi="宋体"/>
                <w:b/>
                <w:bCs/>
              </w:rPr>
              <w:t>.</w:t>
            </w:r>
            <w:r>
              <w:rPr>
                <w:rFonts w:hAnsi="宋体"/>
                <w:b/>
                <w:bCs/>
              </w:rPr>
              <w:t>风险识别</w:t>
            </w:r>
          </w:p>
          <w:p w14:paraId="1FB14538">
            <w:pPr>
              <w:spacing w:line="360" w:lineRule="auto"/>
              <w:ind w:firstLine="480" w:firstLineChars="200"/>
              <w:rPr>
                <w:rFonts w:hAnsi="宋体"/>
              </w:rPr>
            </w:pPr>
            <w:r>
              <w:rPr>
                <w:rFonts w:hint="eastAsia" w:hAnsi="宋体"/>
              </w:rPr>
              <w:t>拟建项目使用的原辅料主要为无缝钢管、钢板、混炼橡胶、灰胶（Chemlok 205）、黑胶（Chemlok 6125）、光亮剂、清洗剂、脱模剂等；厂区废水主要为生活污水；涉及的固体废物有生活垃圾、废包装材料</w:t>
            </w:r>
            <w:r>
              <w:rPr>
                <w:rFonts w:hAnsi="宋体"/>
              </w:rPr>
              <w:t>、</w:t>
            </w:r>
            <w:r>
              <w:rPr>
                <w:rFonts w:hint="eastAsia" w:hAnsi="宋体"/>
              </w:rPr>
              <w:t>金属废边角料、橡胶废边角料、废钢丸、除尘器收集的粉尘、振光废水、清洗废液和废水、废脱模剂、废胶粘剂、废包装桶、槽渣、废机油、废机油桶、含油抹布和废活性炭。根据《危险化学品名录》《建设项目环境风险评价技术导则》（HJ169-2018）附录B中突发环境事件风险物质及其他危险物质分类，本项目光亮剂、清洗剂、脱模剂、灰胶（Chemlok 205）、黑胶（Chemlok 6125）、振光废水、清洗废液和废水、废脱模剂、废胶粘剂、废包装桶、槽渣、废机油、废机油桶和含油抹布为突发环境事件危险物质。</w:t>
            </w:r>
          </w:p>
          <w:p w14:paraId="39562066">
            <w:pPr>
              <w:spacing w:line="360" w:lineRule="auto"/>
              <w:ind w:firstLine="480" w:firstLineChars="200"/>
              <w:rPr>
                <w:rFonts w:eastAsia="黑体"/>
                <w:bCs/>
              </w:rPr>
            </w:pPr>
            <w:r>
              <w:rPr>
                <w:rFonts w:hint="eastAsia" w:hAnsi="宋体"/>
              </w:rPr>
              <w:t>机油根据《建设项目环境风险评价技术导则》（HJ169-2018）表B.1中“油类物质（矿物油类，如石油、汽油、柴油等：生物柴油等）”，推荐临界量为2500t；光亮剂、清洗剂根据《建设项目环境风险评价技术导则》（HJ169-2018）表B.1中“邻苯二甲酸二丁酯”临界值，推荐临界量为10t；灰胶（Chemlok 205）、黑胶（Chemlok 6125）根据《建设项目环境风险评价技术导则》（HJ169-2018）表B.1中“二甲苯”临界值，推荐临界量为10t；参照《建设项目环境风险评价技术导则》（HJ169-2018）表B.2其他危险物质临界量推荐值中，脱模剂属于“危害水环境物质（急性毒性类别1）”，推荐临界量为100t。振光废水根据《建设项目环境风险评价技术导则》（HJ169-2018）表B.1中“COD</w:t>
            </w:r>
            <w:r>
              <w:rPr>
                <w:rFonts w:hint="eastAsia" w:hAnsi="宋体"/>
                <w:lang w:val="en-US" w:eastAsia="zh-CN"/>
              </w:rPr>
              <w:t>cr浓度</w:t>
            </w:r>
            <w:r>
              <w:rPr>
                <w:rFonts w:hint="eastAsia" w:hAnsi="宋体"/>
              </w:rPr>
              <w:t>≥10000</w:t>
            </w:r>
            <w:r>
              <w:rPr>
                <w:rFonts w:hint="eastAsia" w:hAnsi="宋体"/>
                <w:lang w:val="en-US" w:eastAsia="zh-CN"/>
              </w:rPr>
              <w:t>mg/L</w:t>
            </w:r>
            <w:r>
              <w:rPr>
                <w:rFonts w:hint="eastAsia" w:hAnsi="宋体"/>
              </w:rPr>
              <w:t>的有机废液”临界值，推荐临界量为10t；参照《建设项目环境风险评价技术导则》（HJ169-2018）表B.2其他危险物质临界量推荐值中，清洗废液和废水、废脱模剂、废胶粘剂、废包装桶、槽渣、废机油、废机油桶、含油抹布和废活性炭等属于“健康危险急性毒性物质（类别2，类别3）”，推荐临界量为50t。</w:t>
            </w:r>
          </w:p>
          <w:p w14:paraId="50E7AD4A">
            <w:pPr>
              <w:spacing w:line="360" w:lineRule="auto"/>
              <w:jc w:val="center"/>
              <w:rPr>
                <w:rFonts w:eastAsia="黑体"/>
                <w:bCs/>
                <w:color w:val="FF0000"/>
              </w:rPr>
            </w:pPr>
            <w:r>
              <w:rPr>
                <w:rFonts w:eastAsia="黑体"/>
                <w:bCs/>
              </w:rPr>
              <w:t>表</w:t>
            </w:r>
            <w:r>
              <w:rPr>
                <w:rFonts w:hint="eastAsia" w:eastAsia="黑体"/>
                <w:bCs/>
              </w:rPr>
              <w:t>4-1</w:t>
            </w:r>
            <w:r>
              <w:rPr>
                <w:rFonts w:hint="eastAsia" w:eastAsia="黑体"/>
                <w:bCs/>
                <w:lang w:val="en-US" w:eastAsia="zh-CN"/>
              </w:rPr>
              <w:t>2</w:t>
            </w:r>
            <w:r>
              <w:rPr>
                <w:rFonts w:hint="eastAsia" w:eastAsia="黑体"/>
                <w:bCs/>
              </w:rPr>
              <w:t xml:space="preserve">  企业涉及</w:t>
            </w:r>
            <w:r>
              <w:rPr>
                <w:rFonts w:eastAsia="黑体"/>
                <w:bCs/>
              </w:rPr>
              <w:t>的</w:t>
            </w:r>
            <w:r>
              <w:rPr>
                <w:rFonts w:hint="eastAsia" w:eastAsia="黑体"/>
              </w:rPr>
              <w:t>危险</w:t>
            </w:r>
            <w:r>
              <w:rPr>
                <w:rFonts w:eastAsia="黑体"/>
              </w:rPr>
              <w:t>物质</w:t>
            </w:r>
            <w:r>
              <w:rPr>
                <w:rFonts w:eastAsia="黑体"/>
                <w:bCs/>
              </w:rPr>
              <w:t>情况一览表</w:t>
            </w:r>
          </w:p>
          <w:tbl>
            <w:tblPr>
              <w:tblStyle w:val="16"/>
              <w:tblW w:w="78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654"/>
              <w:gridCol w:w="943"/>
              <w:gridCol w:w="1899"/>
              <w:gridCol w:w="913"/>
              <w:gridCol w:w="1015"/>
              <w:gridCol w:w="1098"/>
            </w:tblGrid>
            <w:tr w14:paraId="49C1C2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4F83DFB8">
                  <w:pPr>
                    <w:widowControl/>
                    <w:autoSpaceDN w:val="0"/>
                    <w:spacing w:line="276" w:lineRule="auto"/>
                    <w:jc w:val="center"/>
                    <w:rPr>
                      <w:b/>
                      <w:sz w:val="21"/>
                      <w:szCs w:val="21"/>
                      <w:lang w:val="zh-CN"/>
                    </w:rPr>
                  </w:pPr>
                  <w:r>
                    <w:rPr>
                      <w:rFonts w:hint="eastAsia"/>
                      <w:b/>
                      <w:sz w:val="21"/>
                      <w:szCs w:val="21"/>
                      <w:lang w:val="zh-CN"/>
                    </w:rPr>
                    <w:t>物质名称</w:t>
                  </w:r>
                </w:p>
              </w:tc>
              <w:tc>
                <w:tcPr>
                  <w:tcW w:w="654" w:type="dxa"/>
                  <w:noWrap/>
                  <w:vAlign w:val="center"/>
                </w:tcPr>
                <w:p w14:paraId="21966412">
                  <w:pPr>
                    <w:widowControl/>
                    <w:autoSpaceDN w:val="0"/>
                    <w:spacing w:line="276" w:lineRule="auto"/>
                    <w:jc w:val="center"/>
                    <w:rPr>
                      <w:b/>
                      <w:sz w:val="21"/>
                      <w:szCs w:val="21"/>
                      <w:lang w:val="zh-CN"/>
                    </w:rPr>
                  </w:pPr>
                  <w:r>
                    <w:rPr>
                      <w:rFonts w:hint="eastAsia"/>
                      <w:b/>
                      <w:sz w:val="21"/>
                      <w:szCs w:val="21"/>
                      <w:lang w:val="zh-CN"/>
                    </w:rPr>
                    <w:t>在线量（t）</w:t>
                  </w:r>
                </w:p>
              </w:tc>
              <w:tc>
                <w:tcPr>
                  <w:tcW w:w="943" w:type="dxa"/>
                  <w:noWrap/>
                  <w:vAlign w:val="center"/>
                </w:tcPr>
                <w:p w14:paraId="1A22817D">
                  <w:pPr>
                    <w:widowControl/>
                    <w:autoSpaceDN w:val="0"/>
                    <w:spacing w:line="276" w:lineRule="auto"/>
                    <w:jc w:val="center"/>
                    <w:rPr>
                      <w:b/>
                      <w:sz w:val="21"/>
                      <w:szCs w:val="21"/>
                      <w:lang w:val="zh-CN"/>
                    </w:rPr>
                  </w:pPr>
                  <w:r>
                    <w:rPr>
                      <w:rFonts w:hint="eastAsia"/>
                      <w:b/>
                      <w:sz w:val="21"/>
                      <w:szCs w:val="21"/>
                      <w:lang w:val="zh-CN"/>
                    </w:rPr>
                    <w:t>最大储存量（t）</w:t>
                  </w:r>
                </w:p>
              </w:tc>
              <w:tc>
                <w:tcPr>
                  <w:tcW w:w="1899" w:type="dxa"/>
                  <w:noWrap/>
                  <w:vAlign w:val="center"/>
                </w:tcPr>
                <w:p w14:paraId="3CF70FF2">
                  <w:pPr>
                    <w:widowControl/>
                    <w:autoSpaceDN w:val="0"/>
                    <w:spacing w:line="276" w:lineRule="auto"/>
                    <w:jc w:val="center"/>
                    <w:rPr>
                      <w:b/>
                      <w:sz w:val="21"/>
                      <w:szCs w:val="21"/>
                    </w:rPr>
                  </w:pPr>
                  <w:r>
                    <w:rPr>
                      <w:rFonts w:hint="eastAsia"/>
                      <w:b/>
                      <w:sz w:val="21"/>
                      <w:szCs w:val="21"/>
                    </w:rPr>
                    <w:t>临界量依据</w:t>
                  </w:r>
                </w:p>
              </w:tc>
              <w:tc>
                <w:tcPr>
                  <w:tcW w:w="913" w:type="dxa"/>
                  <w:noWrap/>
                  <w:vAlign w:val="center"/>
                </w:tcPr>
                <w:p w14:paraId="4A5C9187">
                  <w:pPr>
                    <w:widowControl/>
                    <w:autoSpaceDN w:val="0"/>
                    <w:spacing w:line="276" w:lineRule="auto"/>
                    <w:jc w:val="center"/>
                    <w:rPr>
                      <w:b/>
                      <w:sz w:val="21"/>
                      <w:szCs w:val="21"/>
                      <w:lang w:val="zh-CN"/>
                    </w:rPr>
                  </w:pPr>
                  <w:r>
                    <w:rPr>
                      <w:rFonts w:hint="eastAsia"/>
                      <w:b/>
                      <w:sz w:val="21"/>
                      <w:szCs w:val="21"/>
                    </w:rPr>
                    <w:t>临界量</w:t>
                  </w:r>
                  <w:r>
                    <w:rPr>
                      <w:rFonts w:hint="eastAsia"/>
                      <w:b/>
                      <w:sz w:val="21"/>
                      <w:szCs w:val="21"/>
                      <w:lang w:val="zh-CN"/>
                    </w:rPr>
                    <w:t>（t）</w:t>
                  </w:r>
                </w:p>
              </w:tc>
              <w:tc>
                <w:tcPr>
                  <w:tcW w:w="1015" w:type="dxa"/>
                  <w:noWrap/>
                  <w:vAlign w:val="center"/>
                </w:tcPr>
                <w:p w14:paraId="58D7699B">
                  <w:pPr>
                    <w:widowControl/>
                    <w:autoSpaceDN w:val="0"/>
                    <w:spacing w:line="276" w:lineRule="auto"/>
                    <w:jc w:val="center"/>
                    <w:rPr>
                      <w:b/>
                      <w:sz w:val="21"/>
                      <w:szCs w:val="21"/>
                      <w:lang w:val="zh-CN"/>
                    </w:rPr>
                  </w:pPr>
                  <w:r>
                    <w:rPr>
                      <w:rFonts w:hint="eastAsia"/>
                      <w:b/>
                      <w:sz w:val="21"/>
                      <w:szCs w:val="21"/>
                      <w:lang w:val="zh-CN"/>
                    </w:rPr>
                    <w:t>Q值</w:t>
                  </w:r>
                </w:p>
              </w:tc>
              <w:tc>
                <w:tcPr>
                  <w:tcW w:w="1098" w:type="dxa"/>
                  <w:noWrap/>
                  <w:vAlign w:val="center"/>
                </w:tcPr>
                <w:p w14:paraId="59CB341A">
                  <w:pPr>
                    <w:widowControl/>
                    <w:autoSpaceDN w:val="0"/>
                    <w:spacing w:line="276" w:lineRule="auto"/>
                    <w:jc w:val="center"/>
                    <w:rPr>
                      <w:bCs/>
                      <w:sz w:val="21"/>
                      <w:szCs w:val="21"/>
                      <w:lang w:val="zh-CN"/>
                    </w:rPr>
                  </w:pPr>
                  <w:r>
                    <w:rPr>
                      <w:rFonts w:hint="eastAsia"/>
                      <w:b/>
                      <w:sz w:val="21"/>
                      <w:szCs w:val="21"/>
                      <w:lang w:val="zh-CN"/>
                    </w:rPr>
                    <w:t>贮存位置</w:t>
                  </w:r>
                </w:p>
              </w:tc>
            </w:tr>
            <w:tr w14:paraId="55FD9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045205E0">
                  <w:pPr>
                    <w:widowControl/>
                    <w:wordWrap w:val="0"/>
                    <w:autoSpaceDN w:val="0"/>
                    <w:spacing w:line="276" w:lineRule="auto"/>
                    <w:jc w:val="center"/>
                    <w:rPr>
                      <w:bCs/>
                      <w:sz w:val="21"/>
                      <w:szCs w:val="21"/>
                    </w:rPr>
                  </w:pPr>
                  <w:r>
                    <w:rPr>
                      <w:rFonts w:hint="eastAsia"/>
                      <w:bCs/>
                      <w:sz w:val="21"/>
                      <w:szCs w:val="21"/>
                    </w:rPr>
                    <w:t>机油</w:t>
                  </w:r>
                </w:p>
              </w:tc>
              <w:tc>
                <w:tcPr>
                  <w:tcW w:w="654" w:type="dxa"/>
                  <w:noWrap/>
                  <w:vAlign w:val="center"/>
                </w:tcPr>
                <w:p w14:paraId="0F967ABE">
                  <w:pPr>
                    <w:widowControl/>
                    <w:autoSpaceDN w:val="0"/>
                    <w:spacing w:line="276" w:lineRule="auto"/>
                    <w:jc w:val="center"/>
                    <w:rPr>
                      <w:bCs/>
                      <w:sz w:val="21"/>
                      <w:szCs w:val="21"/>
                    </w:rPr>
                  </w:pPr>
                  <w:r>
                    <w:rPr>
                      <w:rFonts w:hint="eastAsia"/>
                      <w:bCs/>
                      <w:sz w:val="21"/>
                      <w:szCs w:val="21"/>
                    </w:rPr>
                    <w:t>0.5</w:t>
                  </w:r>
                </w:p>
              </w:tc>
              <w:tc>
                <w:tcPr>
                  <w:tcW w:w="943" w:type="dxa"/>
                  <w:noWrap/>
                  <w:vAlign w:val="center"/>
                </w:tcPr>
                <w:p w14:paraId="589E3859">
                  <w:pPr>
                    <w:widowControl/>
                    <w:autoSpaceDN w:val="0"/>
                    <w:spacing w:line="276" w:lineRule="auto"/>
                    <w:jc w:val="center"/>
                    <w:rPr>
                      <w:bCs/>
                      <w:sz w:val="21"/>
                      <w:szCs w:val="21"/>
                    </w:rPr>
                  </w:pPr>
                  <w:r>
                    <w:rPr>
                      <w:rFonts w:hint="eastAsia"/>
                      <w:bCs/>
                      <w:sz w:val="21"/>
                      <w:szCs w:val="21"/>
                    </w:rPr>
                    <w:t>0.5</w:t>
                  </w:r>
                </w:p>
              </w:tc>
              <w:tc>
                <w:tcPr>
                  <w:tcW w:w="1899" w:type="dxa"/>
                  <w:vMerge w:val="restart"/>
                  <w:noWrap/>
                  <w:vAlign w:val="center"/>
                </w:tcPr>
                <w:p w14:paraId="637744A5">
                  <w:pPr>
                    <w:widowControl/>
                    <w:autoSpaceDN w:val="0"/>
                    <w:spacing w:line="276" w:lineRule="auto"/>
                    <w:jc w:val="center"/>
                    <w:rPr>
                      <w:bCs/>
                      <w:sz w:val="21"/>
                      <w:szCs w:val="21"/>
                    </w:rPr>
                  </w:pPr>
                  <w:r>
                    <w:rPr>
                      <w:rFonts w:hint="eastAsia"/>
                      <w:bCs/>
                      <w:sz w:val="21"/>
                      <w:szCs w:val="21"/>
                    </w:rPr>
                    <w:t>《建设项目环境风险评价技术导则》（HJ169-2018）表B.1</w:t>
                  </w:r>
                </w:p>
              </w:tc>
              <w:tc>
                <w:tcPr>
                  <w:tcW w:w="913" w:type="dxa"/>
                  <w:noWrap/>
                  <w:vAlign w:val="center"/>
                </w:tcPr>
                <w:p w14:paraId="38C60F24">
                  <w:pPr>
                    <w:widowControl/>
                    <w:autoSpaceDN w:val="0"/>
                    <w:spacing w:line="276" w:lineRule="auto"/>
                    <w:jc w:val="center"/>
                    <w:rPr>
                      <w:bCs/>
                      <w:sz w:val="21"/>
                      <w:szCs w:val="21"/>
                      <w:lang w:val="zh-CN"/>
                    </w:rPr>
                  </w:pPr>
                  <w:r>
                    <w:rPr>
                      <w:rFonts w:hint="eastAsia"/>
                      <w:bCs/>
                      <w:sz w:val="21"/>
                      <w:szCs w:val="21"/>
                      <w:lang w:val="zh-CN"/>
                    </w:rPr>
                    <w:t>2500</w:t>
                  </w:r>
                </w:p>
              </w:tc>
              <w:tc>
                <w:tcPr>
                  <w:tcW w:w="1015" w:type="dxa"/>
                  <w:noWrap/>
                  <w:vAlign w:val="center"/>
                </w:tcPr>
                <w:p w14:paraId="429E83B9">
                  <w:pPr>
                    <w:widowControl/>
                    <w:autoSpaceDN w:val="0"/>
                    <w:spacing w:line="276" w:lineRule="auto"/>
                    <w:jc w:val="center"/>
                    <w:rPr>
                      <w:bCs/>
                      <w:sz w:val="21"/>
                      <w:szCs w:val="21"/>
                    </w:rPr>
                  </w:pPr>
                  <w:r>
                    <w:rPr>
                      <w:rFonts w:hint="eastAsia"/>
                      <w:bCs/>
                      <w:sz w:val="21"/>
                      <w:szCs w:val="21"/>
                      <w:lang w:val="zh-CN"/>
                    </w:rPr>
                    <w:t>0.000</w:t>
                  </w:r>
                  <w:r>
                    <w:rPr>
                      <w:rFonts w:hint="eastAsia"/>
                      <w:bCs/>
                      <w:sz w:val="21"/>
                      <w:szCs w:val="21"/>
                    </w:rPr>
                    <w:t>4</w:t>
                  </w:r>
                </w:p>
              </w:tc>
              <w:tc>
                <w:tcPr>
                  <w:tcW w:w="1098" w:type="dxa"/>
                  <w:noWrap/>
                  <w:vAlign w:val="center"/>
                </w:tcPr>
                <w:p w14:paraId="78337BF9">
                  <w:pPr>
                    <w:widowControl/>
                    <w:autoSpaceDN w:val="0"/>
                    <w:spacing w:line="276" w:lineRule="auto"/>
                    <w:jc w:val="center"/>
                    <w:rPr>
                      <w:bCs/>
                      <w:sz w:val="21"/>
                      <w:szCs w:val="21"/>
                      <w:lang w:val="zh-CN"/>
                    </w:rPr>
                  </w:pPr>
                  <w:r>
                    <w:rPr>
                      <w:rFonts w:hint="eastAsia"/>
                      <w:bCs/>
                      <w:sz w:val="21"/>
                      <w:szCs w:val="21"/>
                      <w:lang w:val="zh-CN"/>
                    </w:rPr>
                    <w:t>即换即用，不在场内储存</w:t>
                  </w:r>
                </w:p>
              </w:tc>
            </w:tr>
            <w:tr w14:paraId="664059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5CAF192C">
                  <w:pPr>
                    <w:widowControl/>
                    <w:wordWrap w:val="0"/>
                    <w:autoSpaceDN w:val="0"/>
                    <w:spacing w:line="276" w:lineRule="auto"/>
                    <w:jc w:val="center"/>
                    <w:rPr>
                      <w:bCs/>
                      <w:sz w:val="21"/>
                      <w:szCs w:val="21"/>
                    </w:rPr>
                  </w:pPr>
                  <w:r>
                    <w:rPr>
                      <w:rFonts w:hint="eastAsia"/>
                      <w:bCs/>
                      <w:sz w:val="21"/>
                      <w:szCs w:val="21"/>
                    </w:rPr>
                    <w:t>光亮剂</w:t>
                  </w:r>
                </w:p>
              </w:tc>
              <w:tc>
                <w:tcPr>
                  <w:tcW w:w="654" w:type="dxa"/>
                  <w:noWrap/>
                  <w:vAlign w:val="center"/>
                </w:tcPr>
                <w:p w14:paraId="4E8F8625">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6B472F15">
                  <w:pPr>
                    <w:widowControl/>
                    <w:autoSpaceDN w:val="0"/>
                    <w:spacing w:line="276" w:lineRule="auto"/>
                    <w:jc w:val="center"/>
                    <w:rPr>
                      <w:bCs/>
                      <w:sz w:val="21"/>
                      <w:szCs w:val="21"/>
                    </w:rPr>
                  </w:pPr>
                  <w:r>
                    <w:rPr>
                      <w:rFonts w:hint="eastAsia"/>
                      <w:bCs/>
                      <w:sz w:val="21"/>
                      <w:szCs w:val="21"/>
                    </w:rPr>
                    <w:t>0.1</w:t>
                  </w:r>
                </w:p>
              </w:tc>
              <w:tc>
                <w:tcPr>
                  <w:tcW w:w="1899" w:type="dxa"/>
                  <w:vMerge w:val="continue"/>
                  <w:noWrap/>
                  <w:vAlign w:val="center"/>
                </w:tcPr>
                <w:p w14:paraId="2442E07C">
                  <w:pPr>
                    <w:widowControl/>
                    <w:autoSpaceDN w:val="0"/>
                    <w:spacing w:line="276" w:lineRule="auto"/>
                    <w:jc w:val="center"/>
                    <w:rPr>
                      <w:bCs/>
                      <w:sz w:val="21"/>
                      <w:szCs w:val="21"/>
                    </w:rPr>
                  </w:pPr>
                </w:p>
              </w:tc>
              <w:tc>
                <w:tcPr>
                  <w:tcW w:w="913" w:type="dxa"/>
                  <w:noWrap/>
                  <w:vAlign w:val="center"/>
                </w:tcPr>
                <w:p w14:paraId="5DC99CD6">
                  <w:pPr>
                    <w:widowControl/>
                    <w:autoSpaceDN w:val="0"/>
                    <w:spacing w:line="276" w:lineRule="auto"/>
                    <w:jc w:val="center"/>
                    <w:rPr>
                      <w:bCs/>
                      <w:sz w:val="21"/>
                      <w:szCs w:val="21"/>
                    </w:rPr>
                  </w:pPr>
                  <w:r>
                    <w:rPr>
                      <w:rFonts w:hint="eastAsia"/>
                      <w:bCs/>
                      <w:sz w:val="21"/>
                      <w:szCs w:val="21"/>
                    </w:rPr>
                    <w:t>10</w:t>
                  </w:r>
                </w:p>
              </w:tc>
              <w:tc>
                <w:tcPr>
                  <w:tcW w:w="1015" w:type="dxa"/>
                  <w:noWrap/>
                  <w:vAlign w:val="center"/>
                </w:tcPr>
                <w:p w14:paraId="14FF36CD">
                  <w:pPr>
                    <w:widowControl/>
                    <w:autoSpaceDN w:val="0"/>
                    <w:spacing w:line="276" w:lineRule="auto"/>
                    <w:jc w:val="center"/>
                    <w:rPr>
                      <w:bCs/>
                      <w:sz w:val="21"/>
                      <w:szCs w:val="21"/>
                    </w:rPr>
                  </w:pPr>
                  <w:r>
                    <w:rPr>
                      <w:rFonts w:hint="eastAsia"/>
                      <w:bCs/>
                      <w:sz w:val="21"/>
                      <w:szCs w:val="21"/>
                    </w:rPr>
                    <w:t>0.01</w:t>
                  </w:r>
                </w:p>
              </w:tc>
              <w:tc>
                <w:tcPr>
                  <w:tcW w:w="1098" w:type="dxa"/>
                  <w:noWrap/>
                  <w:vAlign w:val="center"/>
                </w:tcPr>
                <w:p w14:paraId="1A0D2715">
                  <w:pPr>
                    <w:widowControl/>
                    <w:autoSpaceDN w:val="0"/>
                    <w:spacing w:line="276" w:lineRule="auto"/>
                    <w:jc w:val="center"/>
                    <w:rPr>
                      <w:bCs/>
                      <w:sz w:val="21"/>
                      <w:szCs w:val="21"/>
                    </w:rPr>
                  </w:pPr>
                  <w:r>
                    <w:rPr>
                      <w:rFonts w:hint="eastAsia"/>
                      <w:bCs/>
                      <w:sz w:val="21"/>
                      <w:szCs w:val="21"/>
                    </w:rPr>
                    <w:t>抛丸区</w:t>
                  </w:r>
                </w:p>
              </w:tc>
            </w:tr>
            <w:tr w14:paraId="0CBD8F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312671F7">
                  <w:pPr>
                    <w:widowControl/>
                    <w:wordWrap w:val="0"/>
                    <w:autoSpaceDN w:val="0"/>
                    <w:spacing w:line="276" w:lineRule="auto"/>
                    <w:jc w:val="center"/>
                    <w:rPr>
                      <w:bCs/>
                      <w:sz w:val="21"/>
                      <w:szCs w:val="21"/>
                    </w:rPr>
                  </w:pPr>
                  <w:r>
                    <w:rPr>
                      <w:rFonts w:hint="eastAsia"/>
                      <w:bCs/>
                      <w:sz w:val="21"/>
                      <w:szCs w:val="21"/>
                    </w:rPr>
                    <w:t>清洗剂</w:t>
                  </w:r>
                </w:p>
              </w:tc>
              <w:tc>
                <w:tcPr>
                  <w:tcW w:w="654" w:type="dxa"/>
                  <w:noWrap/>
                  <w:vAlign w:val="center"/>
                </w:tcPr>
                <w:p w14:paraId="60672184">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15515126">
                  <w:pPr>
                    <w:widowControl/>
                    <w:autoSpaceDN w:val="0"/>
                    <w:spacing w:line="276" w:lineRule="auto"/>
                    <w:jc w:val="center"/>
                    <w:rPr>
                      <w:rFonts w:hint="eastAsia" w:eastAsia="宋体"/>
                      <w:bCs/>
                      <w:sz w:val="21"/>
                      <w:szCs w:val="21"/>
                      <w:lang w:eastAsia="zh-CN"/>
                    </w:rPr>
                  </w:pPr>
                  <w:r>
                    <w:rPr>
                      <w:rFonts w:hint="eastAsia"/>
                      <w:bCs/>
                      <w:sz w:val="21"/>
                      <w:szCs w:val="21"/>
                      <w:lang w:val="en-US" w:eastAsia="zh-CN"/>
                    </w:rPr>
                    <w:t>2</w:t>
                  </w:r>
                </w:p>
              </w:tc>
              <w:tc>
                <w:tcPr>
                  <w:tcW w:w="1899" w:type="dxa"/>
                  <w:vMerge w:val="continue"/>
                  <w:noWrap/>
                  <w:vAlign w:val="center"/>
                </w:tcPr>
                <w:p w14:paraId="35992F8B">
                  <w:pPr>
                    <w:widowControl/>
                    <w:autoSpaceDN w:val="0"/>
                    <w:spacing w:line="276" w:lineRule="auto"/>
                    <w:jc w:val="center"/>
                    <w:rPr>
                      <w:bCs/>
                      <w:sz w:val="21"/>
                      <w:szCs w:val="21"/>
                    </w:rPr>
                  </w:pPr>
                </w:p>
              </w:tc>
              <w:tc>
                <w:tcPr>
                  <w:tcW w:w="913" w:type="dxa"/>
                  <w:noWrap/>
                  <w:vAlign w:val="center"/>
                </w:tcPr>
                <w:p w14:paraId="3C03FCF6">
                  <w:pPr>
                    <w:widowControl/>
                    <w:autoSpaceDN w:val="0"/>
                    <w:spacing w:line="276" w:lineRule="auto"/>
                    <w:jc w:val="center"/>
                    <w:rPr>
                      <w:bCs/>
                      <w:sz w:val="21"/>
                      <w:szCs w:val="21"/>
                    </w:rPr>
                  </w:pPr>
                  <w:r>
                    <w:rPr>
                      <w:rFonts w:hint="eastAsia"/>
                      <w:bCs/>
                      <w:sz w:val="21"/>
                      <w:szCs w:val="21"/>
                    </w:rPr>
                    <w:t>10</w:t>
                  </w:r>
                </w:p>
              </w:tc>
              <w:tc>
                <w:tcPr>
                  <w:tcW w:w="1015" w:type="dxa"/>
                  <w:noWrap/>
                  <w:vAlign w:val="center"/>
                </w:tcPr>
                <w:p w14:paraId="417E4090">
                  <w:pPr>
                    <w:widowControl/>
                    <w:autoSpaceDN w:val="0"/>
                    <w:spacing w:line="276" w:lineRule="auto"/>
                    <w:jc w:val="center"/>
                    <w:rPr>
                      <w:rFonts w:hint="default" w:eastAsia="宋体"/>
                      <w:bCs/>
                      <w:sz w:val="21"/>
                      <w:szCs w:val="21"/>
                      <w:lang w:val="en-US" w:eastAsia="zh-CN"/>
                    </w:rPr>
                  </w:pPr>
                  <w:r>
                    <w:rPr>
                      <w:rFonts w:hint="eastAsia"/>
                      <w:bCs/>
                      <w:sz w:val="21"/>
                      <w:szCs w:val="21"/>
                      <w:lang w:val="en-US" w:eastAsia="zh-CN"/>
                    </w:rPr>
                    <w:t>0.2</w:t>
                  </w:r>
                </w:p>
              </w:tc>
              <w:tc>
                <w:tcPr>
                  <w:tcW w:w="1098" w:type="dxa"/>
                  <w:noWrap/>
                  <w:vAlign w:val="center"/>
                </w:tcPr>
                <w:p w14:paraId="46552D03">
                  <w:pPr>
                    <w:widowControl/>
                    <w:autoSpaceDN w:val="0"/>
                    <w:spacing w:line="276" w:lineRule="auto"/>
                    <w:jc w:val="center"/>
                    <w:rPr>
                      <w:bCs/>
                      <w:sz w:val="21"/>
                      <w:szCs w:val="21"/>
                    </w:rPr>
                  </w:pPr>
                  <w:r>
                    <w:rPr>
                      <w:rFonts w:hint="eastAsia"/>
                      <w:bCs/>
                      <w:sz w:val="21"/>
                      <w:szCs w:val="21"/>
                    </w:rPr>
                    <w:t>清洗区</w:t>
                  </w:r>
                </w:p>
              </w:tc>
            </w:tr>
            <w:tr w14:paraId="072D2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24DE76CE">
                  <w:pPr>
                    <w:widowControl/>
                    <w:wordWrap w:val="0"/>
                    <w:autoSpaceDN w:val="0"/>
                    <w:spacing w:line="276" w:lineRule="auto"/>
                    <w:jc w:val="center"/>
                    <w:rPr>
                      <w:bCs/>
                      <w:sz w:val="21"/>
                      <w:szCs w:val="21"/>
                    </w:rPr>
                  </w:pPr>
                  <w:r>
                    <w:rPr>
                      <w:rFonts w:hint="eastAsia"/>
                      <w:bCs/>
                      <w:sz w:val="21"/>
                      <w:szCs w:val="21"/>
                    </w:rPr>
                    <w:t>灰胶（Chemlok 205）</w:t>
                  </w:r>
                </w:p>
              </w:tc>
              <w:tc>
                <w:tcPr>
                  <w:tcW w:w="654" w:type="dxa"/>
                  <w:noWrap/>
                  <w:vAlign w:val="center"/>
                </w:tcPr>
                <w:p w14:paraId="0C1BED78">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0657543C">
                  <w:pPr>
                    <w:widowControl/>
                    <w:autoSpaceDN w:val="0"/>
                    <w:spacing w:line="276" w:lineRule="auto"/>
                    <w:jc w:val="center"/>
                    <w:rPr>
                      <w:bCs/>
                      <w:sz w:val="21"/>
                      <w:szCs w:val="21"/>
                    </w:rPr>
                  </w:pPr>
                  <w:r>
                    <w:rPr>
                      <w:rFonts w:hint="eastAsia"/>
                      <w:bCs/>
                      <w:sz w:val="21"/>
                      <w:szCs w:val="21"/>
                    </w:rPr>
                    <w:t>0.4</w:t>
                  </w:r>
                </w:p>
              </w:tc>
              <w:tc>
                <w:tcPr>
                  <w:tcW w:w="1899" w:type="dxa"/>
                  <w:vMerge w:val="continue"/>
                  <w:noWrap/>
                  <w:vAlign w:val="center"/>
                </w:tcPr>
                <w:p w14:paraId="32F138A3">
                  <w:pPr>
                    <w:widowControl/>
                    <w:autoSpaceDN w:val="0"/>
                    <w:spacing w:line="276" w:lineRule="auto"/>
                    <w:jc w:val="center"/>
                    <w:rPr>
                      <w:bCs/>
                      <w:sz w:val="21"/>
                      <w:szCs w:val="21"/>
                    </w:rPr>
                  </w:pPr>
                </w:p>
              </w:tc>
              <w:tc>
                <w:tcPr>
                  <w:tcW w:w="913" w:type="dxa"/>
                  <w:noWrap/>
                  <w:vAlign w:val="center"/>
                </w:tcPr>
                <w:p w14:paraId="23B34378">
                  <w:pPr>
                    <w:widowControl/>
                    <w:autoSpaceDN w:val="0"/>
                    <w:spacing w:line="276" w:lineRule="auto"/>
                    <w:jc w:val="center"/>
                    <w:rPr>
                      <w:bCs/>
                      <w:sz w:val="21"/>
                      <w:szCs w:val="21"/>
                    </w:rPr>
                  </w:pPr>
                  <w:r>
                    <w:rPr>
                      <w:rFonts w:hint="eastAsia"/>
                      <w:bCs/>
                      <w:sz w:val="21"/>
                      <w:szCs w:val="21"/>
                    </w:rPr>
                    <w:t>10</w:t>
                  </w:r>
                </w:p>
              </w:tc>
              <w:tc>
                <w:tcPr>
                  <w:tcW w:w="1015" w:type="dxa"/>
                  <w:noWrap/>
                  <w:vAlign w:val="center"/>
                </w:tcPr>
                <w:p w14:paraId="446D515C">
                  <w:pPr>
                    <w:widowControl/>
                    <w:autoSpaceDN w:val="0"/>
                    <w:spacing w:line="276" w:lineRule="auto"/>
                    <w:jc w:val="center"/>
                    <w:rPr>
                      <w:bCs/>
                      <w:sz w:val="21"/>
                      <w:szCs w:val="21"/>
                    </w:rPr>
                  </w:pPr>
                  <w:r>
                    <w:rPr>
                      <w:rFonts w:hint="eastAsia"/>
                      <w:bCs/>
                      <w:sz w:val="21"/>
                      <w:szCs w:val="21"/>
                    </w:rPr>
                    <w:t>0.04</w:t>
                  </w:r>
                </w:p>
              </w:tc>
              <w:tc>
                <w:tcPr>
                  <w:tcW w:w="1098" w:type="dxa"/>
                  <w:vMerge w:val="restart"/>
                  <w:noWrap/>
                  <w:vAlign w:val="center"/>
                </w:tcPr>
                <w:p w14:paraId="17A69AE8">
                  <w:pPr>
                    <w:widowControl/>
                    <w:autoSpaceDN w:val="0"/>
                    <w:spacing w:line="276" w:lineRule="auto"/>
                    <w:jc w:val="center"/>
                    <w:rPr>
                      <w:bCs/>
                      <w:sz w:val="21"/>
                      <w:szCs w:val="21"/>
                    </w:rPr>
                  </w:pPr>
                  <w:r>
                    <w:rPr>
                      <w:rFonts w:hint="eastAsia"/>
                      <w:bCs/>
                      <w:sz w:val="21"/>
                      <w:szCs w:val="21"/>
                    </w:rPr>
                    <w:t>涂胶区</w:t>
                  </w:r>
                </w:p>
              </w:tc>
            </w:tr>
            <w:tr w14:paraId="3B35F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56171C5F">
                  <w:pPr>
                    <w:widowControl/>
                    <w:wordWrap w:val="0"/>
                    <w:autoSpaceDN w:val="0"/>
                    <w:spacing w:line="276" w:lineRule="auto"/>
                    <w:jc w:val="center"/>
                    <w:rPr>
                      <w:bCs/>
                      <w:sz w:val="21"/>
                      <w:szCs w:val="21"/>
                    </w:rPr>
                  </w:pPr>
                  <w:r>
                    <w:rPr>
                      <w:rFonts w:hint="eastAsia"/>
                      <w:bCs/>
                      <w:sz w:val="21"/>
                      <w:szCs w:val="21"/>
                    </w:rPr>
                    <w:t>黑胶（Chemlok 6125）</w:t>
                  </w:r>
                </w:p>
              </w:tc>
              <w:tc>
                <w:tcPr>
                  <w:tcW w:w="654" w:type="dxa"/>
                  <w:noWrap/>
                  <w:vAlign w:val="center"/>
                </w:tcPr>
                <w:p w14:paraId="5F38848D">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76145BD5">
                  <w:pPr>
                    <w:widowControl/>
                    <w:autoSpaceDN w:val="0"/>
                    <w:spacing w:line="276" w:lineRule="auto"/>
                    <w:jc w:val="center"/>
                    <w:rPr>
                      <w:bCs/>
                      <w:sz w:val="21"/>
                      <w:szCs w:val="21"/>
                    </w:rPr>
                  </w:pPr>
                  <w:r>
                    <w:rPr>
                      <w:rFonts w:hint="eastAsia"/>
                      <w:bCs/>
                      <w:sz w:val="21"/>
                      <w:szCs w:val="21"/>
                    </w:rPr>
                    <w:t>0.4</w:t>
                  </w:r>
                </w:p>
              </w:tc>
              <w:tc>
                <w:tcPr>
                  <w:tcW w:w="1899" w:type="dxa"/>
                  <w:vMerge w:val="continue"/>
                  <w:noWrap/>
                  <w:vAlign w:val="center"/>
                </w:tcPr>
                <w:p w14:paraId="08B552F8">
                  <w:pPr>
                    <w:widowControl/>
                    <w:autoSpaceDN w:val="0"/>
                    <w:spacing w:line="276" w:lineRule="auto"/>
                    <w:jc w:val="center"/>
                    <w:rPr>
                      <w:bCs/>
                      <w:sz w:val="21"/>
                      <w:szCs w:val="21"/>
                    </w:rPr>
                  </w:pPr>
                </w:p>
              </w:tc>
              <w:tc>
                <w:tcPr>
                  <w:tcW w:w="913" w:type="dxa"/>
                  <w:noWrap/>
                  <w:vAlign w:val="center"/>
                </w:tcPr>
                <w:p w14:paraId="107E700C">
                  <w:pPr>
                    <w:widowControl/>
                    <w:autoSpaceDN w:val="0"/>
                    <w:spacing w:line="276" w:lineRule="auto"/>
                    <w:jc w:val="center"/>
                    <w:rPr>
                      <w:bCs/>
                      <w:sz w:val="21"/>
                      <w:szCs w:val="21"/>
                    </w:rPr>
                  </w:pPr>
                  <w:r>
                    <w:rPr>
                      <w:rFonts w:hint="eastAsia"/>
                      <w:bCs/>
                      <w:sz w:val="21"/>
                      <w:szCs w:val="21"/>
                    </w:rPr>
                    <w:t>10</w:t>
                  </w:r>
                </w:p>
              </w:tc>
              <w:tc>
                <w:tcPr>
                  <w:tcW w:w="1015" w:type="dxa"/>
                  <w:noWrap/>
                  <w:vAlign w:val="center"/>
                </w:tcPr>
                <w:p w14:paraId="1660444E">
                  <w:pPr>
                    <w:widowControl/>
                    <w:autoSpaceDN w:val="0"/>
                    <w:spacing w:line="276" w:lineRule="auto"/>
                    <w:jc w:val="center"/>
                    <w:rPr>
                      <w:bCs/>
                      <w:sz w:val="21"/>
                      <w:szCs w:val="21"/>
                    </w:rPr>
                  </w:pPr>
                  <w:r>
                    <w:rPr>
                      <w:rFonts w:hint="eastAsia"/>
                      <w:bCs/>
                      <w:sz w:val="21"/>
                      <w:szCs w:val="21"/>
                    </w:rPr>
                    <w:t>0.04</w:t>
                  </w:r>
                </w:p>
              </w:tc>
              <w:tc>
                <w:tcPr>
                  <w:tcW w:w="1098" w:type="dxa"/>
                  <w:vMerge w:val="continue"/>
                  <w:noWrap/>
                  <w:vAlign w:val="center"/>
                </w:tcPr>
                <w:p w14:paraId="27B0B68F">
                  <w:pPr>
                    <w:widowControl/>
                    <w:autoSpaceDN w:val="0"/>
                    <w:spacing w:line="276" w:lineRule="auto"/>
                    <w:jc w:val="center"/>
                    <w:rPr>
                      <w:bCs/>
                      <w:sz w:val="21"/>
                      <w:szCs w:val="21"/>
                      <w:lang w:val="zh-CN"/>
                    </w:rPr>
                  </w:pPr>
                </w:p>
              </w:tc>
            </w:tr>
            <w:tr w14:paraId="1B3EF4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1C1C8CA7">
                  <w:pPr>
                    <w:widowControl/>
                    <w:autoSpaceDN w:val="0"/>
                    <w:spacing w:line="276" w:lineRule="auto"/>
                    <w:jc w:val="center"/>
                    <w:rPr>
                      <w:bCs/>
                      <w:sz w:val="21"/>
                      <w:szCs w:val="21"/>
                    </w:rPr>
                  </w:pPr>
                  <w:r>
                    <w:rPr>
                      <w:rFonts w:hint="eastAsia"/>
                      <w:bCs/>
                      <w:sz w:val="21"/>
                      <w:szCs w:val="21"/>
                    </w:rPr>
                    <w:t>脱模剂</w:t>
                  </w:r>
                </w:p>
              </w:tc>
              <w:tc>
                <w:tcPr>
                  <w:tcW w:w="654" w:type="dxa"/>
                  <w:noWrap/>
                  <w:vAlign w:val="center"/>
                </w:tcPr>
                <w:p w14:paraId="0D973E75">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2ECAB91B">
                  <w:pPr>
                    <w:widowControl/>
                    <w:autoSpaceDN w:val="0"/>
                    <w:spacing w:line="276" w:lineRule="auto"/>
                    <w:jc w:val="center"/>
                    <w:rPr>
                      <w:bCs/>
                      <w:sz w:val="21"/>
                      <w:szCs w:val="21"/>
                    </w:rPr>
                  </w:pPr>
                  <w:r>
                    <w:rPr>
                      <w:rFonts w:hint="eastAsia"/>
                      <w:bCs/>
                      <w:sz w:val="21"/>
                      <w:szCs w:val="21"/>
                    </w:rPr>
                    <w:t>0.1</w:t>
                  </w:r>
                </w:p>
              </w:tc>
              <w:tc>
                <w:tcPr>
                  <w:tcW w:w="1899" w:type="dxa"/>
                  <w:noWrap/>
                  <w:vAlign w:val="center"/>
                </w:tcPr>
                <w:p w14:paraId="2B9C49FB">
                  <w:pPr>
                    <w:widowControl/>
                    <w:autoSpaceDN w:val="0"/>
                    <w:spacing w:line="276" w:lineRule="auto"/>
                    <w:jc w:val="center"/>
                    <w:rPr>
                      <w:bCs/>
                      <w:sz w:val="21"/>
                      <w:szCs w:val="21"/>
                    </w:rPr>
                  </w:pPr>
                  <w:r>
                    <w:rPr>
                      <w:rFonts w:hint="eastAsia"/>
                      <w:bCs/>
                      <w:sz w:val="21"/>
                      <w:szCs w:val="21"/>
                    </w:rPr>
                    <w:t>《建设项目环境风险评价技术导则》（HJ169-2018）附录B.2中的危害水环境物质（急性毒性类别1）</w:t>
                  </w:r>
                </w:p>
              </w:tc>
              <w:tc>
                <w:tcPr>
                  <w:tcW w:w="913" w:type="dxa"/>
                  <w:noWrap/>
                  <w:vAlign w:val="center"/>
                </w:tcPr>
                <w:p w14:paraId="0BC06B37">
                  <w:pPr>
                    <w:widowControl/>
                    <w:autoSpaceDN w:val="0"/>
                    <w:spacing w:line="276" w:lineRule="auto"/>
                    <w:jc w:val="center"/>
                    <w:rPr>
                      <w:bCs/>
                      <w:sz w:val="21"/>
                      <w:szCs w:val="21"/>
                    </w:rPr>
                  </w:pPr>
                  <w:r>
                    <w:rPr>
                      <w:rFonts w:hint="eastAsia"/>
                      <w:bCs/>
                      <w:sz w:val="21"/>
                      <w:szCs w:val="21"/>
                    </w:rPr>
                    <w:t>100</w:t>
                  </w:r>
                </w:p>
              </w:tc>
              <w:tc>
                <w:tcPr>
                  <w:tcW w:w="1015" w:type="dxa"/>
                  <w:noWrap/>
                  <w:vAlign w:val="center"/>
                </w:tcPr>
                <w:p w14:paraId="529ECA16">
                  <w:pPr>
                    <w:widowControl/>
                    <w:autoSpaceDN w:val="0"/>
                    <w:spacing w:line="276" w:lineRule="auto"/>
                    <w:jc w:val="center"/>
                    <w:rPr>
                      <w:bCs/>
                      <w:sz w:val="21"/>
                      <w:szCs w:val="21"/>
                    </w:rPr>
                  </w:pPr>
                  <w:r>
                    <w:rPr>
                      <w:rFonts w:hint="eastAsia"/>
                      <w:bCs/>
                      <w:sz w:val="21"/>
                      <w:szCs w:val="21"/>
                    </w:rPr>
                    <w:t>0.001</w:t>
                  </w:r>
                </w:p>
              </w:tc>
              <w:tc>
                <w:tcPr>
                  <w:tcW w:w="1098" w:type="dxa"/>
                  <w:noWrap/>
                  <w:vAlign w:val="center"/>
                </w:tcPr>
                <w:p w14:paraId="25FD87BC">
                  <w:pPr>
                    <w:widowControl/>
                    <w:autoSpaceDN w:val="0"/>
                    <w:spacing w:line="276" w:lineRule="auto"/>
                    <w:jc w:val="center"/>
                    <w:rPr>
                      <w:bCs/>
                      <w:sz w:val="21"/>
                      <w:szCs w:val="21"/>
                    </w:rPr>
                  </w:pPr>
                  <w:r>
                    <w:rPr>
                      <w:rFonts w:hint="eastAsia"/>
                      <w:bCs/>
                      <w:sz w:val="21"/>
                      <w:szCs w:val="21"/>
                    </w:rPr>
                    <w:t>硫化区</w:t>
                  </w:r>
                </w:p>
              </w:tc>
            </w:tr>
            <w:tr w14:paraId="16E2C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6EF054AD">
                  <w:pPr>
                    <w:pStyle w:val="39"/>
                    <w:spacing w:line="276" w:lineRule="auto"/>
                    <w:rPr>
                      <w:rFonts w:hint="eastAsia"/>
                      <w:bCs/>
                      <w:sz w:val="21"/>
                      <w:szCs w:val="21"/>
                    </w:rPr>
                  </w:pPr>
                  <w:r>
                    <w:rPr>
                      <w:rFonts w:hint="eastAsia" w:hAnsi="宋体"/>
                      <w:szCs w:val="21"/>
                    </w:rPr>
                    <w:t>振光废水</w:t>
                  </w:r>
                </w:p>
              </w:tc>
              <w:tc>
                <w:tcPr>
                  <w:tcW w:w="654" w:type="dxa"/>
                  <w:noWrap/>
                  <w:vAlign w:val="center"/>
                </w:tcPr>
                <w:p w14:paraId="18C6FB05">
                  <w:pPr>
                    <w:widowControl/>
                    <w:autoSpaceDN w:val="0"/>
                    <w:spacing w:line="276" w:lineRule="auto"/>
                    <w:jc w:val="center"/>
                    <w:rPr>
                      <w:rFonts w:hint="eastAsia"/>
                      <w:bCs/>
                      <w:sz w:val="21"/>
                      <w:szCs w:val="21"/>
                    </w:rPr>
                  </w:pPr>
                  <w:r>
                    <w:rPr>
                      <w:rFonts w:hint="eastAsia"/>
                      <w:bCs/>
                      <w:sz w:val="21"/>
                      <w:szCs w:val="21"/>
                    </w:rPr>
                    <w:t>0</w:t>
                  </w:r>
                </w:p>
              </w:tc>
              <w:tc>
                <w:tcPr>
                  <w:tcW w:w="943" w:type="dxa"/>
                  <w:noWrap/>
                  <w:vAlign w:val="center"/>
                </w:tcPr>
                <w:p w14:paraId="3F4C9F87">
                  <w:pPr>
                    <w:spacing w:line="276" w:lineRule="auto"/>
                    <w:jc w:val="center"/>
                    <w:rPr>
                      <w:rFonts w:hint="eastAsia"/>
                      <w:bCs/>
                      <w:sz w:val="21"/>
                      <w:szCs w:val="21"/>
                    </w:rPr>
                  </w:pPr>
                  <w:r>
                    <w:rPr>
                      <w:rFonts w:hint="eastAsia" w:hAnsi="宋体"/>
                      <w:sz w:val="21"/>
                      <w:szCs w:val="21"/>
                    </w:rPr>
                    <w:t>0.717</w:t>
                  </w:r>
                </w:p>
              </w:tc>
              <w:tc>
                <w:tcPr>
                  <w:tcW w:w="1899" w:type="dxa"/>
                  <w:noWrap/>
                  <w:vAlign w:val="center"/>
                </w:tcPr>
                <w:p w14:paraId="01894982">
                  <w:pPr>
                    <w:widowControl/>
                    <w:autoSpaceDN w:val="0"/>
                    <w:spacing w:line="276" w:lineRule="auto"/>
                    <w:jc w:val="center"/>
                    <w:rPr>
                      <w:rFonts w:hint="eastAsia"/>
                      <w:bCs/>
                      <w:sz w:val="21"/>
                      <w:szCs w:val="21"/>
                    </w:rPr>
                  </w:pPr>
                  <w:r>
                    <w:rPr>
                      <w:rFonts w:hint="eastAsia"/>
                      <w:bCs/>
                      <w:sz w:val="21"/>
                      <w:szCs w:val="21"/>
                    </w:rPr>
                    <w:t>《建设项目环境风险评价技术导则》（HJ169-2018）表B.1</w:t>
                  </w:r>
                </w:p>
              </w:tc>
              <w:tc>
                <w:tcPr>
                  <w:tcW w:w="913" w:type="dxa"/>
                  <w:noWrap/>
                  <w:vAlign w:val="center"/>
                </w:tcPr>
                <w:p w14:paraId="23CF58A2">
                  <w:pPr>
                    <w:widowControl/>
                    <w:autoSpaceDN w:val="0"/>
                    <w:spacing w:line="276" w:lineRule="auto"/>
                    <w:jc w:val="center"/>
                    <w:rPr>
                      <w:rFonts w:hint="eastAsia"/>
                      <w:bCs/>
                      <w:sz w:val="21"/>
                      <w:szCs w:val="21"/>
                    </w:rPr>
                  </w:pPr>
                  <w:r>
                    <w:rPr>
                      <w:rFonts w:hint="eastAsia"/>
                      <w:bCs/>
                      <w:sz w:val="21"/>
                      <w:szCs w:val="21"/>
                      <w:lang w:val="en-US" w:eastAsia="zh-CN"/>
                    </w:rPr>
                    <w:t>1</w:t>
                  </w:r>
                  <w:r>
                    <w:rPr>
                      <w:rFonts w:hint="eastAsia"/>
                      <w:bCs/>
                      <w:sz w:val="21"/>
                      <w:szCs w:val="21"/>
                      <w:lang w:val="zh-CN"/>
                    </w:rPr>
                    <w:t>0</w:t>
                  </w:r>
                </w:p>
              </w:tc>
              <w:tc>
                <w:tcPr>
                  <w:tcW w:w="1015" w:type="dxa"/>
                  <w:noWrap/>
                  <w:vAlign w:val="center"/>
                </w:tcPr>
                <w:p w14:paraId="02E433D1">
                  <w:pPr>
                    <w:widowControl/>
                    <w:autoSpaceDN w:val="0"/>
                    <w:spacing w:line="276" w:lineRule="auto"/>
                    <w:jc w:val="center"/>
                    <w:rPr>
                      <w:rFonts w:hint="default" w:eastAsia="宋体"/>
                      <w:bCs/>
                      <w:sz w:val="21"/>
                      <w:szCs w:val="21"/>
                      <w:lang w:val="en-US" w:eastAsia="zh-CN"/>
                    </w:rPr>
                  </w:pPr>
                  <w:r>
                    <w:rPr>
                      <w:rFonts w:hint="eastAsia"/>
                      <w:bCs/>
                      <w:sz w:val="21"/>
                      <w:szCs w:val="21"/>
                      <w:lang w:val="en-US" w:eastAsia="zh-CN"/>
                    </w:rPr>
                    <w:t>0.0717</w:t>
                  </w:r>
                </w:p>
              </w:tc>
              <w:tc>
                <w:tcPr>
                  <w:tcW w:w="1098" w:type="dxa"/>
                  <w:vMerge w:val="restart"/>
                  <w:noWrap/>
                  <w:vAlign w:val="center"/>
                </w:tcPr>
                <w:p w14:paraId="06DDE24C">
                  <w:pPr>
                    <w:widowControl/>
                    <w:autoSpaceDN w:val="0"/>
                    <w:spacing w:line="276" w:lineRule="auto"/>
                    <w:jc w:val="center"/>
                    <w:rPr>
                      <w:bCs/>
                      <w:sz w:val="21"/>
                      <w:szCs w:val="21"/>
                      <w:lang w:val="zh-CN"/>
                    </w:rPr>
                  </w:pPr>
                  <w:r>
                    <w:rPr>
                      <w:rFonts w:hint="eastAsia"/>
                      <w:bCs/>
                      <w:sz w:val="21"/>
                      <w:szCs w:val="21"/>
                      <w:lang w:val="zh-CN"/>
                    </w:rPr>
                    <w:t>危废暂存间</w:t>
                  </w:r>
                </w:p>
              </w:tc>
            </w:tr>
            <w:tr w14:paraId="2B1706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52" w:type="dxa"/>
                  <w:noWrap/>
                  <w:vAlign w:val="center"/>
                </w:tcPr>
                <w:p w14:paraId="2E3BED80">
                  <w:pPr>
                    <w:pStyle w:val="39"/>
                    <w:spacing w:line="276" w:lineRule="auto"/>
                    <w:rPr>
                      <w:bCs/>
                      <w:szCs w:val="21"/>
                    </w:rPr>
                  </w:pPr>
                  <w:r>
                    <w:rPr>
                      <w:rFonts w:hint="eastAsia"/>
                      <w:szCs w:val="21"/>
                    </w:rPr>
                    <w:t>清洗废液和废水</w:t>
                  </w:r>
                </w:p>
              </w:tc>
              <w:tc>
                <w:tcPr>
                  <w:tcW w:w="654" w:type="dxa"/>
                  <w:noWrap/>
                  <w:vAlign w:val="center"/>
                </w:tcPr>
                <w:p w14:paraId="76726D93">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6224347E">
                  <w:pPr>
                    <w:spacing w:line="276" w:lineRule="auto"/>
                    <w:jc w:val="center"/>
                    <w:rPr>
                      <w:rFonts w:hint="default" w:eastAsia="宋体"/>
                      <w:bCs/>
                      <w:sz w:val="21"/>
                      <w:szCs w:val="21"/>
                      <w:lang w:val="en-US" w:eastAsia="zh-CN"/>
                    </w:rPr>
                  </w:pPr>
                  <w:r>
                    <w:rPr>
                      <w:rFonts w:hint="eastAsia" w:hAnsi="宋体"/>
                      <w:sz w:val="21"/>
                      <w:szCs w:val="21"/>
                      <w:lang w:val="en-US" w:eastAsia="zh-CN"/>
                    </w:rPr>
                    <w:t>2.921</w:t>
                  </w:r>
                </w:p>
              </w:tc>
              <w:tc>
                <w:tcPr>
                  <w:tcW w:w="1899" w:type="dxa"/>
                  <w:vMerge w:val="restart"/>
                  <w:noWrap/>
                  <w:vAlign w:val="center"/>
                </w:tcPr>
                <w:p w14:paraId="424FDDE0">
                  <w:pPr>
                    <w:widowControl/>
                    <w:autoSpaceDN w:val="0"/>
                    <w:spacing w:line="276" w:lineRule="auto"/>
                    <w:jc w:val="center"/>
                    <w:rPr>
                      <w:bCs/>
                      <w:sz w:val="21"/>
                      <w:szCs w:val="21"/>
                    </w:rPr>
                  </w:pPr>
                  <w:r>
                    <w:rPr>
                      <w:rFonts w:hint="eastAsia"/>
                      <w:bCs/>
                      <w:sz w:val="21"/>
                      <w:szCs w:val="21"/>
                    </w:rPr>
                    <w:t>《建设项目环境风险评价技术导则》（HJ169-2018）附录B.2中的健康危险急性毒性物质（类别2，类别3）</w:t>
                  </w:r>
                </w:p>
              </w:tc>
              <w:tc>
                <w:tcPr>
                  <w:tcW w:w="913" w:type="dxa"/>
                  <w:noWrap/>
                  <w:vAlign w:val="center"/>
                </w:tcPr>
                <w:p w14:paraId="61D4068D">
                  <w:pPr>
                    <w:widowControl/>
                    <w:autoSpaceDN w:val="0"/>
                    <w:spacing w:line="276" w:lineRule="auto"/>
                    <w:jc w:val="center"/>
                    <w:rPr>
                      <w:bCs/>
                      <w:sz w:val="21"/>
                      <w:szCs w:val="21"/>
                    </w:rPr>
                  </w:pPr>
                  <w:r>
                    <w:rPr>
                      <w:rFonts w:hint="eastAsia"/>
                      <w:bCs/>
                      <w:sz w:val="21"/>
                      <w:szCs w:val="21"/>
                    </w:rPr>
                    <w:t>50</w:t>
                  </w:r>
                </w:p>
              </w:tc>
              <w:tc>
                <w:tcPr>
                  <w:tcW w:w="1015" w:type="dxa"/>
                  <w:noWrap/>
                  <w:vAlign w:val="center"/>
                </w:tcPr>
                <w:p w14:paraId="7E1CA2D1">
                  <w:pPr>
                    <w:widowControl/>
                    <w:autoSpaceDN w:val="0"/>
                    <w:spacing w:line="276" w:lineRule="auto"/>
                    <w:jc w:val="center"/>
                    <w:rPr>
                      <w:rFonts w:hint="default" w:eastAsia="宋体"/>
                      <w:bCs/>
                      <w:sz w:val="21"/>
                      <w:szCs w:val="21"/>
                      <w:lang w:val="en-US" w:eastAsia="zh-CN"/>
                    </w:rPr>
                  </w:pPr>
                  <w:r>
                    <w:rPr>
                      <w:rFonts w:hint="eastAsia"/>
                      <w:bCs/>
                      <w:sz w:val="21"/>
                      <w:szCs w:val="21"/>
                      <w:lang w:val="en-US" w:eastAsia="zh-CN"/>
                    </w:rPr>
                    <w:t>0.05842</w:t>
                  </w:r>
                </w:p>
              </w:tc>
              <w:tc>
                <w:tcPr>
                  <w:tcW w:w="1098" w:type="dxa"/>
                  <w:vMerge w:val="continue"/>
                  <w:noWrap/>
                  <w:vAlign w:val="center"/>
                </w:tcPr>
                <w:p w14:paraId="23A653B6">
                  <w:pPr>
                    <w:widowControl/>
                    <w:autoSpaceDN w:val="0"/>
                    <w:spacing w:line="276" w:lineRule="auto"/>
                    <w:jc w:val="center"/>
                    <w:rPr>
                      <w:bCs/>
                      <w:sz w:val="21"/>
                      <w:szCs w:val="21"/>
                      <w:lang w:val="zh-CN"/>
                    </w:rPr>
                  </w:pPr>
                </w:p>
              </w:tc>
            </w:tr>
            <w:tr w14:paraId="31C48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08F3F94F">
                  <w:pPr>
                    <w:pStyle w:val="39"/>
                    <w:spacing w:line="276" w:lineRule="auto"/>
                    <w:rPr>
                      <w:bCs/>
                      <w:szCs w:val="21"/>
                    </w:rPr>
                  </w:pPr>
                  <w:r>
                    <w:rPr>
                      <w:rFonts w:hint="eastAsia" w:hAnsi="宋体"/>
                      <w:szCs w:val="21"/>
                    </w:rPr>
                    <w:t>废脱模剂</w:t>
                  </w:r>
                </w:p>
              </w:tc>
              <w:tc>
                <w:tcPr>
                  <w:tcW w:w="654" w:type="dxa"/>
                  <w:noWrap/>
                  <w:vAlign w:val="center"/>
                </w:tcPr>
                <w:p w14:paraId="2E3080A2">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2C212BC1">
                  <w:pPr>
                    <w:spacing w:line="276" w:lineRule="auto"/>
                    <w:jc w:val="center"/>
                    <w:rPr>
                      <w:bCs/>
                      <w:sz w:val="21"/>
                      <w:szCs w:val="21"/>
                    </w:rPr>
                  </w:pPr>
                  <w:r>
                    <w:rPr>
                      <w:rFonts w:hint="eastAsia" w:hAnsi="宋体"/>
                      <w:sz w:val="21"/>
                      <w:szCs w:val="21"/>
                    </w:rPr>
                    <w:t>0.014</w:t>
                  </w:r>
                </w:p>
              </w:tc>
              <w:tc>
                <w:tcPr>
                  <w:tcW w:w="1899" w:type="dxa"/>
                  <w:vMerge w:val="continue"/>
                  <w:noWrap/>
                  <w:vAlign w:val="center"/>
                </w:tcPr>
                <w:p w14:paraId="7B1358F6">
                  <w:pPr>
                    <w:widowControl/>
                    <w:autoSpaceDN w:val="0"/>
                    <w:spacing w:line="276" w:lineRule="auto"/>
                    <w:jc w:val="center"/>
                    <w:rPr>
                      <w:bCs/>
                      <w:sz w:val="21"/>
                      <w:szCs w:val="21"/>
                    </w:rPr>
                  </w:pPr>
                </w:p>
              </w:tc>
              <w:tc>
                <w:tcPr>
                  <w:tcW w:w="913" w:type="dxa"/>
                  <w:noWrap/>
                  <w:vAlign w:val="center"/>
                </w:tcPr>
                <w:p w14:paraId="1039C5A2">
                  <w:pPr>
                    <w:widowControl/>
                    <w:autoSpaceDN w:val="0"/>
                    <w:spacing w:line="276" w:lineRule="auto"/>
                    <w:jc w:val="center"/>
                    <w:rPr>
                      <w:bCs/>
                      <w:sz w:val="21"/>
                      <w:szCs w:val="21"/>
                    </w:rPr>
                  </w:pPr>
                  <w:r>
                    <w:rPr>
                      <w:rFonts w:hint="eastAsia"/>
                      <w:bCs/>
                      <w:sz w:val="21"/>
                      <w:szCs w:val="21"/>
                    </w:rPr>
                    <w:t>50</w:t>
                  </w:r>
                </w:p>
              </w:tc>
              <w:tc>
                <w:tcPr>
                  <w:tcW w:w="1015" w:type="dxa"/>
                  <w:noWrap/>
                  <w:vAlign w:val="center"/>
                </w:tcPr>
                <w:p w14:paraId="6A639989">
                  <w:pPr>
                    <w:widowControl/>
                    <w:autoSpaceDN w:val="0"/>
                    <w:spacing w:line="276" w:lineRule="auto"/>
                    <w:jc w:val="center"/>
                    <w:rPr>
                      <w:bCs/>
                      <w:sz w:val="21"/>
                      <w:szCs w:val="21"/>
                    </w:rPr>
                  </w:pPr>
                  <w:r>
                    <w:rPr>
                      <w:rFonts w:hint="eastAsia"/>
                      <w:bCs/>
                      <w:sz w:val="21"/>
                      <w:szCs w:val="21"/>
                    </w:rPr>
                    <w:t>0.00028</w:t>
                  </w:r>
                </w:p>
              </w:tc>
              <w:tc>
                <w:tcPr>
                  <w:tcW w:w="1098" w:type="dxa"/>
                  <w:vMerge w:val="continue"/>
                  <w:noWrap/>
                  <w:vAlign w:val="center"/>
                </w:tcPr>
                <w:p w14:paraId="7F1FF596">
                  <w:pPr>
                    <w:widowControl/>
                    <w:autoSpaceDN w:val="0"/>
                    <w:spacing w:line="276" w:lineRule="auto"/>
                    <w:jc w:val="center"/>
                    <w:rPr>
                      <w:bCs/>
                      <w:sz w:val="21"/>
                      <w:szCs w:val="21"/>
                      <w:lang w:val="zh-CN"/>
                    </w:rPr>
                  </w:pPr>
                </w:p>
              </w:tc>
            </w:tr>
            <w:tr w14:paraId="088F1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4A635634">
                  <w:pPr>
                    <w:pStyle w:val="39"/>
                    <w:spacing w:line="276" w:lineRule="auto"/>
                    <w:rPr>
                      <w:bCs/>
                      <w:szCs w:val="21"/>
                    </w:rPr>
                  </w:pPr>
                  <w:r>
                    <w:rPr>
                      <w:rFonts w:hint="eastAsia" w:hAnsi="宋体"/>
                      <w:szCs w:val="21"/>
                    </w:rPr>
                    <w:t>废胶粘剂</w:t>
                  </w:r>
                </w:p>
              </w:tc>
              <w:tc>
                <w:tcPr>
                  <w:tcW w:w="654" w:type="dxa"/>
                  <w:noWrap/>
                  <w:vAlign w:val="center"/>
                </w:tcPr>
                <w:p w14:paraId="41AEAEEA">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05B9A963">
                  <w:pPr>
                    <w:spacing w:line="276" w:lineRule="auto"/>
                    <w:jc w:val="center"/>
                    <w:rPr>
                      <w:bCs/>
                      <w:sz w:val="21"/>
                      <w:szCs w:val="21"/>
                    </w:rPr>
                  </w:pPr>
                  <w:r>
                    <w:rPr>
                      <w:rFonts w:hint="eastAsia" w:hAnsi="宋体"/>
                      <w:sz w:val="21"/>
                      <w:szCs w:val="21"/>
                    </w:rPr>
                    <w:t>0.02</w:t>
                  </w:r>
                </w:p>
              </w:tc>
              <w:tc>
                <w:tcPr>
                  <w:tcW w:w="1899" w:type="dxa"/>
                  <w:vMerge w:val="continue"/>
                  <w:noWrap/>
                  <w:vAlign w:val="center"/>
                </w:tcPr>
                <w:p w14:paraId="16FA2A82">
                  <w:pPr>
                    <w:widowControl/>
                    <w:autoSpaceDN w:val="0"/>
                    <w:spacing w:line="276" w:lineRule="auto"/>
                    <w:jc w:val="center"/>
                    <w:rPr>
                      <w:bCs/>
                      <w:sz w:val="21"/>
                      <w:szCs w:val="21"/>
                    </w:rPr>
                  </w:pPr>
                </w:p>
              </w:tc>
              <w:tc>
                <w:tcPr>
                  <w:tcW w:w="913" w:type="dxa"/>
                  <w:noWrap/>
                  <w:vAlign w:val="center"/>
                </w:tcPr>
                <w:p w14:paraId="0D37A17B">
                  <w:pPr>
                    <w:widowControl/>
                    <w:autoSpaceDN w:val="0"/>
                    <w:spacing w:line="276" w:lineRule="auto"/>
                    <w:jc w:val="center"/>
                    <w:rPr>
                      <w:bCs/>
                      <w:sz w:val="21"/>
                      <w:szCs w:val="21"/>
                    </w:rPr>
                  </w:pPr>
                  <w:r>
                    <w:rPr>
                      <w:rFonts w:hint="eastAsia"/>
                      <w:bCs/>
                      <w:sz w:val="21"/>
                      <w:szCs w:val="21"/>
                    </w:rPr>
                    <w:t>50</w:t>
                  </w:r>
                </w:p>
              </w:tc>
              <w:tc>
                <w:tcPr>
                  <w:tcW w:w="1015" w:type="dxa"/>
                  <w:noWrap/>
                  <w:vAlign w:val="center"/>
                </w:tcPr>
                <w:p w14:paraId="0FF30C81">
                  <w:pPr>
                    <w:widowControl/>
                    <w:autoSpaceDN w:val="0"/>
                    <w:spacing w:line="276" w:lineRule="auto"/>
                    <w:jc w:val="center"/>
                    <w:rPr>
                      <w:bCs/>
                      <w:sz w:val="21"/>
                      <w:szCs w:val="21"/>
                    </w:rPr>
                  </w:pPr>
                  <w:r>
                    <w:rPr>
                      <w:rFonts w:hint="eastAsia"/>
                      <w:bCs/>
                      <w:sz w:val="21"/>
                      <w:szCs w:val="21"/>
                    </w:rPr>
                    <w:t>0.0004</w:t>
                  </w:r>
                </w:p>
              </w:tc>
              <w:tc>
                <w:tcPr>
                  <w:tcW w:w="1098" w:type="dxa"/>
                  <w:vMerge w:val="continue"/>
                  <w:noWrap/>
                  <w:vAlign w:val="center"/>
                </w:tcPr>
                <w:p w14:paraId="58E12362">
                  <w:pPr>
                    <w:widowControl/>
                    <w:autoSpaceDN w:val="0"/>
                    <w:spacing w:line="276" w:lineRule="auto"/>
                    <w:jc w:val="center"/>
                    <w:rPr>
                      <w:bCs/>
                      <w:sz w:val="21"/>
                      <w:szCs w:val="21"/>
                      <w:lang w:val="zh-CN"/>
                    </w:rPr>
                  </w:pPr>
                </w:p>
              </w:tc>
            </w:tr>
            <w:tr w14:paraId="684D1B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55A53FFE">
                  <w:pPr>
                    <w:spacing w:line="276" w:lineRule="auto"/>
                    <w:jc w:val="center"/>
                    <w:rPr>
                      <w:bCs/>
                      <w:sz w:val="21"/>
                      <w:szCs w:val="21"/>
                    </w:rPr>
                  </w:pPr>
                  <w:r>
                    <w:rPr>
                      <w:rFonts w:hint="eastAsia" w:hAnsi="宋体"/>
                      <w:sz w:val="21"/>
                      <w:szCs w:val="21"/>
                    </w:rPr>
                    <w:t>废包装桶</w:t>
                  </w:r>
                </w:p>
              </w:tc>
              <w:tc>
                <w:tcPr>
                  <w:tcW w:w="654" w:type="dxa"/>
                  <w:noWrap/>
                  <w:vAlign w:val="center"/>
                </w:tcPr>
                <w:p w14:paraId="2F2EAD26">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0E50474D">
                  <w:pPr>
                    <w:spacing w:line="276" w:lineRule="auto"/>
                    <w:jc w:val="center"/>
                    <w:rPr>
                      <w:bCs/>
                      <w:sz w:val="21"/>
                      <w:szCs w:val="21"/>
                    </w:rPr>
                  </w:pPr>
                  <w:r>
                    <w:rPr>
                      <w:rFonts w:hint="eastAsia" w:hAnsi="宋体"/>
                      <w:sz w:val="21"/>
                      <w:szCs w:val="21"/>
                    </w:rPr>
                    <w:t>1.3945</w:t>
                  </w:r>
                </w:p>
              </w:tc>
              <w:tc>
                <w:tcPr>
                  <w:tcW w:w="1899" w:type="dxa"/>
                  <w:vMerge w:val="continue"/>
                  <w:noWrap/>
                  <w:vAlign w:val="center"/>
                </w:tcPr>
                <w:p w14:paraId="38FE734C">
                  <w:pPr>
                    <w:widowControl/>
                    <w:autoSpaceDN w:val="0"/>
                    <w:spacing w:line="276" w:lineRule="auto"/>
                    <w:jc w:val="center"/>
                    <w:rPr>
                      <w:bCs/>
                      <w:sz w:val="21"/>
                      <w:szCs w:val="21"/>
                    </w:rPr>
                  </w:pPr>
                </w:p>
              </w:tc>
              <w:tc>
                <w:tcPr>
                  <w:tcW w:w="913" w:type="dxa"/>
                  <w:noWrap/>
                  <w:vAlign w:val="center"/>
                </w:tcPr>
                <w:p w14:paraId="4563136A">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26366B09">
                  <w:pPr>
                    <w:widowControl/>
                    <w:autoSpaceDN w:val="0"/>
                    <w:spacing w:line="276" w:lineRule="auto"/>
                    <w:jc w:val="center"/>
                    <w:rPr>
                      <w:bCs/>
                      <w:sz w:val="21"/>
                      <w:szCs w:val="21"/>
                    </w:rPr>
                  </w:pPr>
                  <w:r>
                    <w:rPr>
                      <w:rFonts w:hint="eastAsia"/>
                      <w:bCs/>
                      <w:sz w:val="21"/>
                      <w:szCs w:val="21"/>
                    </w:rPr>
                    <w:t>0.0261</w:t>
                  </w:r>
                </w:p>
              </w:tc>
              <w:tc>
                <w:tcPr>
                  <w:tcW w:w="1098" w:type="dxa"/>
                  <w:vMerge w:val="continue"/>
                  <w:noWrap/>
                  <w:vAlign w:val="center"/>
                </w:tcPr>
                <w:p w14:paraId="11F962FD">
                  <w:pPr>
                    <w:widowControl/>
                    <w:autoSpaceDN w:val="0"/>
                    <w:spacing w:line="276" w:lineRule="auto"/>
                    <w:jc w:val="center"/>
                    <w:rPr>
                      <w:bCs/>
                      <w:sz w:val="21"/>
                      <w:szCs w:val="21"/>
                      <w:lang w:val="zh-CN"/>
                    </w:rPr>
                  </w:pPr>
                </w:p>
              </w:tc>
            </w:tr>
            <w:tr w14:paraId="024C7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7E910DB7">
                  <w:pPr>
                    <w:spacing w:line="276" w:lineRule="auto"/>
                    <w:jc w:val="center"/>
                    <w:rPr>
                      <w:bCs/>
                      <w:sz w:val="21"/>
                      <w:szCs w:val="21"/>
                    </w:rPr>
                  </w:pPr>
                  <w:r>
                    <w:rPr>
                      <w:rFonts w:hint="eastAsia" w:hAnsi="宋体"/>
                      <w:sz w:val="21"/>
                      <w:szCs w:val="21"/>
                    </w:rPr>
                    <w:t>槽渣</w:t>
                  </w:r>
                </w:p>
              </w:tc>
              <w:tc>
                <w:tcPr>
                  <w:tcW w:w="654" w:type="dxa"/>
                  <w:noWrap/>
                  <w:vAlign w:val="center"/>
                </w:tcPr>
                <w:p w14:paraId="1FBA0A41">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642A341C">
                  <w:pPr>
                    <w:spacing w:line="276" w:lineRule="auto"/>
                    <w:jc w:val="center"/>
                    <w:rPr>
                      <w:bCs/>
                      <w:sz w:val="21"/>
                      <w:szCs w:val="21"/>
                    </w:rPr>
                  </w:pPr>
                  <w:r>
                    <w:rPr>
                      <w:rFonts w:hint="eastAsia" w:hAnsi="宋体"/>
                      <w:sz w:val="21"/>
                      <w:szCs w:val="21"/>
                    </w:rPr>
                    <w:t>0.375</w:t>
                  </w:r>
                </w:p>
              </w:tc>
              <w:tc>
                <w:tcPr>
                  <w:tcW w:w="1899" w:type="dxa"/>
                  <w:vMerge w:val="continue"/>
                  <w:noWrap/>
                  <w:vAlign w:val="center"/>
                </w:tcPr>
                <w:p w14:paraId="6983DACD">
                  <w:pPr>
                    <w:widowControl/>
                    <w:autoSpaceDN w:val="0"/>
                    <w:spacing w:line="276" w:lineRule="auto"/>
                    <w:jc w:val="center"/>
                    <w:rPr>
                      <w:bCs/>
                      <w:sz w:val="21"/>
                      <w:szCs w:val="21"/>
                    </w:rPr>
                  </w:pPr>
                </w:p>
              </w:tc>
              <w:tc>
                <w:tcPr>
                  <w:tcW w:w="913" w:type="dxa"/>
                  <w:noWrap/>
                  <w:vAlign w:val="center"/>
                </w:tcPr>
                <w:p w14:paraId="3F6D0087">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052403AE">
                  <w:pPr>
                    <w:widowControl/>
                    <w:autoSpaceDN w:val="0"/>
                    <w:spacing w:line="276" w:lineRule="auto"/>
                    <w:jc w:val="center"/>
                    <w:rPr>
                      <w:bCs/>
                      <w:sz w:val="21"/>
                      <w:szCs w:val="21"/>
                    </w:rPr>
                  </w:pPr>
                  <w:r>
                    <w:rPr>
                      <w:rFonts w:hint="eastAsia"/>
                      <w:bCs/>
                      <w:sz w:val="21"/>
                      <w:szCs w:val="21"/>
                    </w:rPr>
                    <w:t>0.0075</w:t>
                  </w:r>
                </w:p>
              </w:tc>
              <w:tc>
                <w:tcPr>
                  <w:tcW w:w="1098" w:type="dxa"/>
                  <w:vMerge w:val="continue"/>
                  <w:noWrap/>
                  <w:vAlign w:val="center"/>
                </w:tcPr>
                <w:p w14:paraId="41D23064">
                  <w:pPr>
                    <w:widowControl/>
                    <w:autoSpaceDN w:val="0"/>
                    <w:spacing w:line="276" w:lineRule="auto"/>
                    <w:jc w:val="center"/>
                    <w:rPr>
                      <w:bCs/>
                      <w:sz w:val="21"/>
                      <w:szCs w:val="21"/>
                      <w:lang w:val="zh-CN"/>
                    </w:rPr>
                  </w:pPr>
                </w:p>
              </w:tc>
            </w:tr>
            <w:tr w14:paraId="1C00B1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4CFFC0A5">
                  <w:pPr>
                    <w:spacing w:line="276" w:lineRule="auto"/>
                    <w:jc w:val="center"/>
                    <w:rPr>
                      <w:bCs/>
                      <w:sz w:val="21"/>
                      <w:szCs w:val="21"/>
                    </w:rPr>
                  </w:pPr>
                  <w:r>
                    <w:rPr>
                      <w:rFonts w:hAnsi="宋体"/>
                      <w:sz w:val="21"/>
                      <w:szCs w:val="21"/>
                    </w:rPr>
                    <w:t>废机油</w:t>
                  </w:r>
                </w:p>
              </w:tc>
              <w:tc>
                <w:tcPr>
                  <w:tcW w:w="654" w:type="dxa"/>
                  <w:noWrap/>
                  <w:vAlign w:val="center"/>
                </w:tcPr>
                <w:p w14:paraId="6EDC8554">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3DF0BBCC">
                  <w:pPr>
                    <w:spacing w:line="276" w:lineRule="auto"/>
                    <w:jc w:val="center"/>
                    <w:rPr>
                      <w:bCs/>
                      <w:sz w:val="21"/>
                      <w:szCs w:val="21"/>
                    </w:rPr>
                  </w:pPr>
                  <w:r>
                    <w:rPr>
                      <w:rFonts w:hint="eastAsia" w:hAnsi="宋体"/>
                      <w:sz w:val="21"/>
                      <w:szCs w:val="21"/>
                    </w:rPr>
                    <w:t>0.125</w:t>
                  </w:r>
                </w:p>
              </w:tc>
              <w:tc>
                <w:tcPr>
                  <w:tcW w:w="1899" w:type="dxa"/>
                  <w:vMerge w:val="continue"/>
                  <w:noWrap/>
                  <w:vAlign w:val="center"/>
                </w:tcPr>
                <w:p w14:paraId="668BB41F">
                  <w:pPr>
                    <w:widowControl/>
                    <w:autoSpaceDN w:val="0"/>
                    <w:spacing w:line="276" w:lineRule="auto"/>
                    <w:jc w:val="center"/>
                    <w:rPr>
                      <w:bCs/>
                      <w:sz w:val="21"/>
                      <w:szCs w:val="21"/>
                    </w:rPr>
                  </w:pPr>
                </w:p>
              </w:tc>
              <w:tc>
                <w:tcPr>
                  <w:tcW w:w="913" w:type="dxa"/>
                  <w:noWrap/>
                  <w:vAlign w:val="center"/>
                </w:tcPr>
                <w:p w14:paraId="08529888">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2385952B">
                  <w:pPr>
                    <w:widowControl/>
                    <w:autoSpaceDN w:val="0"/>
                    <w:spacing w:line="276" w:lineRule="auto"/>
                    <w:jc w:val="center"/>
                    <w:rPr>
                      <w:bCs/>
                      <w:sz w:val="21"/>
                      <w:szCs w:val="21"/>
                    </w:rPr>
                  </w:pPr>
                  <w:r>
                    <w:rPr>
                      <w:rFonts w:hint="eastAsia"/>
                      <w:bCs/>
                      <w:sz w:val="21"/>
                      <w:szCs w:val="21"/>
                    </w:rPr>
                    <w:t>0.0025</w:t>
                  </w:r>
                </w:p>
              </w:tc>
              <w:tc>
                <w:tcPr>
                  <w:tcW w:w="1098" w:type="dxa"/>
                  <w:vMerge w:val="continue"/>
                  <w:noWrap/>
                  <w:vAlign w:val="center"/>
                </w:tcPr>
                <w:p w14:paraId="223E6A44">
                  <w:pPr>
                    <w:widowControl/>
                    <w:autoSpaceDN w:val="0"/>
                    <w:spacing w:line="276" w:lineRule="auto"/>
                    <w:jc w:val="center"/>
                    <w:rPr>
                      <w:bCs/>
                      <w:sz w:val="21"/>
                      <w:szCs w:val="21"/>
                      <w:lang w:val="zh-CN"/>
                    </w:rPr>
                  </w:pPr>
                </w:p>
              </w:tc>
            </w:tr>
            <w:tr w14:paraId="36E45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30AB5144">
                  <w:pPr>
                    <w:spacing w:line="276" w:lineRule="auto"/>
                    <w:jc w:val="center"/>
                    <w:rPr>
                      <w:bCs/>
                      <w:sz w:val="21"/>
                      <w:szCs w:val="21"/>
                    </w:rPr>
                  </w:pPr>
                  <w:r>
                    <w:rPr>
                      <w:rFonts w:hAnsi="宋体"/>
                      <w:sz w:val="21"/>
                      <w:szCs w:val="21"/>
                    </w:rPr>
                    <w:t>废机油桶</w:t>
                  </w:r>
                </w:p>
              </w:tc>
              <w:tc>
                <w:tcPr>
                  <w:tcW w:w="654" w:type="dxa"/>
                  <w:noWrap/>
                  <w:vAlign w:val="center"/>
                </w:tcPr>
                <w:p w14:paraId="1B3F2118">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4B550554">
                  <w:pPr>
                    <w:spacing w:line="276" w:lineRule="auto"/>
                    <w:jc w:val="center"/>
                    <w:rPr>
                      <w:bCs/>
                      <w:sz w:val="21"/>
                      <w:szCs w:val="21"/>
                    </w:rPr>
                  </w:pPr>
                  <w:r>
                    <w:rPr>
                      <w:rFonts w:hint="eastAsia" w:hAnsi="宋体"/>
                      <w:sz w:val="21"/>
                      <w:szCs w:val="21"/>
                    </w:rPr>
                    <w:t>0.015</w:t>
                  </w:r>
                </w:p>
              </w:tc>
              <w:tc>
                <w:tcPr>
                  <w:tcW w:w="1899" w:type="dxa"/>
                  <w:vMerge w:val="continue"/>
                  <w:noWrap/>
                  <w:vAlign w:val="center"/>
                </w:tcPr>
                <w:p w14:paraId="421659BF">
                  <w:pPr>
                    <w:widowControl/>
                    <w:autoSpaceDN w:val="0"/>
                    <w:spacing w:line="276" w:lineRule="auto"/>
                    <w:jc w:val="center"/>
                    <w:rPr>
                      <w:bCs/>
                      <w:sz w:val="21"/>
                      <w:szCs w:val="21"/>
                    </w:rPr>
                  </w:pPr>
                </w:p>
              </w:tc>
              <w:tc>
                <w:tcPr>
                  <w:tcW w:w="913" w:type="dxa"/>
                  <w:noWrap/>
                  <w:vAlign w:val="center"/>
                </w:tcPr>
                <w:p w14:paraId="6D059E96">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1A19E44E">
                  <w:pPr>
                    <w:widowControl/>
                    <w:autoSpaceDN w:val="0"/>
                    <w:spacing w:line="276" w:lineRule="auto"/>
                    <w:jc w:val="center"/>
                    <w:rPr>
                      <w:bCs/>
                      <w:sz w:val="21"/>
                      <w:szCs w:val="21"/>
                    </w:rPr>
                  </w:pPr>
                  <w:r>
                    <w:rPr>
                      <w:rFonts w:hint="eastAsia"/>
                      <w:bCs/>
                      <w:sz w:val="21"/>
                      <w:szCs w:val="21"/>
                    </w:rPr>
                    <w:t>0.0003</w:t>
                  </w:r>
                </w:p>
              </w:tc>
              <w:tc>
                <w:tcPr>
                  <w:tcW w:w="1098" w:type="dxa"/>
                  <w:vMerge w:val="continue"/>
                  <w:noWrap/>
                  <w:vAlign w:val="center"/>
                </w:tcPr>
                <w:p w14:paraId="72F264C3">
                  <w:pPr>
                    <w:widowControl/>
                    <w:autoSpaceDN w:val="0"/>
                    <w:spacing w:line="276" w:lineRule="auto"/>
                    <w:jc w:val="center"/>
                    <w:rPr>
                      <w:bCs/>
                      <w:sz w:val="21"/>
                      <w:szCs w:val="21"/>
                      <w:lang w:val="zh-CN"/>
                    </w:rPr>
                  </w:pPr>
                </w:p>
              </w:tc>
            </w:tr>
            <w:tr w14:paraId="620C4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3C5140E0">
                  <w:pPr>
                    <w:spacing w:line="276" w:lineRule="auto"/>
                    <w:jc w:val="center"/>
                    <w:rPr>
                      <w:bCs/>
                      <w:sz w:val="21"/>
                      <w:szCs w:val="21"/>
                    </w:rPr>
                  </w:pPr>
                  <w:r>
                    <w:rPr>
                      <w:rFonts w:hAnsi="宋体"/>
                      <w:sz w:val="21"/>
                      <w:szCs w:val="21"/>
                    </w:rPr>
                    <w:t>含油抹布</w:t>
                  </w:r>
                </w:p>
              </w:tc>
              <w:tc>
                <w:tcPr>
                  <w:tcW w:w="654" w:type="dxa"/>
                  <w:noWrap/>
                  <w:vAlign w:val="center"/>
                </w:tcPr>
                <w:p w14:paraId="0FF34D77">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6A6A1CAE">
                  <w:pPr>
                    <w:spacing w:line="276" w:lineRule="auto"/>
                    <w:jc w:val="center"/>
                    <w:rPr>
                      <w:bCs/>
                      <w:sz w:val="21"/>
                      <w:szCs w:val="21"/>
                    </w:rPr>
                  </w:pPr>
                  <w:r>
                    <w:rPr>
                      <w:rFonts w:hint="eastAsia" w:hAnsi="宋体"/>
                      <w:sz w:val="21"/>
                      <w:szCs w:val="21"/>
                    </w:rPr>
                    <w:t>0.0125</w:t>
                  </w:r>
                </w:p>
              </w:tc>
              <w:tc>
                <w:tcPr>
                  <w:tcW w:w="1899" w:type="dxa"/>
                  <w:vMerge w:val="continue"/>
                  <w:noWrap/>
                  <w:vAlign w:val="center"/>
                </w:tcPr>
                <w:p w14:paraId="4074460A">
                  <w:pPr>
                    <w:widowControl/>
                    <w:autoSpaceDN w:val="0"/>
                    <w:spacing w:line="276" w:lineRule="auto"/>
                    <w:jc w:val="center"/>
                    <w:rPr>
                      <w:bCs/>
                      <w:sz w:val="21"/>
                      <w:szCs w:val="21"/>
                      <w:lang w:val="zh-CN"/>
                    </w:rPr>
                  </w:pPr>
                </w:p>
              </w:tc>
              <w:tc>
                <w:tcPr>
                  <w:tcW w:w="913" w:type="dxa"/>
                  <w:noWrap/>
                  <w:vAlign w:val="center"/>
                </w:tcPr>
                <w:p w14:paraId="3426B1B6">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70DE7DC3">
                  <w:pPr>
                    <w:widowControl/>
                    <w:autoSpaceDN w:val="0"/>
                    <w:spacing w:line="276" w:lineRule="auto"/>
                    <w:jc w:val="center"/>
                    <w:rPr>
                      <w:bCs/>
                      <w:sz w:val="21"/>
                      <w:szCs w:val="21"/>
                    </w:rPr>
                  </w:pPr>
                  <w:r>
                    <w:rPr>
                      <w:rFonts w:hint="eastAsia"/>
                      <w:bCs/>
                      <w:sz w:val="21"/>
                      <w:szCs w:val="21"/>
                    </w:rPr>
                    <w:t>0.00025</w:t>
                  </w:r>
                </w:p>
              </w:tc>
              <w:tc>
                <w:tcPr>
                  <w:tcW w:w="1098" w:type="dxa"/>
                  <w:vMerge w:val="continue"/>
                  <w:noWrap/>
                  <w:vAlign w:val="center"/>
                </w:tcPr>
                <w:p w14:paraId="205E6BFB">
                  <w:pPr>
                    <w:widowControl/>
                    <w:autoSpaceDN w:val="0"/>
                    <w:spacing w:line="276" w:lineRule="auto"/>
                    <w:jc w:val="center"/>
                    <w:rPr>
                      <w:bCs/>
                      <w:sz w:val="21"/>
                      <w:szCs w:val="21"/>
                      <w:lang w:val="zh-CN"/>
                    </w:rPr>
                  </w:pPr>
                </w:p>
              </w:tc>
            </w:tr>
            <w:tr w14:paraId="78895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ign w:val="center"/>
                </w:tcPr>
                <w:p w14:paraId="70C130F1">
                  <w:pPr>
                    <w:spacing w:line="276" w:lineRule="auto"/>
                    <w:jc w:val="center"/>
                    <w:rPr>
                      <w:bCs/>
                      <w:sz w:val="21"/>
                      <w:szCs w:val="21"/>
                    </w:rPr>
                  </w:pPr>
                  <w:r>
                    <w:rPr>
                      <w:rFonts w:hint="eastAsia" w:hAnsi="宋体"/>
                      <w:sz w:val="21"/>
                      <w:szCs w:val="21"/>
                    </w:rPr>
                    <w:t>废活性炭</w:t>
                  </w:r>
                </w:p>
              </w:tc>
              <w:tc>
                <w:tcPr>
                  <w:tcW w:w="654" w:type="dxa"/>
                  <w:noWrap/>
                  <w:vAlign w:val="center"/>
                </w:tcPr>
                <w:p w14:paraId="519A1165">
                  <w:pPr>
                    <w:widowControl/>
                    <w:autoSpaceDN w:val="0"/>
                    <w:spacing w:line="276" w:lineRule="auto"/>
                    <w:jc w:val="center"/>
                    <w:rPr>
                      <w:bCs/>
                      <w:sz w:val="21"/>
                      <w:szCs w:val="21"/>
                    </w:rPr>
                  </w:pPr>
                  <w:r>
                    <w:rPr>
                      <w:rFonts w:hint="eastAsia"/>
                      <w:bCs/>
                      <w:sz w:val="21"/>
                      <w:szCs w:val="21"/>
                    </w:rPr>
                    <w:t>0</w:t>
                  </w:r>
                </w:p>
              </w:tc>
              <w:tc>
                <w:tcPr>
                  <w:tcW w:w="943" w:type="dxa"/>
                  <w:noWrap/>
                  <w:vAlign w:val="center"/>
                </w:tcPr>
                <w:p w14:paraId="2FF5300A">
                  <w:pPr>
                    <w:spacing w:line="276" w:lineRule="auto"/>
                    <w:jc w:val="center"/>
                    <w:rPr>
                      <w:rFonts w:hint="default" w:eastAsia="宋体"/>
                      <w:bCs/>
                      <w:sz w:val="21"/>
                      <w:szCs w:val="21"/>
                      <w:lang w:val="en-US" w:eastAsia="zh-CN"/>
                    </w:rPr>
                  </w:pPr>
                  <w:r>
                    <w:rPr>
                      <w:rFonts w:hint="eastAsia" w:hAnsi="宋体"/>
                      <w:sz w:val="21"/>
                      <w:szCs w:val="21"/>
                      <w:lang w:val="en-US" w:eastAsia="zh-CN"/>
                    </w:rPr>
                    <w:t>2.625</w:t>
                  </w:r>
                </w:p>
              </w:tc>
              <w:tc>
                <w:tcPr>
                  <w:tcW w:w="1899" w:type="dxa"/>
                  <w:vMerge w:val="continue"/>
                  <w:noWrap/>
                  <w:vAlign w:val="center"/>
                </w:tcPr>
                <w:p w14:paraId="339BF6BD">
                  <w:pPr>
                    <w:widowControl/>
                    <w:autoSpaceDN w:val="0"/>
                    <w:spacing w:line="276" w:lineRule="auto"/>
                    <w:jc w:val="center"/>
                    <w:rPr>
                      <w:bCs/>
                      <w:sz w:val="21"/>
                      <w:szCs w:val="21"/>
                      <w:lang w:val="zh-CN"/>
                    </w:rPr>
                  </w:pPr>
                </w:p>
              </w:tc>
              <w:tc>
                <w:tcPr>
                  <w:tcW w:w="913" w:type="dxa"/>
                  <w:noWrap/>
                  <w:vAlign w:val="center"/>
                </w:tcPr>
                <w:p w14:paraId="19F184EC">
                  <w:pPr>
                    <w:widowControl/>
                    <w:autoSpaceDN w:val="0"/>
                    <w:spacing w:line="276" w:lineRule="auto"/>
                    <w:jc w:val="center"/>
                    <w:rPr>
                      <w:bCs/>
                      <w:sz w:val="21"/>
                      <w:szCs w:val="21"/>
                      <w:lang w:val="zh-CN"/>
                    </w:rPr>
                  </w:pPr>
                  <w:r>
                    <w:rPr>
                      <w:rFonts w:hint="eastAsia"/>
                      <w:bCs/>
                      <w:sz w:val="21"/>
                      <w:szCs w:val="21"/>
                      <w:lang w:val="zh-CN"/>
                    </w:rPr>
                    <w:t>50</w:t>
                  </w:r>
                </w:p>
              </w:tc>
              <w:tc>
                <w:tcPr>
                  <w:tcW w:w="1015" w:type="dxa"/>
                  <w:noWrap/>
                  <w:vAlign w:val="center"/>
                </w:tcPr>
                <w:p w14:paraId="7613D76B">
                  <w:pPr>
                    <w:widowControl/>
                    <w:autoSpaceDN w:val="0"/>
                    <w:spacing w:line="276" w:lineRule="auto"/>
                    <w:jc w:val="center"/>
                    <w:rPr>
                      <w:rFonts w:hint="default" w:eastAsia="宋体"/>
                      <w:bCs/>
                      <w:sz w:val="21"/>
                      <w:szCs w:val="21"/>
                      <w:lang w:val="en-US" w:eastAsia="zh-CN"/>
                    </w:rPr>
                  </w:pPr>
                  <w:r>
                    <w:rPr>
                      <w:rFonts w:hint="eastAsia"/>
                      <w:bCs/>
                      <w:sz w:val="21"/>
                      <w:szCs w:val="21"/>
                      <w:lang w:val="en-US" w:eastAsia="zh-CN"/>
                    </w:rPr>
                    <w:t>0.0525</w:t>
                  </w:r>
                </w:p>
              </w:tc>
              <w:tc>
                <w:tcPr>
                  <w:tcW w:w="1098" w:type="dxa"/>
                  <w:vMerge w:val="continue"/>
                  <w:noWrap/>
                  <w:vAlign w:val="center"/>
                </w:tcPr>
                <w:p w14:paraId="6E1B2B40">
                  <w:pPr>
                    <w:widowControl/>
                    <w:autoSpaceDN w:val="0"/>
                    <w:spacing w:line="276" w:lineRule="auto"/>
                    <w:jc w:val="center"/>
                    <w:rPr>
                      <w:bCs/>
                      <w:sz w:val="21"/>
                      <w:szCs w:val="21"/>
                      <w:lang w:val="zh-CN"/>
                    </w:rPr>
                  </w:pPr>
                </w:p>
              </w:tc>
            </w:tr>
            <w:tr w14:paraId="2C5AC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61" w:type="dxa"/>
                  <w:gridSpan w:val="5"/>
                  <w:noWrap/>
                </w:tcPr>
                <w:p w14:paraId="19A2D4A8">
                  <w:pPr>
                    <w:widowControl/>
                    <w:autoSpaceDN w:val="0"/>
                    <w:spacing w:line="276" w:lineRule="auto"/>
                    <w:jc w:val="center"/>
                    <w:rPr>
                      <w:bCs/>
                      <w:sz w:val="21"/>
                      <w:szCs w:val="21"/>
                      <w:lang w:val="zh-CN"/>
                    </w:rPr>
                  </w:pPr>
                  <w:r>
                    <w:rPr>
                      <w:rFonts w:hint="eastAsia"/>
                      <w:bCs/>
                      <w:sz w:val="21"/>
                      <w:szCs w:val="21"/>
                      <w:lang w:val="zh-CN"/>
                    </w:rPr>
                    <w:t>合计</w:t>
                  </w:r>
                </w:p>
              </w:tc>
              <w:tc>
                <w:tcPr>
                  <w:tcW w:w="2113" w:type="dxa"/>
                  <w:gridSpan w:val="2"/>
                  <w:noWrap/>
                  <w:vAlign w:val="center"/>
                </w:tcPr>
                <w:p w14:paraId="3FE051D2">
                  <w:pPr>
                    <w:widowControl/>
                    <w:autoSpaceDN w:val="0"/>
                    <w:spacing w:line="276" w:lineRule="auto"/>
                    <w:jc w:val="center"/>
                    <w:rPr>
                      <w:rFonts w:hint="default" w:eastAsia="宋体"/>
                      <w:bCs/>
                      <w:sz w:val="21"/>
                      <w:szCs w:val="21"/>
                      <w:lang w:val="en-US" w:eastAsia="zh-CN"/>
                    </w:rPr>
                  </w:pPr>
                  <w:r>
                    <w:rPr>
                      <w:rFonts w:hint="eastAsia"/>
                      <w:bCs/>
                      <w:sz w:val="21"/>
                      <w:szCs w:val="21"/>
                      <w:lang w:val="en-US" w:eastAsia="zh-CN"/>
                    </w:rPr>
                    <w:t>0.51135</w:t>
                  </w:r>
                </w:p>
              </w:tc>
            </w:tr>
          </w:tbl>
          <w:p w14:paraId="3655F4F3">
            <w:pPr>
              <w:spacing w:line="360" w:lineRule="auto"/>
              <w:ind w:firstLine="600" w:firstLineChars="250"/>
              <w:rPr>
                <w:rFonts w:hAnsi="宋体"/>
                <w:color w:val="FF0000"/>
              </w:rPr>
            </w:pPr>
            <w:r>
              <w:rPr>
                <w:rFonts w:hAnsi="宋体"/>
              </w:rPr>
              <w:t>根据以上分析，本项目</w:t>
            </w:r>
            <w:r>
              <w:rPr>
                <w:rFonts w:hint="eastAsia" w:hAnsi="宋体"/>
              </w:rPr>
              <w:t>涉及</w:t>
            </w:r>
            <w:r>
              <w:rPr>
                <w:rFonts w:hAnsi="宋体"/>
              </w:rPr>
              <w:t>的环境风险物质其最大储存量和在线量均小于临界量，本项目</w:t>
            </w:r>
            <w:r>
              <w:t>Q</w:t>
            </w:r>
            <w:r>
              <w:rPr>
                <w:rFonts w:hAnsi="宋体"/>
              </w:rPr>
              <w:t>值合计为</w:t>
            </w:r>
            <w:r>
              <w:rPr>
                <w:rFonts w:hint="eastAsia"/>
                <w:bCs/>
                <w:lang w:val="en-US" w:eastAsia="zh-CN"/>
              </w:rPr>
              <w:t>0.51135</w:t>
            </w:r>
            <w:r>
              <w:rPr>
                <w:rFonts w:hAnsi="宋体"/>
              </w:rPr>
              <w:t>，＜</w:t>
            </w:r>
            <w:r>
              <w:t>1</w:t>
            </w:r>
            <w:r>
              <w:rPr>
                <w:rFonts w:hAnsi="宋体"/>
              </w:rPr>
              <w:t>。</w:t>
            </w:r>
          </w:p>
          <w:p w14:paraId="46485C70">
            <w:pPr>
              <w:spacing w:line="360" w:lineRule="auto"/>
              <w:ind w:firstLine="602" w:firstLineChars="250"/>
              <w:rPr>
                <w:bCs/>
              </w:rPr>
            </w:pPr>
            <w:r>
              <w:rPr>
                <w:rFonts w:hint="eastAsia"/>
                <w:b/>
              </w:rPr>
              <w:t>2.</w:t>
            </w:r>
            <w:r>
              <w:rPr>
                <w:b/>
              </w:rPr>
              <w:t>环境风险识别及分析</w:t>
            </w:r>
          </w:p>
          <w:p w14:paraId="3FC0297E">
            <w:pPr>
              <w:spacing w:line="360" w:lineRule="auto"/>
              <w:ind w:firstLine="480" w:firstLineChars="200"/>
            </w:pPr>
            <w:r>
              <w:t>根据导则要求，环境风险评价的风险识别范围主要包括生产设施风险识别以及生产过程中物质风险识别。</w:t>
            </w:r>
            <w:r>
              <w:rPr>
                <w:rFonts w:hint="eastAsia"/>
              </w:rPr>
              <w:t>本</w:t>
            </w:r>
            <w:r>
              <w:t>项目运营期环境风险识别结果见下表。</w:t>
            </w:r>
          </w:p>
          <w:p w14:paraId="159E5852">
            <w:pPr>
              <w:spacing w:line="360" w:lineRule="auto"/>
              <w:jc w:val="center"/>
              <w:rPr>
                <w:rFonts w:eastAsia="黑体"/>
              </w:rPr>
            </w:pPr>
            <w:r>
              <w:rPr>
                <w:rFonts w:eastAsia="黑体"/>
              </w:rPr>
              <w:t>表</w:t>
            </w:r>
            <w:r>
              <w:rPr>
                <w:rFonts w:hint="eastAsia" w:eastAsia="黑体"/>
              </w:rPr>
              <w:t>4-1</w:t>
            </w:r>
            <w:r>
              <w:rPr>
                <w:rFonts w:hint="eastAsia" w:eastAsia="黑体"/>
                <w:lang w:val="en-US" w:eastAsia="zh-CN"/>
              </w:rPr>
              <w:t xml:space="preserve">3  </w:t>
            </w:r>
            <w:r>
              <w:rPr>
                <w:rFonts w:eastAsia="黑体"/>
              </w:rPr>
              <w:t>环境风险识别一览表</w:t>
            </w:r>
          </w:p>
          <w:tbl>
            <w:tblPr>
              <w:tblStyle w:val="16"/>
              <w:tblW w:w="793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6"/>
              <w:gridCol w:w="1078"/>
              <w:gridCol w:w="1633"/>
              <w:gridCol w:w="724"/>
              <w:gridCol w:w="2878"/>
              <w:gridCol w:w="1097"/>
            </w:tblGrid>
            <w:tr w14:paraId="2C16BE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6" w:type="dxa"/>
                  <w:noWrap/>
                  <w:vAlign w:val="center"/>
                </w:tcPr>
                <w:p w14:paraId="28A64BBC">
                  <w:pPr>
                    <w:pStyle w:val="49"/>
                    <w:spacing w:line="276" w:lineRule="auto"/>
                    <w:rPr>
                      <w:b/>
                      <w:bCs/>
                      <w:szCs w:val="21"/>
                    </w:rPr>
                  </w:pPr>
                  <w:r>
                    <w:rPr>
                      <w:rFonts w:hAnsi="宋体"/>
                      <w:b/>
                      <w:bCs/>
                      <w:szCs w:val="21"/>
                    </w:rPr>
                    <w:t>系统名称</w:t>
                  </w:r>
                </w:p>
              </w:tc>
              <w:tc>
                <w:tcPr>
                  <w:tcW w:w="1078" w:type="dxa"/>
                  <w:noWrap/>
                  <w:vAlign w:val="center"/>
                </w:tcPr>
                <w:p w14:paraId="3A6B8C20">
                  <w:pPr>
                    <w:pStyle w:val="49"/>
                    <w:spacing w:line="276" w:lineRule="auto"/>
                    <w:rPr>
                      <w:b/>
                      <w:bCs/>
                      <w:szCs w:val="21"/>
                    </w:rPr>
                  </w:pPr>
                  <w:r>
                    <w:rPr>
                      <w:rFonts w:hAnsi="宋体"/>
                      <w:b/>
                      <w:bCs/>
                      <w:szCs w:val="21"/>
                    </w:rPr>
                    <w:t>危险单元</w:t>
                  </w:r>
                </w:p>
              </w:tc>
              <w:tc>
                <w:tcPr>
                  <w:tcW w:w="1633" w:type="dxa"/>
                  <w:noWrap/>
                  <w:vAlign w:val="center"/>
                </w:tcPr>
                <w:p w14:paraId="13CFC303">
                  <w:pPr>
                    <w:pStyle w:val="49"/>
                    <w:spacing w:line="276" w:lineRule="auto"/>
                    <w:rPr>
                      <w:b/>
                      <w:bCs/>
                      <w:szCs w:val="21"/>
                    </w:rPr>
                  </w:pPr>
                  <w:r>
                    <w:rPr>
                      <w:rFonts w:hAnsi="宋体"/>
                      <w:b/>
                      <w:bCs/>
                      <w:szCs w:val="21"/>
                    </w:rPr>
                    <w:t>主要危险物质</w:t>
                  </w:r>
                </w:p>
              </w:tc>
              <w:tc>
                <w:tcPr>
                  <w:tcW w:w="724" w:type="dxa"/>
                  <w:noWrap/>
                  <w:vAlign w:val="center"/>
                </w:tcPr>
                <w:p w14:paraId="3903FC1D">
                  <w:pPr>
                    <w:pStyle w:val="49"/>
                    <w:spacing w:line="276" w:lineRule="auto"/>
                    <w:rPr>
                      <w:b/>
                      <w:bCs/>
                      <w:szCs w:val="21"/>
                    </w:rPr>
                  </w:pPr>
                  <w:r>
                    <w:rPr>
                      <w:rFonts w:hAnsi="宋体"/>
                      <w:b/>
                      <w:bCs/>
                      <w:szCs w:val="21"/>
                    </w:rPr>
                    <w:t>环境风险类型</w:t>
                  </w:r>
                </w:p>
              </w:tc>
              <w:tc>
                <w:tcPr>
                  <w:tcW w:w="2878" w:type="dxa"/>
                  <w:noWrap/>
                  <w:vAlign w:val="center"/>
                </w:tcPr>
                <w:p w14:paraId="2FA7C92C">
                  <w:pPr>
                    <w:pStyle w:val="49"/>
                    <w:spacing w:line="276" w:lineRule="auto"/>
                    <w:rPr>
                      <w:b/>
                      <w:bCs/>
                      <w:szCs w:val="21"/>
                    </w:rPr>
                  </w:pPr>
                  <w:r>
                    <w:rPr>
                      <w:rFonts w:hAnsi="宋体"/>
                      <w:b/>
                      <w:bCs/>
                      <w:szCs w:val="21"/>
                    </w:rPr>
                    <w:t>环境影响途径</w:t>
                  </w:r>
                </w:p>
              </w:tc>
              <w:tc>
                <w:tcPr>
                  <w:tcW w:w="1097" w:type="dxa"/>
                  <w:noWrap/>
                  <w:vAlign w:val="center"/>
                </w:tcPr>
                <w:p w14:paraId="462D82A3">
                  <w:pPr>
                    <w:pStyle w:val="49"/>
                    <w:spacing w:line="276" w:lineRule="auto"/>
                    <w:rPr>
                      <w:b/>
                      <w:bCs/>
                      <w:szCs w:val="21"/>
                    </w:rPr>
                  </w:pPr>
                  <w:r>
                    <w:rPr>
                      <w:rFonts w:hAnsi="宋体"/>
                      <w:b/>
                      <w:bCs/>
                      <w:szCs w:val="21"/>
                    </w:rPr>
                    <w:t>可能受影响的环境敏感目标</w:t>
                  </w:r>
                </w:p>
              </w:tc>
            </w:tr>
            <w:tr w14:paraId="7AC2C5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526" w:type="dxa"/>
                  <w:vMerge w:val="restart"/>
                  <w:noWrap/>
                  <w:vAlign w:val="center"/>
                </w:tcPr>
                <w:p w14:paraId="58BEE48F">
                  <w:pPr>
                    <w:pStyle w:val="49"/>
                    <w:spacing w:line="276" w:lineRule="auto"/>
                    <w:rPr>
                      <w:szCs w:val="21"/>
                    </w:rPr>
                  </w:pPr>
                  <w:r>
                    <w:rPr>
                      <w:rFonts w:hAnsi="宋体"/>
                      <w:szCs w:val="21"/>
                    </w:rPr>
                    <w:t>储运设施</w:t>
                  </w:r>
                </w:p>
              </w:tc>
              <w:tc>
                <w:tcPr>
                  <w:tcW w:w="1078" w:type="dxa"/>
                  <w:noWrap/>
                  <w:vAlign w:val="center"/>
                </w:tcPr>
                <w:p w14:paraId="4AFFCDFD">
                  <w:pPr>
                    <w:pStyle w:val="49"/>
                    <w:spacing w:line="276" w:lineRule="auto"/>
                    <w:rPr>
                      <w:szCs w:val="21"/>
                    </w:rPr>
                  </w:pPr>
                  <w:r>
                    <w:rPr>
                      <w:rFonts w:hint="eastAsia"/>
                      <w:szCs w:val="21"/>
                    </w:rPr>
                    <w:t>抛丸区、清洗区、涂胶区、硫化注胶区和硫化配件区</w:t>
                  </w:r>
                </w:p>
              </w:tc>
              <w:tc>
                <w:tcPr>
                  <w:tcW w:w="1633" w:type="dxa"/>
                  <w:noWrap/>
                  <w:vAlign w:val="center"/>
                </w:tcPr>
                <w:p w14:paraId="3AB289F0">
                  <w:pPr>
                    <w:pStyle w:val="49"/>
                    <w:spacing w:line="276" w:lineRule="auto"/>
                    <w:rPr>
                      <w:szCs w:val="21"/>
                    </w:rPr>
                  </w:pPr>
                  <w:r>
                    <w:rPr>
                      <w:rFonts w:hint="eastAsia" w:hAnsi="宋体"/>
                      <w:szCs w:val="21"/>
                    </w:rPr>
                    <w:t>清洗剂、胶粘剂、脱模剂、光亮剂</w:t>
                  </w:r>
                </w:p>
              </w:tc>
              <w:tc>
                <w:tcPr>
                  <w:tcW w:w="724" w:type="dxa"/>
                  <w:noWrap/>
                  <w:vAlign w:val="center"/>
                </w:tcPr>
                <w:p w14:paraId="6C65987F">
                  <w:pPr>
                    <w:pStyle w:val="49"/>
                    <w:spacing w:line="276" w:lineRule="auto"/>
                    <w:rPr>
                      <w:szCs w:val="21"/>
                    </w:rPr>
                  </w:pPr>
                  <w:r>
                    <w:rPr>
                      <w:rFonts w:hAnsi="宋体"/>
                      <w:szCs w:val="21"/>
                    </w:rPr>
                    <w:t>盛装容器破损导致泄漏</w:t>
                  </w:r>
                </w:p>
              </w:tc>
              <w:tc>
                <w:tcPr>
                  <w:tcW w:w="2878" w:type="dxa"/>
                  <w:noWrap/>
                  <w:vAlign w:val="center"/>
                </w:tcPr>
                <w:p w14:paraId="5D83AE5F">
                  <w:pPr>
                    <w:pStyle w:val="49"/>
                    <w:spacing w:line="276" w:lineRule="auto"/>
                    <w:rPr>
                      <w:szCs w:val="21"/>
                    </w:rPr>
                  </w:pPr>
                  <w:r>
                    <w:rPr>
                      <w:rFonts w:hAnsi="宋体"/>
                      <w:szCs w:val="21"/>
                    </w:rPr>
                    <w:t>存装各类原料的容器破损导致泄漏液体未经有效收集，进入地表水体或者下渗入土壤，影响地下水及土壤环境或火灾事故的伴生污染物对环境空气产生不利影响</w:t>
                  </w:r>
                </w:p>
              </w:tc>
              <w:tc>
                <w:tcPr>
                  <w:tcW w:w="1097" w:type="dxa"/>
                  <w:noWrap/>
                  <w:vAlign w:val="center"/>
                </w:tcPr>
                <w:p w14:paraId="5464304C">
                  <w:pPr>
                    <w:pStyle w:val="49"/>
                    <w:spacing w:line="276" w:lineRule="auto"/>
                    <w:rPr>
                      <w:szCs w:val="21"/>
                    </w:rPr>
                  </w:pPr>
                  <w:r>
                    <w:rPr>
                      <w:rFonts w:hAnsi="宋体"/>
                      <w:szCs w:val="21"/>
                    </w:rPr>
                    <w:t>大气环境、地表水环境、地下水环境</w:t>
                  </w:r>
                </w:p>
              </w:tc>
            </w:tr>
            <w:tr w14:paraId="2B7D8F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6" w:type="dxa"/>
                  <w:vMerge w:val="continue"/>
                  <w:noWrap/>
                  <w:vAlign w:val="center"/>
                </w:tcPr>
                <w:p w14:paraId="1BC08F62">
                  <w:pPr>
                    <w:pStyle w:val="49"/>
                    <w:spacing w:line="276" w:lineRule="auto"/>
                    <w:rPr>
                      <w:szCs w:val="21"/>
                    </w:rPr>
                  </w:pPr>
                </w:p>
              </w:tc>
              <w:tc>
                <w:tcPr>
                  <w:tcW w:w="1078" w:type="dxa"/>
                  <w:tcBorders>
                    <w:top w:val="single" w:color="auto" w:sz="4" w:space="0"/>
                  </w:tcBorders>
                  <w:noWrap/>
                  <w:vAlign w:val="center"/>
                </w:tcPr>
                <w:p w14:paraId="6FF93F3E">
                  <w:pPr>
                    <w:pStyle w:val="49"/>
                    <w:spacing w:line="276" w:lineRule="auto"/>
                    <w:rPr>
                      <w:szCs w:val="21"/>
                    </w:rPr>
                  </w:pPr>
                  <w:r>
                    <w:rPr>
                      <w:rFonts w:hAnsi="宋体"/>
                      <w:szCs w:val="21"/>
                    </w:rPr>
                    <w:t>危险废物暂存间</w:t>
                  </w:r>
                </w:p>
              </w:tc>
              <w:tc>
                <w:tcPr>
                  <w:tcW w:w="1633" w:type="dxa"/>
                  <w:tcBorders>
                    <w:top w:val="single" w:color="auto" w:sz="4" w:space="0"/>
                  </w:tcBorders>
                  <w:noWrap/>
                  <w:vAlign w:val="center"/>
                </w:tcPr>
                <w:p w14:paraId="6945DFE6">
                  <w:pPr>
                    <w:pStyle w:val="49"/>
                    <w:spacing w:line="276" w:lineRule="auto"/>
                    <w:rPr>
                      <w:szCs w:val="21"/>
                    </w:rPr>
                  </w:pPr>
                  <w:r>
                    <w:rPr>
                      <w:rFonts w:hint="eastAsia"/>
                      <w:bCs/>
                      <w:szCs w:val="21"/>
                    </w:rPr>
                    <w:t>振光废水、清洗废水、废脱模剂、废胶粘剂、废包装桶、槽渣、废机油、废机油桶、含油抹布和废活性炭</w:t>
                  </w:r>
                </w:p>
              </w:tc>
              <w:tc>
                <w:tcPr>
                  <w:tcW w:w="724" w:type="dxa"/>
                  <w:tcBorders>
                    <w:top w:val="single" w:color="auto" w:sz="4" w:space="0"/>
                  </w:tcBorders>
                  <w:noWrap/>
                  <w:vAlign w:val="center"/>
                </w:tcPr>
                <w:p w14:paraId="3A12D937">
                  <w:pPr>
                    <w:pStyle w:val="49"/>
                    <w:spacing w:line="276" w:lineRule="auto"/>
                    <w:rPr>
                      <w:szCs w:val="21"/>
                    </w:rPr>
                  </w:pPr>
                  <w:r>
                    <w:rPr>
                      <w:rFonts w:hAnsi="宋体"/>
                      <w:szCs w:val="21"/>
                    </w:rPr>
                    <w:t>盛装容器破损导致泄漏</w:t>
                  </w:r>
                </w:p>
              </w:tc>
              <w:tc>
                <w:tcPr>
                  <w:tcW w:w="2878" w:type="dxa"/>
                  <w:tcBorders>
                    <w:top w:val="single" w:color="auto" w:sz="4" w:space="0"/>
                  </w:tcBorders>
                  <w:noWrap/>
                  <w:vAlign w:val="center"/>
                </w:tcPr>
                <w:p w14:paraId="2F7CFA2E">
                  <w:pPr>
                    <w:pStyle w:val="49"/>
                    <w:spacing w:line="276" w:lineRule="auto"/>
                    <w:rPr>
                      <w:szCs w:val="21"/>
                    </w:rPr>
                  </w:pPr>
                  <w:r>
                    <w:rPr>
                      <w:rFonts w:hAnsi="宋体"/>
                      <w:szCs w:val="21"/>
                    </w:rPr>
                    <w:t>存装危险废物的装置破损导致泄漏液体未经有效收集，进入地表水体或者下渗入土壤，影响地下水及土壤环境或火灾事故的伴生污染物对环境空气产生不利影响</w:t>
                  </w:r>
                </w:p>
              </w:tc>
              <w:tc>
                <w:tcPr>
                  <w:tcW w:w="1097" w:type="dxa"/>
                  <w:tcBorders>
                    <w:top w:val="single" w:color="auto" w:sz="4" w:space="0"/>
                  </w:tcBorders>
                  <w:noWrap/>
                  <w:vAlign w:val="center"/>
                </w:tcPr>
                <w:p w14:paraId="233C65F9">
                  <w:pPr>
                    <w:pStyle w:val="49"/>
                    <w:spacing w:line="276" w:lineRule="auto"/>
                    <w:rPr>
                      <w:szCs w:val="21"/>
                    </w:rPr>
                  </w:pPr>
                  <w:r>
                    <w:rPr>
                      <w:rFonts w:hAnsi="宋体"/>
                      <w:szCs w:val="21"/>
                    </w:rPr>
                    <w:t>周边居民</w:t>
                  </w:r>
                </w:p>
              </w:tc>
            </w:tr>
            <w:tr w14:paraId="798145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6" w:type="dxa"/>
                  <w:noWrap/>
                  <w:vAlign w:val="center"/>
                </w:tcPr>
                <w:p w14:paraId="5F3577D2">
                  <w:pPr>
                    <w:pStyle w:val="49"/>
                    <w:spacing w:line="276" w:lineRule="auto"/>
                    <w:rPr>
                      <w:szCs w:val="21"/>
                    </w:rPr>
                  </w:pPr>
                  <w:r>
                    <w:rPr>
                      <w:rFonts w:hAnsi="宋体"/>
                      <w:szCs w:val="21"/>
                    </w:rPr>
                    <w:t>环保工程</w:t>
                  </w:r>
                </w:p>
              </w:tc>
              <w:tc>
                <w:tcPr>
                  <w:tcW w:w="1078" w:type="dxa"/>
                  <w:noWrap/>
                  <w:vAlign w:val="center"/>
                </w:tcPr>
                <w:p w14:paraId="241777BC">
                  <w:pPr>
                    <w:pStyle w:val="49"/>
                    <w:spacing w:line="276" w:lineRule="auto"/>
                    <w:rPr>
                      <w:szCs w:val="21"/>
                    </w:rPr>
                  </w:pPr>
                  <w:r>
                    <w:rPr>
                      <w:rFonts w:hAnsi="宋体"/>
                      <w:szCs w:val="21"/>
                    </w:rPr>
                    <w:t>废气治理装置</w:t>
                  </w:r>
                </w:p>
              </w:tc>
              <w:tc>
                <w:tcPr>
                  <w:tcW w:w="1633" w:type="dxa"/>
                  <w:noWrap/>
                  <w:vAlign w:val="center"/>
                </w:tcPr>
                <w:p w14:paraId="6BC7B123">
                  <w:pPr>
                    <w:pStyle w:val="49"/>
                    <w:spacing w:line="276" w:lineRule="auto"/>
                    <w:rPr>
                      <w:szCs w:val="21"/>
                    </w:rPr>
                  </w:pPr>
                  <w:r>
                    <w:rPr>
                      <w:rFonts w:hAnsi="宋体"/>
                      <w:szCs w:val="21"/>
                    </w:rPr>
                    <w:t>颗粒物、非甲烷总烃、</w:t>
                  </w:r>
                  <w:r>
                    <w:rPr>
                      <w:rFonts w:hint="eastAsia" w:hAnsi="宋体"/>
                      <w:szCs w:val="21"/>
                    </w:rPr>
                    <w:t>甲苯、</w:t>
                  </w:r>
                  <w:r>
                    <w:rPr>
                      <w:rFonts w:hAnsi="宋体"/>
                      <w:szCs w:val="21"/>
                    </w:rPr>
                    <w:t>二甲苯、</w:t>
                  </w:r>
                  <w:r>
                    <w:rPr>
                      <w:rFonts w:hint="eastAsia" w:hAnsi="宋体"/>
                      <w:szCs w:val="21"/>
                    </w:rPr>
                    <w:t>乙苯、四氯乙烯、硫化氢</w:t>
                  </w:r>
                </w:p>
              </w:tc>
              <w:tc>
                <w:tcPr>
                  <w:tcW w:w="724" w:type="dxa"/>
                  <w:noWrap/>
                  <w:vAlign w:val="center"/>
                </w:tcPr>
                <w:p w14:paraId="3CD837EA">
                  <w:pPr>
                    <w:pStyle w:val="49"/>
                    <w:spacing w:line="276" w:lineRule="auto"/>
                    <w:rPr>
                      <w:szCs w:val="21"/>
                    </w:rPr>
                  </w:pPr>
                  <w:r>
                    <w:rPr>
                      <w:rFonts w:hAnsi="宋体"/>
                      <w:szCs w:val="21"/>
                    </w:rPr>
                    <w:t>废气治理装置故障</w:t>
                  </w:r>
                </w:p>
              </w:tc>
              <w:tc>
                <w:tcPr>
                  <w:tcW w:w="2878" w:type="dxa"/>
                  <w:noWrap/>
                  <w:vAlign w:val="center"/>
                </w:tcPr>
                <w:p w14:paraId="73AFD7CB">
                  <w:pPr>
                    <w:pStyle w:val="49"/>
                    <w:spacing w:line="276" w:lineRule="auto"/>
                    <w:rPr>
                      <w:szCs w:val="21"/>
                    </w:rPr>
                  </w:pPr>
                  <w:r>
                    <w:rPr>
                      <w:rFonts w:hAnsi="宋体"/>
                      <w:szCs w:val="21"/>
                    </w:rPr>
                    <w:t>废气治理装置发生故障，废气非正常排放，对环境空气产生不利影响</w:t>
                  </w:r>
                </w:p>
              </w:tc>
              <w:tc>
                <w:tcPr>
                  <w:tcW w:w="1097" w:type="dxa"/>
                  <w:noWrap/>
                  <w:vAlign w:val="center"/>
                </w:tcPr>
                <w:p w14:paraId="1EAF246A">
                  <w:pPr>
                    <w:pStyle w:val="49"/>
                    <w:spacing w:line="276" w:lineRule="auto"/>
                    <w:rPr>
                      <w:szCs w:val="21"/>
                    </w:rPr>
                  </w:pPr>
                  <w:r>
                    <w:rPr>
                      <w:rFonts w:hAnsi="宋体"/>
                      <w:szCs w:val="21"/>
                    </w:rPr>
                    <w:t>大气环境</w:t>
                  </w:r>
                </w:p>
              </w:tc>
            </w:tr>
          </w:tbl>
          <w:p w14:paraId="5B0BAEC4">
            <w:pPr>
              <w:spacing w:line="360" w:lineRule="auto"/>
              <w:ind w:firstLine="482" w:firstLineChars="200"/>
              <w:rPr>
                <w:bCs/>
              </w:rPr>
            </w:pPr>
            <w:r>
              <w:rPr>
                <w:rFonts w:hint="eastAsia"/>
                <w:b/>
              </w:rPr>
              <w:t>3.环境风险防范措施及应急要求</w:t>
            </w:r>
          </w:p>
          <w:p w14:paraId="5CC23B7D">
            <w:pPr>
              <w:autoSpaceDE w:val="0"/>
              <w:autoSpaceDN w:val="0"/>
              <w:spacing w:line="360" w:lineRule="auto"/>
              <w:ind w:firstLine="480" w:firstLineChars="200"/>
            </w:pPr>
            <w:r>
              <w:rPr>
                <w:rFonts w:hint="eastAsia"/>
              </w:rPr>
              <w:t>（1）火灾事故的环境风险防范措施</w:t>
            </w:r>
          </w:p>
          <w:p w14:paraId="5A86E961">
            <w:pPr>
              <w:autoSpaceDE w:val="0"/>
              <w:autoSpaceDN w:val="0"/>
              <w:spacing w:line="360" w:lineRule="auto"/>
              <w:ind w:firstLine="480" w:firstLineChars="200"/>
            </w:pPr>
            <w:r>
              <w:rPr>
                <w:rFonts w:hint="eastAsia"/>
              </w:rPr>
              <w:t>本项目原料中有易燃物品，因此，本项目在生产过程中对于火灾的防范不能忽视，项目运营期间，一旦发生火灾，不仅可能导致严重的人身伤亡和经济损失，产生的大量CO、烟尘等对大气环境也会产生不良的影响。因此，建设单位应做好以下措施：</w:t>
            </w:r>
          </w:p>
          <w:p w14:paraId="27A40098">
            <w:pPr>
              <w:autoSpaceDE w:val="0"/>
              <w:autoSpaceDN w:val="0"/>
              <w:spacing w:line="360" w:lineRule="auto"/>
              <w:ind w:firstLine="480" w:firstLineChars="200"/>
            </w:pPr>
            <w:r>
              <w:rPr>
                <w:rFonts w:hint="eastAsia"/>
              </w:rPr>
              <w:t>1）加强原料的储存管理，储存过程必须严格遵守安全防火规定、仓库和堆场配备防火器材，项目的原料、产品及产生的工业固废严禁与易燃易爆品混存。</w:t>
            </w:r>
          </w:p>
          <w:p w14:paraId="737C237F">
            <w:pPr>
              <w:autoSpaceDE w:val="0"/>
              <w:autoSpaceDN w:val="0"/>
              <w:spacing w:line="360" w:lineRule="auto"/>
              <w:ind w:firstLine="480" w:firstLineChars="200"/>
            </w:pPr>
            <w:r>
              <w:rPr>
                <w:rFonts w:hint="eastAsia"/>
              </w:rPr>
              <w:t>2）规范原料储存：原料及产品堆放区设置明显的标志；贮存场所必须为封闭设施，必须有防雨、防晒、防渗、防尘、防扬散和防火措施；对易燃物品按计划采购、分期分批入库，严格控制贮存量。</w:t>
            </w:r>
          </w:p>
          <w:p w14:paraId="45C03AC6">
            <w:pPr>
              <w:autoSpaceDE w:val="0"/>
              <w:autoSpaceDN w:val="0"/>
              <w:spacing w:line="360" w:lineRule="auto"/>
              <w:ind w:firstLine="480" w:firstLineChars="200"/>
            </w:pPr>
            <w:r>
              <w:rPr>
                <w:rFonts w:hint="eastAsia"/>
              </w:rPr>
              <w:t>3）根据《建筑设计防火规范》（GB50016-2014）（2018版），原料仓库与生产车间应配置灭火器，灭火器的设置应符合《建筑灭火器配置设计规范》（GB50140-2005）的相关要求。</w:t>
            </w:r>
          </w:p>
          <w:p w14:paraId="399E0486">
            <w:pPr>
              <w:autoSpaceDE w:val="0"/>
              <w:autoSpaceDN w:val="0"/>
              <w:spacing w:line="360" w:lineRule="auto"/>
              <w:ind w:firstLine="480" w:firstLineChars="200"/>
            </w:pPr>
            <w:r>
              <w:rPr>
                <w:rFonts w:hint="eastAsia"/>
              </w:rPr>
              <w:t>4）原料仓库的层板应采用不燃烧材料，并在表面涂刷阻燃材料。</w:t>
            </w:r>
          </w:p>
          <w:p w14:paraId="3141D40F">
            <w:pPr>
              <w:autoSpaceDE w:val="0"/>
              <w:autoSpaceDN w:val="0"/>
              <w:spacing w:line="360" w:lineRule="auto"/>
              <w:ind w:firstLine="480" w:firstLineChars="200"/>
            </w:pPr>
            <w:r>
              <w:rPr>
                <w:rFonts w:hint="eastAsia"/>
              </w:rPr>
              <w:t>5）加强安全教育，强化安全意识，具备相应的安全知识，仓库的安全管理人员必须增强安全意识和法治观念，掌握安全卫生基本知识，具有一定的安全管理和决策能力。</w:t>
            </w:r>
          </w:p>
          <w:p w14:paraId="1E6041A7">
            <w:pPr>
              <w:autoSpaceDE w:val="0"/>
              <w:autoSpaceDN w:val="0"/>
              <w:spacing w:line="360" w:lineRule="auto"/>
              <w:ind w:firstLine="480" w:firstLineChars="200"/>
            </w:pPr>
            <w:r>
              <w:rPr>
                <w:rFonts w:hint="eastAsia"/>
              </w:rPr>
              <w:t>6）实行安全检查制度，各类安全设施、消防器材，进行各种日常的、定期的、专业的防火安全检查，并将发现的问题定人、限期落实整改。</w:t>
            </w:r>
          </w:p>
          <w:p w14:paraId="0374333B">
            <w:pPr>
              <w:autoSpaceDE w:val="0"/>
              <w:autoSpaceDN w:val="0"/>
              <w:spacing w:line="360" w:lineRule="auto"/>
              <w:ind w:firstLine="480" w:firstLineChars="200"/>
            </w:pPr>
            <w:r>
              <w:rPr>
                <w:rFonts w:hint="eastAsia"/>
              </w:rPr>
              <w:t>7）发生火灾时，火灾灾情轻，完全可以控制的，当事人应马上进行扑救。一旦火灾有蔓延的苗头，不能控制时，要及时切断电源，按动工艺装置区内的手动报警按钮，将信号送达控制室，再由工作人员拨打火警电话119通知消防人员灭火。</w:t>
            </w:r>
          </w:p>
          <w:p w14:paraId="12CCEDAC">
            <w:pPr>
              <w:autoSpaceDE w:val="0"/>
              <w:autoSpaceDN w:val="0"/>
              <w:spacing w:line="360" w:lineRule="auto"/>
              <w:ind w:firstLine="480" w:firstLineChars="200"/>
            </w:pPr>
            <w:r>
              <w:rPr>
                <w:rFonts w:hint="eastAsia"/>
              </w:rPr>
              <w:t>8）火灾出现后，接报的领导或行政值班人员要立即赶到现场指挥救灾工作，核查火灾报警是否真正落实，并组织好保安力量做好火灾现场的保护及治安秩序的维持等工作。在消防救援队伍到达之前，组织当班的义务消防员队伍第一时间到达火灾现场，进行力所能及的扑救工作；在消防救援队伍到达现场后，协助消防救援队伍展开全面扑救以及火灾原因的调查工作。</w:t>
            </w:r>
          </w:p>
          <w:p w14:paraId="467776C8">
            <w:pPr>
              <w:autoSpaceDE w:val="0"/>
              <w:autoSpaceDN w:val="0"/>
              <w:spacing w:line="360" w:lineRule="auto"/>
              <w:ind w:firstLine="480" w:firstLineChars="200"/>
            </w:pPr>
            <w:r>
              <w:rPr>
                <w:rFonts w:hint="eastAsia"/>
              </w:rPr>
              <w:t>9）火灾扑灭后，火灾发生单位负责火灾源头善后的处理和火灾事故的责任追究工作。</w:t>
            </w:r>
          </w:p>
          <w:p w14:paraId="363E6B69">
            <w:pPr>
              <w:autoSpaceDE w:val="0"/>
              <w:autoSpaceDN w:val="0"/>
              <w:spacing w:line="360" w:lineRule="auto"/>
              <w:ind w:firstLine="480" w:firstLineChars="200"/>
            </w:pPr>
            <w:r>
              <w:rPr>
                <w:rFonts w:hint="eastAsia"/>
              </w:rPr>
              <w:t>只要项目严格落实防火和消防措施，并加强防范意识，则项目运营期间发生火灾风险的概率较小。</w:t>
            </w:r>
          </w:p>
          <w:p w14:paraId="4DA433D5">
            <w:pPr>
              <w:autoSpaceDE w:val="0"/>
              <w:autoSpaceDN w:val="0"/>
              <w:spacing w:line="360" w:lineRule="auto"/>
              <w:ind w:firstLine="480" w:firstLineChars="200"/>
            </w:pPr>
            <w:r>
              <w:rPr>
                <w:rFonts w:hint="eastAsia"/>
              </w:rPr>
              <w:t>（2）危险废物泄漏的环境风险防范措施</w:t>
            </w:r>
          </w:p>
          <w:p w14:paraId="6619B99A">
            <w:pPr>
              <w:autoSpaceDE w:val="0"/>
              <w:autoSpaceDN w:val="0"/>
              <w:spacing w:line="360" w:lineRule="auto"/>
              <w:ind w:firstLine="480" w:firstLineChars="200"/>
            </w:pPr>
            <w:r>
              <w:rPr>
                <w:rFonts w:hint="eastAsia"/>
              </w:rPr>
              <w:t>1）危险废物设置专门收集桶和专门收集袋，设置危废暂存点，对地面采取防渗漏措施，或针对储存区设置托盘，并设置备用危险废物收集桶和收集袋，定期将危险废物交由有危险废物处理资质单位拉运处理。</w:t>
            </w:r>
          </w:p>
          <w:p w14:paraId="13608C77">
            <w:pPr>
              <w:autoSpaceDE w:val="0"/>
              <w:autoSpaceDN w:val="0"/>
              <w:spacing w:line="360" w:lineRule="auto"/>
              <w:ind w:firstLine="480" w:firstLineChars="200"/>
            </w:pPr>
            <w:r>
              <w:rPr>
                <w:rFonts w:hint="eastAsia"/>
              </w:rPr>
              <w:t>2）当固体危废发生包装桶/袋破损时，及时扫起收集于专用密封袋内。液体危废收集桶破损造成液体危废泄漏时，立即用吸附棉吸附，沙土覆盖，然后扫起收集于专用密封袋内。</w:t>
            </w:r>
          </w:p>
          <w:p w14:paraId="6C2C1B6C">
            <w:pPr>
              <w:autoSpaceDE w:val="0"/>
              <w:autoSpaceDN w:val="0"/>
              <w:spacing w:line="360" w:lineRule="auto"/>
              <w:ind w:firstLine="480" w:firstLineChars="200"/>
            </w:pPr>
            <w:r>
              <w:rPr>
                <w:rFonts w:hint="eastAsia"/>
              </w:rPr>
              <w:t>3）应急物资要求：企业应在危废间配置悬挂式干粉灭火器、沙袋、吸附棉、防毒面具等应急物资，以便实施应急处置。</w:t>
            </w:r>
          </w:p>
          <w:p w14:paraId="59588C07">
            <w:pPr>
              <w:pStyle w:val="32"/>
              <w:adjustRightInd/>
              <w:spacing w:line="360" w:lineRule="auto"/>
              <w:ind w:firstLine="480" w:firstLineChars="200"/>
              <w:jc w:val="both"/>
              <w:rPr>
                <w:color w:val="auto"/>
              </w:rPr>
            </w:pPr>
            <w:r>
              <w:rPr>
                <w:rFonts w:hint="eastAsia"/>
                <w:color w:val="auto"/>
              </w:rPr>
              <w:t>（3）事故应急池</w:t>
            </w:r>
          </w:p>
          <w:p w14:paraId="6D34D617">
            <w:pPr>
              <w:pStyle w:val="32"/>
              <w:adjustRightInd/>
              <w:spacing w:line="360" w:lineRule="auto"/>
              <w:ind w:firstLine="480" w:firstLineChars="200"/>
              <w:jc w:val="both"/>
              <w:rPr>
                <w:color w:val="auto"/>
              </w:rPr>
            </w:pPr>
            <w:r>
              <w:rPr>
                <w:rFonts w:hint="eastAsia"/>
                <w:color w:val="auto"/>
              </w:rPr>
              <w:t>本项目在厂区储存的主要原料为无缝钢管、钢板、光亮剂、清洗剂、灰胶（Chemlok 205）、黑胶（Chemlok 6125）、脱模剂等，机油即换即用，不在场内储存。在线的机油和危废库中的废机油在一定的状态下可燃，在线量和暂存量很少，且燃烧需要的温度基本在200℃以上或直接与明火接触。如果发生火灾后，可直接使用干粉灭火器、泡沫灭火器、二氧化碳灭火器进行灭火，基本不会产生消防废水，故不需要设置事故应急池。</w:t>
            </w:r>
          </w:p>
          <w:p w14:paraId="2F93550F">
            <w:pPr>
              <w:spacing w:line="360" w:lineRule="auto"/>
              <w:ind w:firstLine="482" w:firstLineChars="200"/>
            </w:pPr>
            <w:r>
              <w:rPr>
                <w:rFonts w:hint="eastAsia"/>
                <w:b/>
                <w:bCs/>
              </w:rPr>
              <w:t>七、污染源排放口规范化要求</w:t>
            </w:r>
          </w:p>
          <w:p w14:paraId="5933E4A7">
            <w:pPr>
              <w:spacing w:line="360" w:lineRule="auto"/>
              <w:ind w:firstLine="480" w:firstLineChars="200"/>
            </w:pPr>
            <w:r>
              <w:rPr>
                <w:rFonts w:hint="eastAsia"/>
              </w:rPr>
              <w:t>根据相关环境保护主管部门的有关文件精神，本项目工程废物排放口必须实行排污口规范化整治，该项工作是实施污染物总量控制的基础性工作之一。通过对排污口规范化整治，能够促进企业加强环境管理和污染治理；有利于加强对污染源的监督管理，逐步实现污染物排放的科学化、定量化管理；提高人们的环境意识，保护和改善环境质量。</w:t>
            </w:r>
          </w:p>
          <w:p w14:paraId="1FB4060E">
            <w:pPr>
              <w:spacing w:line="360" w:lineRule="auto"/>
              <w:ind w:firstLine="482" w:firstLineChars="200"/>
            </w:pPr>
            <w:r>
              <w:rPr>
                <w:rFonts w:hint="eastAsia"/>
                <w:b/>
                <w:bCs/>
              </w:rPr>
              <w:t>1.排污口的技术要求</w:t>
            </w:r>
          </w:p>
          <w:p w14:paraId="018D36BC">
            <w:pPr>
              <w:spacing w:line="360" w:lineRule="auto"/>
              <w:ind w:firstLine="480" w:firstLineChars="200"/>
            </w:pPr>
            <w:r>
              <w:rPr>
                <w:rFonts w:hint="eastAsia"/>
              </w:rPr>
              <w:t>（1）排污口的设置必须合理确定，按照《排污口规范化整治技术要求（试行）》（环监〔1996〕470号），进行规范化管理。</w:t>
            </w:r>
          </w:p>
          <w:p w14:paraId="1A2CBD61">
            <w:pPr>
              <w:spacing w:line="360" w:lineRule="auto"/>
              <w:ind w:firstLine="480" w:firstLineChars="200"/>
            </w:pPr>
            <w:r>
              <w:rPr>
                <w:rFonts w:hint="eastAsia"/>
              </w:rPr>
              <w:t>（2）污水排放的采样点设置应按《污染源监测技术规范》要求，设置在厂区总排口、污水处理设施的进水和出水口等处。</w:t>
            </w:r>
          </w:p>
          <w:p w14:paraId="0531C7FC">
            <w:pPr>
              <w:spacing w:line="360" w:lineRule="auto"/>
              <w:ind w:firstLine="480" w:firstLineChars="200"/>
            </w:pPr>
            <w:r>
              <w:rPr>
                <w:rFonts w:hint="eastAsia"/>
              </w:rPr>
              <w:t>（3）设置规范的、便于测量流量、流速的测速段。</w:t>
            </w:r>
          </w:p>
          <w:p w14:paraId="3CED5085">
            <w:pPr>
              <w:spacing w:line="360" w:lineRule="auto"/>
              <w:ind w:firstLine="482" w:firstLineChars="200"/>
            </w:pPr>
            <w:r>
              <w:rPr>
                <w:rFonts w:hint="eastAsia"/>
                <w:b/>
                <w:bCs/>
              </w:rPr>
              <w:t>2.排污口立标管理</w:t>
            </w:r>
          </w:p>
          <w:p w14:paraId="43F66A76">
            <w:pPr>
              <w:spacing w:line="360" w:lineRule="auto"/>
              <w:ind w:firstLine="480" w:firstLineChars="200"/>
            </w:pPr>
            <w:r>
              <w:rPr>
                <w:rFonts w:hint="eastAsia"/>
              </w:rPr>
              <w:t>按照原国家环境保护部、安徽省环保厅关于对排放口规范化整治的统一要求，规范排污口，便于环境管理及监测部门的日常监督、检查和监测。首先排污口要立标管理，设立国家标准规定的标志牌，根据排污口污染物的排放特点，设置提示性或警告性环境保护图形标志牌，一般污染源设置提示性标志牌，毒性污染物设置警示性标志牌。</w:t>
            </w:r>
          </w:p>
          <w:p w14:paraId="4300FED0">
            <w:pPr>
              <w:spacing w:line="360" w:lineRule="auto"/>
              <w:ind w:firstLine="480" w:firstLineChars="200"/>
            </w:pPr>
            <w:r>
              <w:rPr>
                <w:rFonts w:hint="eastAsia"/>
              </w:rPr>
              <w:t>（1）废气排放口</w:t>
            </w:r>
          </w:p>
          <w:p w14:paraId="3C58C4E3">
            <w:pPr>
              <w:spacing w:line="360" w:lineRule="auto"/>
              <w:ind w:firstLine="480" w:firstLineChars="200"/>
            </w:pPr>
            <w:r>
              <w:rPr>
                <w:rFonts w:hint="eastAsia"/>
              </w:rPr>
              <w:t>建设单位需按《排污口设置及规范化整治管理办法》要求进行废气排污口规范化设计。排气筒应设置便于采样、监测的采样口和采样监测平台。有净化设施的，应在其进出口分别设置采样口。环境保护图形标志牌应设在排气筒附近地面醒目处。</w:t>
            </w:r>
          </w:p>
          <w:p w14:paraId="02B1C61C">
            <w:pPr>
              <w:spacing w:line="360" w:lineRule="auto"/>
              <w:ind w:firstLine="480" w:firstLineChars="200"/>
            </w:pPr>
            <w:r>
              <w:rPr>
                <w:rFonts w:hint="eastAsia"/>
              </w:rPr>
              <w:t>（2）废水排放口</w:t>
            </w:r>
          </w:p>
          <w:p w14:paraId="3BD09FDA">
            <w:pPr>
              <w:spacing w:line="360" w:lineRule="auto"/>
              <w:ind w:firstLine="480" w:firstLineChars="200"/>
            </w:pPr>
            <w:r>
              <w:rPr>
                <w:rFonts w:hint="eastAsia"/>
              </w:rPr>
              <w:t>项目废水排放口可设厂内、厂外两个串联的总排放口（或称一对总排口），监控设施安装在厂内总排放口，环境保护图形标牌竖立在厂外总排放口。废水总排放口应设置具备采样和流量测定条件的采样口，采样口应设在厂内或厂界外10米内。并且按照《环境保护图形标志》（GB15562.1-1995）的规定设置与之相适应的环境保护图形标志牌。环境保护图形标志牌设置位置应距污染物排放口（源）、固体废物贮存（堆放）场或采样点较近且醒目处，并能长久保留。</w:t>
            </w:r>
          </w:p>
          <w:p w14:paraId="241DD7E4">
            <w:pPr>
              <w:spacing w:line="360" w:lineRule="auto"/>
              <w:ind w:firstLine="480" w:firstLineChars="200"/>
            </w:pPr>
            <w:r>
              <w:rPr>
                <w:rFonts w:hint="eastAsia"/>
              </w:rPr>
              <w:t>（3）噪声源</w:t>
            </w:r>
          </w:p>
          <w:p w14:paraId="78954110">
            <w:pPr>
              <w:spacing w:line="360" w:lineRule="auto"/>
              <w:ind w:firstLine="480" w:firstLineChars="200"/>
            </w:pPr>
            <w:r>
              <w:rPr>
                <w:rFonts w:hint="eastAsia"/>
              </w:rPr>
              <w:t>按规定对固定噪声源进行治理，并在边界噪声敏感点且对外界影响最大处设置标志牌。</w:t>
            </w:r>
          </w:p>
          <w:p w14:paraId="4A4069A9">
            <w:pPr>
              <w:spacing w:line="360" w:lineRule="auto"/>
              <w:ind w:firstLine="480" w:firstLineChars="200"/>
            </w:pPr>
            <w:r>
              <w:rPr>
                <w:rFonts w:hint="eastAsia"/>
              </w:rPr>
              <w:t>（4）固体废物临时堆放场</w:t>
            </w:r>
          </w:p>
          <w:p w14:paraId="72F0FC9C">
            <w:pPr>
              <w:spacing w:line="360" w:lineRule="auto"/>
              <w:ind w:firstLine="480" w:firstLineChars="200"/>
            </w:pPr>
            <w:r>
              <w:rPr>
                <w:rFonts w:hint="eastAsia"/>
              </w:rPr>
              <w:t>对各种固体废物应分类收集﹑贮存和运输，设置专用危险废物临时贮存仓库，有防止雨淋﹑防扬散﹑防流失﹑防渗漏等措施，并设置标志牌。</w:t>
            </w:r>
          </w:p>
          <w:p w14:paraId="270EA1B8">
            <w:pPr>
              <w:spacing w:line="360" w:lineRule="auto"/>
              <w:ind w:firstLine="480" w:firstLineChars="200"/>
            </w:pPr>
            <w:r>
              <w:rPr>
                <w:rFonts w:hint="eastAsia"/>
              </w:rPr>
              <w:t>（5）设置标志牌</w:t>
            </w:r>
          </w:p>
          <w:p w14:paraId="0B1B4FDF">
            <w:pPr>
              <w:spacing w:line="360" w:lineRule="auto"/>
              <w:ind w:firstLine="480" w:firstLineChars="200"/>
              <w:rPr>
                <w:rFonts w:eastAsia="黑体"/>
              </w:rPr>
            </w:pPr>
            <w:r>
              <w:rPr>
                <w:rFonts w:hint="eastAsia"/>
              </w:rPr>
              <w:t>一般污染物排污口（源），设置提示式标志牌，有毒、有害污染物的排污口设置警告式标志牌。各污染源排放口应规范设置，应符合国家、省、市有关规定，并通过主管环保部门认证和验收。规范化排污口的有关设置（如图形标志牌、计量装置、监控装置等）属环保设施，建设单位必须负责日常的维护保养，任何单位和个人不得擅自拆除，如果需要变更的必须报环境监理部门同意并办理变更手续。图形标志的形状及颜色、环境保护图形符号详见下表：</w:t>
            </w:r>
          </w:p>
          <w:p w14:paraId="610E8C50">
            <w:pPr>
              <w:spacing w:line="360" w:lineRule="auto"/>
              <w:jc w:val="center"/>
              <w:rPr>
                <w:color w:val="FF0000"/>
                <w:sz w:val="20"/>
              </w:rPr>
            </w:pPr>
            <w:r>
              <w:rPr>
                <w:rFonts w:eastAsia="黑体"/>
              </w:rPr>
              <w:t>表</w:t>
            </w:r>
            <w:r>
              <w:rPr>
                <w:rFonts w:hint="eastAsia" w:eastAsia="黑体"/>
              </w:rPr>
              <w:t>4-1</w:t>
            </w:r>
            <w:r>
              <w:rPr>
                <w:rFonts w:hint="eastAsia" w:eastAsia="黑体"/>
                <w:lang w:val="en-US" w:eastAsia="zh-CN"/>
              </w:rPr>
              <w:t xml:space="preserve">4  </w:t>
            </w:r>
            <w:r>
              <w:rPr>
                <w:rFonts w:eastAsia="黑体"/>
              </w:rPr>
              <w:t>本项目环境保护图形符号表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787"/>
              <w:gridCol w:w="1846"/>
              <w:gridCol w:w="1773"/>
              <w:gridCol w:w="1818"/>
            </w:tblGrid>
            <w:tr w14:paraId="2C47C0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46" w:hRule="atLeast"/>
              </w:trPr>
              <w:tc>
                <w:tcPr>
                  <w:tcW w:w="399" w:type="pct"/>
                  <w:tcBorders>
                    <w:top w:val="single" w:color="auto" w:sz="12" w:space="0"/>
                    <w:left w:val="nil"/>
                    <w:bottom w:val="single" w:color="auto" w:sz="4" w:space="0"/>
                    <w:right w:val="single" w:color="auto" w:sz="4" w:space="0"/>
                  </w:tcBorders>
                  <w:noWrap/>
                  <w:vAlign w:val="center"/>
                </w:tcPr>
                <w:p w14:paraId="732001BD">
                  <w:pPr>
                    <w:pStyle w:val="49"/>
                    <w:spacing w:line="276" w:lineRule="auto"/>
                    <w:rPr>
                      <w:b/>
                      <w:szCs w:val="21"/>
                    </w:rPr>
                  </w:pPr>
                  <w:r>
                    <w:rPr>
                      <w:b/>
                      <w:szCs w:val="21"/>
                    </w:rPr>
                    <w:t>序号</w:t>
                  </w:r>
                </w:p>
              </w:tc>
              <w:tc>
                <w:tcPr>
                  <w:tcW w:w="1138" w:type="pct"/>
                  <w:tcBorders>
                    <w:top w:val="single" w:color="auto" w:sz="12" w:space="0"/>
                    <w:left w:val="single" w:color="auto" w:sz="4" w:space="0"/>
                    <w:bottom w:val="single" w:color="auto" w:sz="4" w:space="0"/>
                    <w:right w:val="single" w:color="auto" w:sz="4" w:space="0"/>
                  </w:tcBorders>
                  <w:noWrap/>
                  <w:vAlign w:val="center"/>
                </w:tcPr>
                <w:p w14:paraId="7615FD4D">
                  <w:pPr>
                    <w:pStyle w:val="49"/>
                    <w:spacing w:line="276" w:lineRule="auto"/>
                    <w:rPr>
                      <w:b/>
                      <w:szCs w:val="21"/>
                    </w:rPr>
                  </w:pPr>
                  <w:r>
                    <w:rPr>
                      <w:b/>
                      <w:szCs w:val="21"/>
                    </w:rPr>
                    <w:t>提示图形符号</w:t>
                  </w:r>
                </w:p>
              </w:tc>
              <w:tc>
                <w:tcPr>
                  <w:tcW w:w="1176" w:type="pct"/>
                  <w:tcBorders>
                    <w:top w:val="single" w:color="auto" w:sz="12" w:space="0"/>
                    <w:left w:val="single" w:color="auto" w:sz="4" w:space="0"/>
                    <w:bottom w:val="single" w:color="auto" w:sz="4" w:space="0"/>
                    <w:right w:val="single" w:color="auto" w:sz="4" w:space="0"/>
                  </w:tcBorders>
                  <w:noWrap/>
                  <w:vAlign w:val="center"/>
                </w:tcPr>
                <w:p w14:paraId="0650B69B">
                  <w:pPr>
                    <w:pStyle w:val="49"/>
                    <w:spacing w:line="276" w:lineRule="auto"/>
                    <w:rPr>
                      <w:b/>
                      <w:szCs w:val="21"/>
                    </w:rPr>
                  </w:pPr>
                  <w:r>
                    <w:rPr>
                      <w:b/>
                      <w:szCs w:val="21"/>
                    </w:rPr>
                    <w:t>警告图形符号</w:t>
                  </w:r>
                </w:p>
              </w:tc>
              <w:tc>
                <w:tcPr>
                  <w:tcW w:w="1129" w:type="pct"/>
                  <w:tcBorders>
                    <w:top w:val="single" w:color="auto" w:sz="12" w:space="0"/>
                    <w:left w:val="single" w:color="auto" w:sz="4" w:space="0"/>
                    <w:bottom w:val="single" w:color="auto" w:sz="4" w:space="0"/>
                    <w:right w:val="single" w:color="auto" w:sz="4" w:space="0"/>
                  </w:tcBorders>
                  <w:noWrap/>
                  <w:vAlign w:val="center"/>
                </w:tcPr>
                <w:p w14:paraId="387BB28B">
                  <w:pPr>
                    <w:pStyle w:val="49"/>
                    <w:spacing w:line="276" w:lineRule="auto"/>
                    <w:rPr>
                      <w:b/>
                      <w:szCs w:val="21"/>
                    </w:rPr>
                  </w:pPr>
                  <w:r>
                    <w:rPr>
                      <w:b/>
                      <w:szCs w:val="21"/>
                    </w:rPr>
                    <w:t>名称</w:t>
                  </w:r>
                </w:p>
              </w:tc>
              <w:tc>
                <w:tcPr>
                  <w:tcW w:w="1158" w:type="pct"/>
                  <w:tcBorders>
                    <w:top w:val="single" w:color="auto" w:sz="12" w:space="0"/>
                    <w:left w:val="single" w:color="auto" w:sz="4" w:space="0"/>
                    <w:bottom w:val="single" w:color="auto" w:sz="4" w:space="0"/>
                    <w:right w:val="nil"/>
                  </w:tcBorders>
                  <w:noWrap/>
                  <w:vAlign w:val="center"/>
                </w:tcPr>
                <w:p w14:paraId="581626AE">
                  <w:pPr>
                    <w:pStyle w:val="49"/>
                    <w:spacing w:line="276" w:lineRule="auto"/>
                    <w:rPr>
                      <w:b/>
                      <w:szCs w:val="21"/>
                    </w:rPr>
                  </w:pPr>
                  <w:r>
                    <w:rPr>
                      <w:b/>
                      <w:szCs w:val="21"/>
                    </w:rPr>
                    <w:t>功能</w:t>
                  </w:r>
                </w:p>
              </w:tc>
            </w:tr>
            <w:tr w14:paraId="24873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9" w:type="pct"/>
                  <w:tcBorders>
                    <w:top w:val="single" w:color="auto" w:sz="4" w:space="0"/>
                    <w:left w:val="nil"/>
                    <w:bottom w:val="single" w:color="auto" w:sz="4" w:space="0"/>
                    <w:right w:val="single" w:color="auto" w:sz="4" w:space="0"/>
                  </w:tcBorders>
                  <w:noWrap/>
                  <w:vAlign w:val="center"/>
                </w:tcPr>
                <w:p w14:paraId="5533379A">
                  <w:pPr>
                    <w:pStyle w:val="49"/>
                    <w:spacing w:line="276" w:lineRule="auto"/>
                    <w:rPr>
                      <w:bCs/>
                      <w:szCs w:val="21"/>
                    </w:rPr>
                  </w:pPr>
                  <w:r>
                    <w:rPr>
                      <w:bCs/>
                      <w:szCs w:val="21"/>
                    </w:rPr>
                    <w:t>1</w:t>
                  </w:r>
                </w:p>
              </w:tc>
              <w:tc>
                <w:tcPr>
                  <w:tcW w:w="1138" w:type="pct"/>
                  <w:tcBorders>
                    <w:top w:val="single" w:color="auto" w:sz="4" w:space="0"/>
                    <w:left w:val="single" w:color="auto" w:sz="4" w:space="0"/>
                    <w:bottom w:val="single" w:color="auto" w:sz="4" w:space="0"/>
                    <w:right w:val="single" w:color="auto" w:sz="4" w:space="0"/>
                  </w:tcBorders>
                  <w:noWrap/>
                  <w:vAlign w:val="center"/>
                </w:tcPr>
                <w:p w14:paraId="298B3563">
                  <w:pPr>
                    <w:pStyle w:val="49"/>
                    <w:spacing w:line="276" w:lineRule="auto"/>
                    <w:rPr>
                      <w:bCs/>
                      <w:szCs w:val="21"/>
                    </w:rPr>
                  </w:pPr>
                  <w:r>
                    <w:rPr>
                      <w:bCs/>
                      <w:szCs w:val="21"/>
                    </w:rPr>
                    <w:drawing>
                      <wp:inline distT="0" distB="0" distL="114300" distR="114300">
                        <wp:extent cx="859790" cy="859790"/>
                        <wp:effectExtent l="0" t="0" r="16510" b="1651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3"/>
                                <a:stretch>
                                  <a:fillRect/>
                                </a:stretch>
                              </pic:blipFill>
                              <pic:spPr>
                                <a:xfrm>
                                  <a:off x="0" y="0"/>
                                  <a:ext cx="859790" cy="859790"/>
                                </a:xfrm>
                                <a:prstGeom prst="rect">
                                  <a:avLst/>
                                </a:prstGeom>
                                <a:noFill/>
                                <a:ln>
                                  <a:noFill/>
                                </a:ln>
                              </pic:spPr>
                            </pic:pic>
                          </a:graphicData>
                        </a:graphic>
                      </wp:inline>
                    </w:drawing>
                  </w:r>
                </w:p>
              </w:tc>
              <w:tc>
                <w:tcPr>
                  <w:tcW w:w="1176" w:type="pct"/>
                  <w:tcBorders>
                    <w:top w:val="single" w:color="auto" w:sz="4" w:space="0"/>
                    <w:left w:val="single" w:color="auto" w:sz="4" w:space="0"/>
                    <w:bottom w:val="single" w:color="auto" w:sz="4" w:space="0"/>
                    <w:right w:val="single" w:color="auto" w:sz="4" w:space="0"/>
                  </w:tcBorders>
                  <w:noWrap/>
                  <w:vAlign w:val="center"/>
                </w:tcPr>
                <w:p w14:paraId="74837891">
                  <w:pPr>
                    <w:pStyle w:val="49"/>
                    <w:spacing w:line="276" w:lineRule="auto"/>
                    <w:rPr>
                      <w:bCs/>
                      <w:szCs w:val="21"/>
                    </w:rPr>
                  </w:pPr>
                  <w:r>
                    <w:rPr>
                      <w:bCs/>
                      <w:szCs w:val="21"/>
                    </w:rPr>
                    <w:drawing>
                      <wp:inline distT="0" distB="0" distL="114300" distR="114300">
                        <wp:extent cx="962660" cy="857250"/>
                        <wp:effectExtent l="0" t="0" r="889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962660" cy="857250"/>
                                </a:xfrm>
                                <a:prstGeom prst="rect">
                                  <a:avLst/>
                                </a:prstGeom>
                                <a:noFill/>
                                <a:ln>
                                  <a:noFill/>
                                </a:ln>
                              </pic:spPr>
                            </pic:pic>
                          </a:graphicData>
                        </a:graphic>
                      </wp:inline>
                    </w:drawing>
                  </w:r>
                </w:p>
              </w:tc>
              <w:tc>
                <w:tcPr>
                  <w:tcW w:w="1129" w:type="pct"/>
                  <w:tcBorders>
                    <w:top w:val="single" w:color="auto" w:sz="4" w:space="0"/>
                    <w:left w:val="single" w:color="auto" w:sz="4" w:space="0"/>
                    <w:bottom w:val="single" w:color="auto" w:sz="4" w:space="0"/>
                    <w:right w:val="single" w:color="auto" w:sz="4" w:space="0"/>
                  </w:tcBorders>
                  <w:noWrap/>
                  <w:vAlign w:val="center"/>
                </w:tcPr>
                <w:p w14:paraId="041AA7B5">
                  <w:pPr>
                    <w:pStyle w:val="49"/>
                    <w:spacing w:line="276" w:lineRule="auto"/>
                    <w:rPr>
                      <w:bCs/>
                      <w:szCs w:val="21"/>
                    </w:rPr>
                  </w:pPr>
                  <w:r>
                    <w:rPr>
                      <w:bCs/>
                      <w:szCs w:val="21"/>
                    </w:rPr>
                    <w:t>污水排放口</w:t>
                  </w:r>
                </w:p>
              </w:tc>
              <w:tc>
                <w:tcPr>
                  <w:tcW w:w="1158" w:type="pct"/>
                  <w:tcBorders>
                    <w:top w:val="single" w:color="auto" w:sz="4" w:space="0"/>
                    <w:left w:val="single" w:color="auto" w:sz="4" w:space="0"/>
                    <w:bottom w:val="single" w:color="auto" w:sz="4" w:space="0"/>
                    <w:right w:val="nil"/>
                  </w:tcBorders>
                  <w:noWrap/>
                  <w:vAlign w:val="center"/>
                </w:tcPr>
                <w:p w14:paraId="6AECE7D2">
                  <w:pPr>
                    <w:pStyle w:val="49"/>
                    <w:spacing w:line="276" w:lineRule="auto"/>
                    <w:rPr>
                      <w:bCs/>
                      <w:szCs w:val="21"/>
                    </w:rPr>
                  </w:pPr>
                  <w:r>
                    <w:rPr>
                      <w:bCs/>
                      <w:szCs w:val="21"/>
                    </w:rPr>
                    <w:t>表示污水向水体排放</w:t>
                  </w:r>
                </w:p>
              </w:tc>
            </w:tr>
            <w:tr w14:paraId="7C8DE2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9" w:type="pct"/>
                  <w:tcBorders>
                    <w:top w:val="single" w:color="auto" w:sz="4" w:space="0"/>
                    <w:left w:val="nil"/>
                    <w:bottom w:val="single" w:color="auto" w:sz="4" w:space="0"/>
                    <w:right w:val="single" w:color="auto" w:sz="4" w:space="0"/>
                  </w:tcBorders>
                  <w:noWrap/>
                  <w:vAlign w:val="center"/>
                </w:tcPr>
                <w:p w14:paraId="1A3E78AF">
                  <w:pPr>
                    <w:pStyle w:val="49"/>
                    <w:spacing w:line="276" w:lineRule="auto"/>
                    <w:rPr>
                      <w:bCs/>
                      <w:szCs w:val="21"/>
                    </w:rPr>
                  </w:pPr>
                  <w:r>
                    <w:rPr>
                      <w:bCs/>
                      <w:szCs w:val="21"/>
                    </w:rPr>
                    <w:t>2</w:t>
                  </w:r>
                </w:p>
              </w:tc>
              <w:tc>
                <w:tcPr>
                  <w:tcW w:w="1138" w:type="pct"/>
                  <w:tcBorders>
                    <w:top w:val="single" w:color="auto" w:sz="4" w:space="0"/>
                    <w:left w:val="single" w:color="auto" w:sz="4" w:space="0"/>
                    <w:bottom w:val="single" w:color="auto" w:sz="4" w:space="0"/>
                    <w:right w:val="single" w:color="auto" w:sz="4" w:space="0"/>
                  </w:tcBorders>
                  <w:noWrap/>
                  <w:vAlign w:val="center"/>
                </w:tcPr>
                <w:p w14:paraId="5509DBCE">
                  <w:pPr>
                    <w:pStyle w:val="49"/>
                    <w:spacing w:line="276" w:lineRule="auto"/>
                    <w:rPr>
                      <w:bCs/>
                      <w:szCs w:val="21"/>
                    </w:rPr>
                  </w:pPr>
                  <w:r>
                    <w:rPr>
                      <w:bCs/>
                      <w:szCs w:val="21"/>
                    </w:rPr>
                    <w:drawing>
                      <wp:inline distT="0" distB="0" distL="114300" distR="114300">
                        <wp:extent cx="859790" cy="859790"/>
                        <wp:effectExtent l="0" t="0" r="16510" b="1651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5"/>
                                <a:stretch>
                                  <a:fillRect/>
                                </a:stretch>
                              </pic:blipFill>
                              <pic:spPr>
                                <a:xfrm>
                                  <a:off x="0" y="0"/>
                                  <a:ext cx="859790" cy="859790"/>
                                </a:xfrm>
                                <a:prstGeom prst="rect">
                                  <a:avLst/>
                                </a:prstGeom>
                                <a:noFill/>
                                <a:ln>
                                  <a:noFill/>
                                </a:ln>
                              </pic:spPr>
                            </pic:pic>
                          </a:graphicData>
                        </a:graphic>
                      </wp:inline>
                    </w:drawing>
                  </w:r>
                </w:p>
              </w:tc>
              <w:tc>
                <w:tcPr>
                  <w:tcW w:w="1176" w:type="pct"/>
                  <w:tcBorders>
                    <w:top w:val="single" w:color="auto" w:sz="4" w:space="0"/>
                    <w:left w:val="single" w:color="auto" w:sz="4" w:space="0"/>
                    <w:bottom w:val="single" w:color="auto" w:sz="4" w:space="0"/>
                    <w:right w:val="single" w:color="auto" w:sz="4" w:space="0"/>
                  </w:tcBorders>
                  <w:noWrap/>
                  <w:vAlign w:val="center"/>
                </w:tcPr>
                <w:p w14:paraId="592EFF98">
                  <w:pPr>
                    <w:pStyle w:val="49"/>
                    <w:spacing w:line="276" w:lineRule="auto"/>
                    <w:rPr>
                      <w:bCs/>
                      <w:szCs w:val="21"/>
                    </w:rPr>
                  </w:pPr>
                  <w:r>
                    <w:rPr>
                      <w:bCs/>
                      <w:szCs w:val="21"/>
                    </w:rPr>
                    <w:drawing>
                      <wp:inline distT="0" distB="0" distL="114300" distR="114300">
                        <wp:extent cx="962660" cy="857250"/>
                        <wp:effectExtent l="0" t="0" r="889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6"/>
                                <a:stretch>
                                  <a:fillRect/>
                                </a:stretch>
                              </pic:blipFill>
                              <pic:spPr>
                                <a:xfrm>
                                  <a:off x="0" y="0"/>
                                  <a:ext cx="962660" cy="857250"/>
                                </a:xfrm>
                                <a:prstGeom prst="rect">
                                  <a:avLst/>
                                </a:prstGeom>
                                <a:noFill/>
                                <a:ln>
                                  <a:noFill/>
                                </a:ln>
                              </pic:spPr>
                            </pic:pic>
                          </a:graphicData>
                        </a:graphic>
                      </wp:inline>
                    </w:drawing>
                  </w:r>
                </w:p>
              </w:tc>
              <w:tc>
                <w:tcPr>
                  <w:tcW w:w="1129" w:type="pct"/>
                  <w:tcBorders>
                    <w:top w:val="single" w:color="auto" w:sz="4" w:space="0"/>
                    <w:left w:val="single" w:color="auto" w:sz="4" w:space="0"/>
                    <w:bottom w:val="single" w:color="auto" w:sz="4" w:space="0"/>
                    <w:right w:val="single" w:color="auto" w:sz="4" w:space="0"/>
                  </w:tcBorders>
                  <w:noWrap/>
                  <w:vAlign w:val="center"/>
                </w:tcPr>
                <w:p w14:paraId="444C4DD3">
                  <w:pPr>
                    <w:pStyle w:val="49"/>
                    <w:spacing w:line="276" w:lineRule="auto"/>
                    <w:rPr>
                      <w:bCs/>
                      <w:szCs w:val="21"/>
                    </w:rPr>
                  </w:pPr>
                  <w:r>
                    <w:rPr>
                      <w:bCs/>
                      <w:szCs w:val="21"/>
                    </w:rPr>
                    <w:t>废气排放口</w:t>
                  </w:r>
                </w:p>
              </w:tc>
              <w:tc>
                <w:tcPr>
                  <w:tcW w:w="1158" w:type="pct"/>
                  <w:tcBorders>
                    <w:top w:val="single" w:color="auto" w:sz="4" w:space="0"/>
                    <w:left w:val="single" w:color="auto" w:sz="4" w:space="0"/>
                    <w:bottom w:val="single" w:color="auto" w:sz="4" w:space="0"/>
                    <w:right w:val="nil"/>
                  </w:tcBorders>
                  <w:noWrap/>
                  <w:vAlign w:val="center"/>
                </w:tcPr>
                <w:p w14:paraId="4CA35443">
                  <w:pPr>
                    <w:pStyle w:val="49"/>
                    <w:spacing w:line="276" w:lineRule="auto"/>
                    <w:rPr>
                      <w:bCs/>
                      <w:szCs w:val="21"/>
                    </w:rPr>
                  </w:pPr>
                  <w:r>
                    <w:rPr>
                      <w:bCs/>
                      <w:szCs w:val="21"/>
                    </w:rPr>
                    <w:t>表示废气向大气环境排放</w:t>
                  </w:r>
                </w:p>
              </w:tc>
            </w:tr>
            <w:tr w14:paraId="7D7B5F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9" w:type="pct"/>
                  <w:tcBorders>
                    <w:top w:val="single" w:color="auto" w:sz="4" w:space="0"/>
                    <w:left w:val="nil"/>
                    <w:bottom w:val="single" w:color="auto" w:sz="4" w:space="0"/>
                    <w:right w:val="single" w:color="auto" w:sz="4" w:space="0"/>
                  </w:tcBorders>
                  <w:noWrap/>
                  <w:vAlign w:val="center"/>
                </w:tcPr>
                <w:p w14:paraId="48A9E5CB">
                  <w:pPr>
                    <w:pStyle w:val="49"/>
                    <w:spacing w:line="276" w:lineRule="auto"/>
                    <w:rPr>
                      <w:bCs/>
                      <w:szCs w:val="21"/>
                    </w:rPr>
                  </w:pPr>
                  <w:r>
                    <w:rPr>
                      <w:bCs/>
                      <w:szCs w:val="21"/>
                    </w:rPr>
                    <w:t>3</w:t>
                  </w:r>
                </w:p>
              </w:tc>
              <w:tc>
                <w:tcPr>
                  <w:tcW w:w="1138" w:type="pct"/>
                  <w:tcBorders>
                    <w:top w:val="single" w:color="auto" w:sz="4" w:space="0"/>
                    <w:left w:val="single" w:color="auto" w:sz="4" w:space="0"/>
                    <w:bottom w:val="single" w:color="auto" w:sz="4" w:space="0"/>
                    <w:right w:val="single" w:color="auto" w:sz="4" w:space="0"/>
                  </w:tcBorders>
                  <w:noWrap/>
                  <w:vAlign w:val="center"/>
                </w:tcPr>
                <w:p w14:paraId="23C3EFC5">
                  <w:pPr>
                    <w:pStyle w:val="49"/>
                    <w:spacing w:line="276" w:lineRule="auto"/>
                    <w:rPr>
                      <w:bCs/>
                      <w:szCs w:val="21"/>
                    </w:rPr>
                  </w:pPr>
                  <w:r>
                    <w:rPr>
                      <w:bCs/>
                      <w:szCs w:val="21"/>
                    </w:rPr>
                    <w:drawing>
                      <wp:inline distT="0" distB="0" distL="114300" distR="114300">
                        <wp:extent cx="859790" cy="859790"/>
                        <wp:effectExtent l="0" t="0" r="16510" b="1651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7"/>
                                <a:stretch>
                                  <a:fillRect/>
                                </a:stretch>
                              </pic:blipFill>
                              <pic:spPr>
                                <a:xfrm>
                                  <a:off x="0" y="0"/>
                                  <a:ext cx="859790" cy="859790"/>
                                </a:xfrm>
                                <a:prstGeom prst="rect">
                                  <a:avLst/>
                                </a:prstGeom>
                                <a:noFill/>
                                <a:ln>
                                  <a:noFill/>
                                </a:ln>
                              </pic:spPr>
                            </pic:pic>
                          </a:graphicData>
                        </a:graphic>
                      </wp:inline>
                    </w:drawing>
                  </w:r>
                </w:p>
              </w:tc>
              <w:tc>
                <w:tcPr>
                  <w:tcW w:w="1176" w:type="pct"/>
                  <w:tcBorders>
                    <w:top w:val="single" w:color="auto" w:sz="4" w:space="0"/>
                    <w:left w:val="single" w:color="auto" w:sz="4" w:space="0"/>
                    <w:bottom w:val="single" w:color="auto" w:sz="4" w:space="0"/>
                    <w:right w:val="single" w:color="auto" w:sz="4" w:space="0"/>
                  </w:tcBorders>
                  <w:noWrap/>
                  <w:vAlign w:val="center"/>
                </w:tcPr>
                <w:p w14:paraId="4C3F6274">
                  <w:pPr>
                    <w:pStyle w:val="49"/>
                    <w:spacing w:line="276" w:lineRule="auto"/>
                    <w:rPr>
                      <w:bCs/>
                      <w:szCs w:val="21"/>
                    </w:rPr>
                  </w:pPr>
                  <w:r>
                    <w:rPr>
                      <w:bCs/>
                      <w:szCs w:val="21"/>
                    </w:rPr>
                    <w:drawing>
                      <wp:inline distT="0" distB="0" distL="114300" distR="114300">
                        <wp:extent cx="963295" cy="867410"/>
                        <wp:effectExtent l="0" t="0" r="825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963295" cy="867410"/>
                                </a:xfrm>
                                <a:prstGeom prst="rect">
                                  <a:avLst/>
                                </a:prstGeom>
                                <a:noFill/>
                                <a:ln>
                                  <a:noFill/>
                                </a:ln>
                              </pic:spPr>
                            </pic:pic>
                          </a:graphicData>
                        </a:graphic>
                      </wp:inline>
                    </w:drawing>
                  </w:r>
                </w:p>
              </w:tc>
              <w:tc>
                <w:tcPr>
                  <w:tcW w:w="1129" w:type="pct"/>
                  <w:tcBorders>
                    <w:top w:val="single" w:color="auto" w:sz="4" w:space="0"/>
                    <w:left w:val="single" w:color="auto" w:sz="4" w:space="0"/>
                    <w:bottom w:val="single" w:color="auto" w:sz="4" w:space="0"/>
                    <w:right w:val="single" w:color="auto" w:sz="4" w:space="0"/>
                  </w:tcBorders>
                  <w:noWrap/>
                  <w:vAlign w:val="center"/>
                </w:tcPr>
                <w:p w14:paraId="11A1A79A">
                  <w:pPr>
                    <w:pStyle w:val="49"/>
                    <w:spacing w:line="276" w:lineRule="auto"/>
                    <w:rPr>
                      <w:bCs/>
                      <w:szCs w:val="21"/>
                    </w:rPr>
                  </w:pPr>
                  <w:r>
                    <w:rPr>
                      <w:bCs/>
                      <w:szCs w:val="21"/>
                    </w:rPr>
                    <w:t>一般工业固体废物</w:t>
                  </w:r>
                </w:p>
              </w:tc>
              <w:tc>
                <w:tcPr>
                  <w:tcW w:w="1158" w:type="pct"/>
                  <w:tcBorders>
                    <w:top w:val="single" w:color="auto" w:sz="4" w:space="0"/>
                    <w:left w:val="single" w:color="auto" w:sz="4" w:space="0"/>
                    <w:bottom w:val="single" w:color="auto" w:sz="4" w:space="0"/>
                    <w:right w:val="nil"/>
                  </w:tcBorders>
                  <w:noWrap/>
                  <w:vAlign w:val="center"/>
                </w:tcPr>
                <w:p w14:paraId="778335C1">
                  <w:pPr>
                    <w:pStyle w:val="49"/>
                    <w:spacing w:line="276" w:lineRule="auto"/>
                    <w:rPr>
                      <w:bCs/>
                      <w:szCs w:val="21"/>
                    </w:rPr>
                  </w:pPr>
                  <w:r>
                    <w:rPr>
                      <w:bCs/>
                      <w:szCs w:val="21"/>
                    </w:rPr>
                    <w:t>表示一般工业固体废物贮存、处置场</w:t>
                  </w:r>
                </w:p>
              </w:tc>
            </w:tr>
            <w:tr w14:paraId="4673E3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9" w:type="pct"/>
                  <w:tcBorders>
                    <w:top w:val="single" w:color="auto" w:sz="4" w:space="0"/>
                    <w:left w:val="nil"/>
                    <w:bottom w:val="single" w:color="auto" w:sz="4" w:space="0"/>
                    <w:right w:val="single" w:color="auto" w:sz="4" w:space="0"/>
                  </w:tcBorders>
                  <w:noWrap/>
                  <w:vAlign w:val="center"/>
                </w:tcPr>
                <w:p w14:paraId="43B11F31">
                  <w:pPr>
                    <w:pStyle w:val="49"/>
                    <w:spacing w:line="276" w:lineRule="auto"/>
                    <w:rPr>
                      <w:bCs/>
                      <w:szCs w:val="21"/>
                    </w:rPr>
                  </w:pPr>
                  <w:r>
                    <w:rPr>
                      <w:bCs/>
                      <w:szCs w:val="21"/>
                    </w:rPr>
                    <w:t>4</w:t>
                  </w:r>
                </w:p>
              </w:tc>
              <w:tc>
                <w:tcPr>
                  <w:tcW w:w="1138" w:type="pct"/>
                  <w:tcBorders>
                    <w:top w:val="single" w:color="auto" w:sz="4" w:space="0"/>
                    <w:left w:val="single" w:color="auto" w:sz="4" w:space="0"/>
                    <w:bottom w:val="single" w:color="auto" w:sz="4" w:space="0"/>
                    <w:right w:val="single" w:color="auto" w:sz="4" w:space="0"/>
                  </w:tcBorders>
                  <w:noWrap/>
                  <w:vAlign w:val="center"/>
                </w:tcPr>
                <w:p w14:paraId="5AC27908">
                  <w:pPr>
                    <w:pStyle w:val="49"/>
                    <w:spacing w:line="276" w:lineRule="auto"/>
                    <w:rPr>
                      <w:bCs/>
                      <w:szCs w:val="21"/>
                    </w:rPr>
                  </w:pPr>
                  <w:r>
                    <w:rPr>
                      <w:bCs/>
                      <w:szCs w:val="21"/>
                    </w:rPr>
                    <w:t>/</w:t>
                  </w:r>
                </w:p>
              </w:tc>
              <w:tc>
                <w:tcPr>
                  <w:tcW w:w="1176" w:type="pct"/>
                  <w:tcBorders>
                    <w:top w:val="single" w:color="auto" w:sz="4" w:space="0"/>
                    <w:left w:val="single" w:color="auto" w:sz="4" w:space="0"/>
                    <w:bottom w:val="single" w:color="auto" w:sz="4" w:space="0"/>
                    <w:right w:val="single" w:color="auto" w:sz="4" w:space="0"/>
                  </w:tcBorders>
                  <w:noWrap/>
                  <w:vAlign w:val="center"/>
                </w:tcPr>
                <w:p w14:paraId="6A0A792A">
                  <w:pPr>
                    <w:pStyle w:val="49"/>
                    <w:spacing w:line="276" w:lineRule="auto"/>
                    <w:rPr>
                      <w:bCs/>
                      <w:szCs w:val="21"/>
                    </w:rPr>
                  </w:pPr>
                  <w:r>
                    <w:rPr>
                      <w:bCs/>
                      <w:szCs w:val="21"/>
                    </w:rPr>
                    <w:drawing>
                      <wp:inline distT="0" distB="0" distL="114300" distR="114300">
                        <wp:extent cx="1237615" cy="970280"/>
                        <wp:effectExtent l="0" t="0" r="635" b="1270"/>
                        <wp:docPr id="9" name="图片 7" descr="5[GH5T597V}4NCI(}UJT3[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5[GH5T597V}4NCI(}UJT3[R.png"/>
                                <pic:cNvPicPr>
                                  <a:picLocks noChangeAspect="1"/>
                                </pic:cNvPicPr>
                              </pic:nvPicPr>
                              <pic:blipFill>
                                <a:blip r:embed="rId19"/>
                                <a:stretch>
                                  <a:fillRect/>
                                </a:stretch>
                              </pic:blipFill>
                              <pic:spPr>
                                <a:xfrm>
                                  <a:off x="0" y="0"/>
                                  <a:ext cx="1237615" cy="970280"/>
                                </a:xfrm>
                                <a:prstGeom prst="rect">
                                  <a:avLst/>
                                </a:prstGeom>
                                <a:noFill/>
                                <a:ln>
                                  <a:noFill/>
                                </a:ln>
                              </pic:spPr>
                            </pic:pic>
                          </a:graphicData>
                        </a:graphic>
                      </wp:inline>
                    </w:drawing>
                  </w:r>
                </w:p>
              </w:tc>
              <w:tc>
                <w:tcPr>
                  <w:tcW w:w="1129" w:type="pct"/>
                  <w:tcBorders>
                    <w:top w:val="single" w:color="auto" w:sz="4" w:space="0"/>
                    <w:left w:val="single" w:color="auto" w:sz="4" w:space="0"/>
                    <w:bottom w:val="single" w:color="auto" w:sz="4" w:space="0"/>
                    <w:right w:val="single" w:color="auto" w:sz="4" w:space="0"/>
                  </w:tcBorders>
                  <w:noWrap/>
                  <w:vAlign w:val="center"/>
                </w:tcPr>
                <w:p w14:paraId="4A11E044">
                  <w:pPr>
                    <w:pStyle w:val="49"/>
                    <w:spacing w:line="276" w:lineRule="auto"/>
                    <w:rPr>
                      <w:bCs/>
                      <w:szCs w:val="21"/>
                    </w:rPr>
                  </w:pPr>
                  <w:r>
                    <w:rPr>
                      <w:bCs/>
                      <w:szCs w:val="21"/>
                    </w:rPr>
                    <w:t>危险废物</w:t>
                  </w:r>
                </w:p>
              </w:tc>
              <w:tc>
                <w:tcPr>
                  <w:tcW w:w="1158" w:type="pct"/>
                  <w:tcBorders>
                    <w:top w:val="single" w:color="auto" w:sz="4" w:space="0"/>
                    <w:left w:val="single" w:color="auto" w:sz="4" w:space="0"/>
                    <w:bottom w:val="single" w:color="auto" w:sz="4" w:space="0"/>
                    <w:right w:val="nil"/>
                  </w:tcBorders>
                  <w:noWrap/>
                  <w:vAlign w:val="center"/>
                </w:tcPr>
                <w:p w14:paraId="01AEA7FC">
                  <w:pPr>
                    <w:pStyle w:val="49"/>
                    <w:spacing w:line="276" w:lineRule="auto"/>
                    <w:rPr>
                      <w:bCs/>
                      <w:szCs w:val="21"/>
                    </w:rPr>
                  </w:pPr>
                  <w:r>
                    <w:rPr>
                      <w:bCs/>
                      <w:szCs w:val="21"/>
                    </w:rPr>
                    <w:t>表示危险废物贮存、处置场</w:t>
                  </w:r>
                </w:p>
              </w:tc>
            </w:tr>
            <w:tr w14:paraId="2136D6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9" w:type="pct"/>
                  <w:tcBorders>
                    <w:top w:val="single" w:color="auto" w:sz="4" w:space="0"/>
                    <w:left w:val="nil"/>
                    <w:bottom w:val="single" w:color="auto" w:sz="12" w:space="0"/>
                    <w:right w:val="single" w:color="auto" w:sz="4" w:space="0"/>
                  </w:tcBorders>
                  <w:noWrap/>
                  <w:vAlign w:val="center"/>
                </w:tcPr>
                <w:p w14:paraId="2F7083E8">
                  <w:pPr>
                    <w:pStyle w:val="49"/>
                    <w:spacing w:line="276" w:lineRule="auto"/>
                    <w:rPr>
                      <w:bCs/>
                      <w:szCs w:val="21"/>
                    </w:rPr>
                  </w:pPr>
                  <w:r>
                    <w:rPr>
                      <w:bCs/>
                      <w:szCs w:val="21"/>
                    </w:rPr>
                    <w:t>5</w:t>
                  </w:r>
                </w:p>
              </w:tc>
              <w:tc>
                <w:tcPr>
                  <w:tcW w:w="1138" w:type="pct"/>
                  <w:tcBorders>
                    <w:top w:val="single" w:color="auto" w:sz="4" w:space="0"/>
                    <w:left w:val="single" w:color="auto" w:sz="4" w:space="0"/>
                    <w:bottom w:val="single" w:color="auto" w:sz="12" w:space="0"/>
                    <w:right w:val="single" w:color="auto" w:sz="4" w:space="0"/>
                  </w:tcBorders>
                  <w:noWrap/>
                  <w:vAlign w:val="center"/>
                </w:tcPr>
                <w:p w14:paraId="2E2BA172">
                  <w:pPr>
                    <w:pStyle w:val="49"/>
                    <w:spacing w:line="276" w:lineRule="auto"/>
                    <w:rPr>
                      <w:bCs/>
                      <w:szCs w:val="21"/>
                    </w:rPr>
                  </w:pPr>
                  <w:r>
                    <w:rPr>
                      <w:bCs/>
                      <w:szCs w:val="21"/>
                    </w:rPr>
                    <w:drawing>
                      <wp:inline distT="0" distB="0" distL="114300" distR="114300">
                        <wp:extent cx="857250" cy="857250"/>
                        <wp:effectExtent l="0" t="0" r="0" b="0"/>
                        <wp:docPr id="11" name="图片 8" descr="mark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mark_3"/>
                                <pic:cNvPicPr>
                                  <a:picLocks noChangeAspect="1"/>
                                </pic:cNvPicPr>
                              </pic:nvPicPr>
                              <pic:blipFill>
                                <a:blip r:embed="rId20"/>
                                <a:stretch>
                                  <a:fillRect/>
                                </a:stretch>
                              </pic:blipFill>
                              <pic:spPr>
                                <a:xfrm>
                                  <a:off x="0" y="0"/>
                                  <a:ext cx="857250" cy="857250"/>
                                </a:xfrm>
                                <a:prstGeom prst="rect">
                                  <a:avLst/>
                                </a:prstGeom>
                                <a:noFill/>
                                <a:ln>
                                  <a:noFill/>
                                </a:ln>
                              </pic:spPr>
                            </pic:pic>
                          </a:graphicData>
                        </a:graphic>
                      </wp:inline>
                    </w:drawing>
                  </w:r>
                </w:p>
              </w:tc>
              <w:tc>
                <w:tcPr>
                  <w:tcW w:w="1176" w:type="pct"/>
                  <w:tcBorders>
                    <w:top w:val="single" w:color="auto" w:sz="4" w:space="0"/>
                    <w:left w:val="single" w:color="auto" w:sz="4" w:space="0"/>
                    <w:bottom w:val="single" w:color="auto" w:sz="12" w:space="0"/>
                    <w:right w:val="single" w:color="auto" w:sz="4" w:space="0"/>
                  </w:tcBorders>
                  <w:noWrap/>
                  <w:vAlign w:val="center"/>
                </w:tcPr>
                <w:p w14:paraId="1D3E545F">
                  <w:pPr>
                    <w:pStyle w:val="49"/>
                    <w:spacing w:line="276" w:lineRule="auto"/>
                    <w:rPr>
                      <w:bCs/>
                      <w:szCs w:val="21"/>
                    </w:rPr>
                  </w:pPr>
                  <w:r>
                    <w:rPr>
                      <w:bCs/>
                      <w:szCs w:val="21"/>
                    </w:rPr>
                    <w:drawing>
                      <wp:inline distT="0" distB="0" distL="114300" distR="114300">
                        <wp:extent cx="963295" cy="858520"/>
                        <wp:effectExtent l="0" t="0" r="8255" b="17780"/>
                        <wp:docPr id="12" name="图片 9" descr="mark_j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mark_j3"/>
                                <pic:cNvPicPr>
                                  <a:picLocks noChangeAspect="1"/>
                                </pic:cNvPicPr>
                              </pic:nvPicPr>
                              <pic:blipFill>
                                <a:blip r:embed="rId21"/>
                                <a:stretch>
                                  <a:fillRect/>
                                </a:stretch>
                              </pic:blipFill>
                              <pic:spPr>
                                <a:xfrm>
                                  <a:off x="0" y="0"/>
                                  <a:ext cx="963295" cy="858520"/>
                                </a:xfrm>
                                <a:prstGeom prst="rect">
                                  <a:avLst/>
                                </a:prstGeom>
                                <a:noFill/>
                                <a:ln>
                                  <a:noFill/>
                                </a:ln>
                              </pic:spPr>
                            </pic:pic>
                          </a:graphicData>
                        </a:graphic>
                      </wp:inline>
                    </w:drawing>
                  </w:r>
                </w:p>
              </w:tc>
              <w:tc>
                <w:tcPr>
                  <w:tcW w:w="1129" w:type="pct"/>
                  <w:tcBorders>
                    <w:top w:val="single" w:color="auto" w:sz="4" w:space="0"/>
                    <w:left w:val="single" w:color="auto" w:sz="4" w:space="0"/>
                    <w:bottom w:val="single" w:color="auto" w:sz="12" w:space="0"/>
                    <w:right w:val="single" w:color="auto" w:sz="4" w:space="0"/>
                  </w:tcBorders>
                  <w:noWrap/>
                  <w:vAlign w:val="center"/>
                </w:tcPr>
                <w:p w14:paraId="01F3D53D">
                  <w:pPr>
                    <w:pStyle w:val="49"/>
                    <w:spacing w:line="276" w:lineRule="auto"/>
                    <w:rPr>
                      <w:bCs/>
                      <w:szCs w:val="21"/>
                    </w:rPr>
                  </w:pPr>
                  <w:r>
                    <w:rPr>
                      <w:bCs/>
                      <w:szCs w:val="21"/>
                    </w:rPr>
                    <w:t>噪声排放源</w:t>
                  </w:r>
                </w:p>
              </w:tc>
              <w:tc>
                <w:tcPr>
                  <w:tcW w:w="1158" w:type="pct"/>
                  <w:tcBorders>
                    <w:top w:val="single" w:color="auto" w:sz="4" w:space="0"/>
                    <w:left w:val="single" w:color="auto" w:sz="4" w:space="0"/>
                    <w:bottom w:val="single" w:color="auto" w:sz="12" w:space="0"/>
                    <w:right w:val="nil"/>
                  </w:tcBorders>
                  <w:noWrap/>
                  <w:vAlign w:val="center"/>
                </w:tcPr>
                <w:p w14:paraId="1D93A75D">
                  <w:pPr>
                    <w:pStyle w:val="49"/>
                    <w:spacing w:line="276" w:lineRule="auto"/>
                    <w:rPr>
                      <w:bCs/>
                      <w:szCs w:val="21"/>
                    </w:rPr>
                  </w:pPr>
                  <w:r>
                    <w:rPr>
                      <w:bCs/>
                      <w:szCs w:val="21"/>
                    </w:rPr>
                    <w:t>表示噪声向</w:t>
                  </w:r>
                </w:p>
                <w:p w14:paraId="45292791">
                  <w:pPr>
                    <w:pStyle w:val="49"/>
                    <w:spacing w:line="276" w:lineRule="auto"/>
                    <w:rPr>
                      <w:bCs/>
                      <w:szCs w:val="21"/>
                    </w:rPr>
                  </w:pPr>
                  <w:r>
                    <w:rPr>
                      <w:bCs/>
                      <w:szCs w:val="21"/>
                    </w:rPr>
                    <w:t>外环境排放</w:t>
                  </w:r>
                </w:p>
              </w:tc>
            </w:tr>
          </w:tbl>
          <w:p w14:paraId="2334B409">
            <w:pPr>
              <w:spacing w:line="360" w:lineRule="auto"/>
              <w:jc w:val="center"/>
              <w:rPr>
                <w:color w:val="FF0000"/>
                <w:sz w:val="20"/>
              </w:rPr>
            </w:pPr>
            <w:r>
              <w:rPr>
                <w:rFonts w:eastAsia="黑体"/>
              </w:rPr>
              <w:t>表</w:t>
            </w:r>
            <w:r>
              <w:rPr>
                <w:rFonts w:hint="eastAsia" w:eastAsia="黑体"/>
              </w:rPr>
              <w:t>4-1</w:t>
            </w:r>
            <w:r>
              <w:rPr>
                <w:rFonts w:hint="eastAsia" w:eastAsia="黑体"/>
                <w:lang w:val="en-US" w:eastAsia="zh-CN"/>
              </w:rPr>
              <w:t xml:space="preserve">5  </w:t>
            </w:r>
            <w:r>
              <w:rPr>
                <w:rFonts w:eastAsia="黑体"/>
              </w:rPr>
              <w:t>环境保护图形标志的形状及颜色表</w:t>
            </w:r>
          </w:p>
          <w:tbl>
            <w:tblPr>
              <w:tblStyle w:val="16"/>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62"/>
              <w:gridCol w:w="1962"/>
              <w:gridCol w:w="1963"/>
              <w:gridCol w:w="1963"/>
            </w:tblGrid>
            <w:tr w14:paraId="0C181F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 w:hRule="atLeast"/>
              </w:trPr>
              <w:tc>
                <w:tcPr>
                  <w:tcW w:w="1250" w:type="pct"/>
                  <w:noWrap/>
                  <w:vAlign w:val="center"/>
                </w:tcPr>
                <w:p w14:paraId="7841214A">
                  <w:pPr>
                    <w:pStyle w:val="49"/>
                    <w:spacing w:line="276" w:lineRule="auto"/>
                    <w:rPr>
                      <w:b/>
                      <w:szCs w:val="21"/>
                    </w:rPr>
                  </w:pPr>
                  <w:r>
                    <w:rPr>
                      <w:b/>
                      <w:szCs w:val="21"/>
                    </w:rPr>
                    <w:t>标志名称</w:t>
                  </w:r>
                </w:p>
              </w:tc>
              <w:tc>
                <w:tcPr>
                  <w:tcW w:w="1250" w:type="pct"/>
                  <w:noWrap/>
                  <w:vAlign w:val="center"/>
                </w:tcPr>
                <w:p w14:paraId="0132165E">
                  <w:pPr>
                    <w:pStyle w:val="49"/>
                    <w:spacing w:line="276" w:lineRule="auto"/>
                    <w:rPr>
                      <w:b/>
                      <w:szCs w:val="21"/>
                    </w:rPr>
                  </w:pPr>
                  <w:r>
                    <w:rPr>
                      <w:b/>
                      <w:szCs w:val="21"/>
                    </w:rPr>
                    <w:t>形状</w:t>
                  </w:r>
                </w:p>
              </w:tc>
              <w:tc>
                <w:tcPr>
                  <w:tcW w:w="1250" w:type="pct"/>
                  <w:noWrap/>
                  <w:vAlign w:val="center"/>
                </w:tcPr>
                <w:p w14:paraId="5402BDAC">
                  <w:pPr>
                    <w:pStyle w:val="49"/>
                    <w:spacing w:line="276" w:lineRule="auto"/>
                    <w:rPr>
                      <w:b/>
                      <w:szCs w:val="21"/>
                    </w:rPr>
                  </w:pPr>
                  <w:r>
                    <w:rPr>
                      <w:b/>
                      <w:szCs w:val="21"/>
                    </w:rPr>
                    <w:t>背景颜色</w:t>
                  </w:r>
                </w:p>
              </w:tc>
              <w:tc>
                <w:tcPr>
                  <w:tcW w:w="1250" w:type="pct"/>
                  <w:noWrap/>
                  <w:vAlign w:val="center"/>
                </w:tcPr>
                <w:p w14:paraId="509135D9">
                  <w:pPr>
                    <w:pStyle w:val="49"/>
                    <w:spacing w:line="276" w:lineRule="auto"/>
                    <w:rPr>
                      <w:b/>
                      <w:szCs w:val="21"/>
                    </w:rPr>
                  </w:pPr>
                  <w:r>
                    <w:rPr>
                      <w:b/>
                      <w:szCs w:val="21"/>
                    </w:rPr>
                    <w:t>图形颜色</w:t>
                  </w:r>
                </w:p>
              </w:tc>
            </w:tr>
            <w:tr w14:paraId="67189B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250" w:type="pct"/>
                  <w:noWrap/>
                  <w:vAlign w:val="center"/>
                </w:tcPr>
                <w:p w14:paraId="665F1B4D">
                  <w:pPr>
                    <w:pStyle w:val="49"/>
                    <w:spacing w:line="276" w:lineRule="auto"/>
                    <w:rPr>
                      <w:bCs/>
                      <w:szCs w:val="21"/>
                    </w:rPr>
                  </w:pPr>
                  <w:r>
                    <w:rPr>
                      <w:bCs/>
                      <w:szCs w:val="21"/>
                    </w:rPr>
                    <w:t>警告标志</w:t>
                  </w:r>
                </w:p>
              </w:tc>
              <w:tc>
                <w:tcPr>
                  <w:tcW w:w="1250" w:type="pct"/>
                  <w:noWrap/>
                  <w:vAlign w:val="center"/>
                </w:tcPr>
                <w:p w14:paraId="112784A1">
                  <w:pPr>
                    <w:pStyle w:val="49"/>
                    <w:spacing w:line="276" w:lineRule="auto"/>
                    <w:rPr>
                      <w:bCs/>
                      <w:szCs w:val="21"/>
                    </w:rPr>
                  </w:pPr>
                  <w:r>
                    <w:rPr>
                      <w:bCs/>
                      <w:szCs w:val="21"/>
                    </w:rPr>
                    <w:t>三角形边框</w:t>
                  </w:r>
                </w:p>
              </w:tc>
              <w:tc>
                <w:tcPr>
                  <w:tcW w:w="1250" w:type="pct"/>
                  <w:noWrap/>
                  <w:vAlign w:val="center"/>
                </w:tcPr>
                <w:p w14:paraId="27347D47">
                  <w:pPr>
                    <w:pStyle w:val="49"/>
                    <w:spacing w:line="276" w:lineRule="auto"/>
                    <w:rPr>
                      <w:bCs/>
                      <w:szCs w:val="21"/>
                    </w:rPr>
                  </w:pPr>
                  <w:r>
                    <w:rPr>
                      <w:bCs/>
                      <w:szCs w:val="21"/>
                    </w:rPr>
                    <w:t>黄色</w:t>
                  </w:r>
                </w:p>
              </w:tc>
              <w:tc>
                <w:tcPr>
                  <w:tcW w:w="1250" w:type="pct"/>
                  <w:noWrap/>
                  <w:vAlign w:val="center"/>
                </w:tcPr>
                <w:p w14:paraId="3A3583FC">
                  <w:pPr>
                    <w:pStyle w:val="49"/>
                    <w:spacing w:line="276" w:lineRule="auto"/>
                    <w:rPr>
                      <w:bCs/>
                      <w:szCs w:val="21"/>
                    </w:rPr>
                  </w:pPr>
                  <w:r>
                    <w:rPr>
                      <w:bCs/>
                      <w:szCs w:val="21"/>
                    </w:rPr>
                    <w:t>黑色</w:t>
                  </w:r>
                </w:p>
              </w:tc>
            </w:tr>
            <w:tr w14:paraId="55BDD4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250" w:type="pct"/>
                  <w:noWrap/>
                  <w:vAlign w:val="center"/>
                </w:tcPr>
                <w:p w14:paraId="41B59DAC">
                  <w:pPr>
                    <w:pStyle w:val="49"/>
                    <w:spacing w:line="276" w:lineRule="auto"/>
                    <w:rPr>
                      <w:bCs/>
                      <w:szCs w:val="21"/>
                    </w:rPr>
                  </w:pPr>
                  <w:r>
                    <w:rPr>
                      <w:bCs/>
                      <w:szCs w:val="21"/>
                    </w:rPr>
                    <w:t>提示标志</w:t>
                  </w:r>
                </w:p>
              </w:tc>
              <w:tc>
                <w:tcPr>
                  <w:tcW w:w="1250" w:type="pct"/>
                  <w:noWrap/>
                  <w:vAlign w:val="center"/>
                </w:tcPr>
                <w:p w14:paraId="42BA3D66">
                  <w:pPr>
                    <w:pStyle w:val="49"/>
                    <w:spacing w:line="276" w:lineRule="auto"/>
                    <w:rPr>
                      <w:bCs/>
                      <w:szCs w:val="21"/>
                    </w:rPr>
                  </w:pPr>
                  <w:r>
                    <w:rPr>
                      <w:bCs/>
                      <w:szCs w:val="21"/>
                    </w:rPr>
                    <w:t>正方形边框</w:t>
                  </w:r>
                </w:p>
              </w:tc>
              <w:tc>
                <w:tcPr>
                  <w:tcW w:w="1250" w:type="pct"/>
                  <w:noWrap/>
                  <w:vAlign w:val="center"/>
                </w:tcPr>
                <w:p w14:paraId="52148C57">
                  <w:pPr>
                    <w:pStyle w:val="49"/>
                    <w:spacing w:line="276" w:lineRule="auto"/>
                    <w:rPr>
                      <w:bCs/>
                      <w:szCs w:val="21"/>
                    </w:rPr>
                  </w:pPr>
                  <w:r>
                    <w:rPr>
                      <w:bCs/>
                      <w:szCs w:val="21"/>
                    </w:rPr>
                    <w:t>绿色</w:t>
                  </w:r>
                </w:p>
              </w:tc>
              <w:tc>
                <w:tcPr>
                  <w:tcW w:w="1250" w:type="pct"/>
                  <w:noWrap/>
                  <w:vAlign w:val="center"/>
                </w:tcPr>
                <w:p w14:paraId="4E2BC3E3">
                  <w:pPr>
                    <w:pStyle w:val="49"/>
                    <w:spacing w:line="276" w:lineRule="auto"/>
                    <w:rPr>
                      <w:bCs/>
                      <w:szCs w:val="21"/>
                    </w:rPr>
                  </w:pPr>
                  <w:r>
                    <w:rPr>
                      <w:bCs/>
                      <w:szCs w:val="21"/>
                    </w:rPr>
                    <w:t>白色</w:t>
                  </w:r>
                </w:p>
              </w:tc>
            </w:tr>
          </w:tbl>
          <w:p w14:paraId="083F89F0">
            <w:pPr>
              <w:spacing w:line="360" w:lineRule="auto"/>
              <w:rPr>
                <w:color w:val="FF0000"/>
                <w:sz w:val="20"/>
              </w:rPr>
            </w:pPr>
          </w:p>
          <w:p w14:paraId="3AF601B4">
            <w:pPr>
              <w:spacing w:line="360" w:lineRule="auto"/>
              <w:rPr>
                <w:color w:val="FF0000"/>
                <w:sz w:val="20"/>
              </w:rPr>
            </w:pPr>
          </w:p>
          <w:p w14:paraId="37270B4C">
            <w:pPr>
              <w:spacing w:line="360" w:lineRule="auto"/>
              <w:rPr>
                <w:color w:val="FF0000"/>
                <w:sz w:val="20"/>
              </w:rPr>
            </w:pPr>
          </w:p>
          <w:p w14:paraId="572BE594">
            <w:pPr>
              <w:spacing w:line="360" w:lineRule="auto"/>
              <w:rPr>
                <w:color w:val="FF0000"/>
                <w:sz w:val="20"/>
              </w:rPr>
            </w:pPr>
          </w:p>
          <w:p w14:paraId="24B7BC90">
            <w:pPr>
              <w:spacing w:line="360" w:lineRule="auto"/>
              <w:rPr>
                <w:color w:val="FF0000"/>
                <w:sz w:val="20"/>
              </w:rPr>
            </w:pPr>
          </w:p>
          <w:p w14:paraId="690F388E">
            <w:pPr>
              <w:spacing w:line="360" w:lineRule="auto"/>
              <w:rPr>
                <w:color w:val="FF0000"/>
                <w:sz w:val="20"/>
              </w:rPr>
            </w:pPr>
          </w:p>
          <w:p w14:paraId="5DE3A86A">
            <w:pPr>
              <w:spacing w:line="360" w:lineRule="auto"/>
              <w:rPr>
                <w:color w:val="FF0000"/>
                <w:sz w:val="20"/>
              </w:rPr>
            </w:pPr>
          </w:p>
          <w:p w14:paraId="16B83B27">
            <w:pPr>
              <w:spacing w:line="360" w:lineRule="auto"/>
              <w:rPr>
                <w:color w:val="FF0000"/>
                <w:sz w:val="20"/>
              </w:rPr>
            </w:pPr>
          </w:p>
          <w:p w14:paraId="4A8C9D6F">
            <w:pPr>
              <w:spacing w:line="360" w:lineRule="auto"/>
              <w:rPr>
                <w:color w:val="FF0000"/>
                <w:sz w:val="20"/>
              </w:rPr>
            </w:pPr>
          </w:p>
          <w:p w14:paraId="04D282F3">
            <w:pPr>
              <w:spacing w:line="360" w:lineRule="auto"/>
              <w:rPr>
                <w:color w:val="FF0000"/>
                <w:sz w:val="20"/>
              </w:rPr>
            </w:pPr>
          </w:p>
          <w:p w14:paraId="5CC5367D">
            <w:pPr>
              <w:spacing w:line="360" w:lineRule="auto"/>
              <w:rPr>
                <w:color w:val="FF0000"/>
                <w:sz w:val="20"/>
              </w:rPr>
            </w:pPr>
          </w:p>
          <w:p w14:paraId="13AFBEB1">
            <w:pPr>
              <w:spacing w:line="360" w:lineRule="auto"/>
              <w:rPr>
                <w:color w:val="FF0000"/>
                <w:sz w:val="20"/>
              </w:rPr>
            </w:pPr>
          </w:p>
          <w:p w14:paraId="3C253D50">
            <w:pPr>
              <w:spacing w:line="360" w:lineRule="auto"/>
              <w:rPr>
                <w:color w:val="FF0000"/>
                <w:sz w:val="20"/>
              </w:rPr>
            </w:pPr>
          </w:p>
          <w:p w14:paraId="741548C8">
            <w:pPr>
              <w:spacing w:line="360" w:lineRule="auto"/>
              <w:rPr>
                <w:color w:val="FF0000"/>
                <w:sz w:val="20"/>
              </w:rPr>
            </w:pPr>
          </w:p>
          <w:p w14:paraId="4FBB9B77">
            <w:pPr>
              <w:spacing w:line="360" w:lineRule="auto"/>
              <w:rPr>
                <w:color w:val="FF0000"/>
                <w:sz w:val="20"/>
              </w:rPr>
            </w:pPr>
          </w:p>
          <w:p w14:paraId="4BD92A3F">
            <w:pPr>
              <w:spacing w:line="360" w:lineRule="auto"/>
              <w:rPr>
                <w:color w:val="FF0000"/>
                <w:sz w:val="20"/>
              </w:rPr>
            </w:pPr>
          </w:p>
          <w:p w14:paraId="05B29F7C">
            <w:pPr>
              <w:spacing w:line="360" w:lineRule="auto"/>
              <w:rPr>
                <w:color w:val="FF0000"/>
                <w:sz w:val="20"/>
              </w:rPr>
            </w:pPr>
          </w:p>
          <w:p w14:paraId="6B1825A4">
            <w:pPr>
              <w:spacing w:line="360" w:lineRule="auto"/>
              <w:rPr>
                <w:color w:val="FF0000"/>
                <w:sz w:val="20"/>
              </w:rPr>
            </w:pPr>
          </w:p>
          <w:p w14:paraId="1BB6F7A1">
            <w:pPr>
              <w:spacing w:line="360" w:lineRule="auto"/>
              <w:rPr>
                <w:color w:val="FF0000"/>
                <w:sz w:val="20"/>
              </w:rPr>
            </w:pPr>
          </w:p>
        </w:tc>
      </w:tr>
    </w:tbl>
    <w:p w14:paraId="2732D05B">
      <w:pPr>
        <w:spacing w:line="360" w:lineRule="auto"/>
        <w:jc w:val="center"/>
        <w:rPr>
          <w:rFonts w:ascii="黑体" w:hAnsi="黑体" w:eastAsia="黑体"/>
          <w:sz w:val="30"/>
          <w:szCs w:val="30"/>
        </w:rPr>
      </w:pPr>
      <w:r>
        <w:rPr>
          <w:rFonts w:hint="eastAsia" w:ascii="黑体" w:hAnsi="黑体" w:eastAsia="黑体"/>
          <w:sz w:val="30"/>
          <w:szCs w:val="30"/>
        </w:rPr>
        <w:t>五、环境保护措施监督检查清单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813"/>
        <w:gridCol w:w="1230"/>
        <w:gridCol w:w="1980"/>
        <w:gridCol w:w="1690"/>
      </w:tblGrid>
      <w:tr w14:paraId="31D1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9" w:type="dxa"/>
            <w:tcBorders>
              <w:top w:val="single" w:color="auto" w:sz="4" w:space="0"/>
              <w:left w:val="single" w:color="auto" w:sz="4" w:space="0"/>
              <w:tl2br w:val="single" w:color="auto" w:sz="4" w:space="0"/>
            </w:tcBorders>
            <w:vAlign w:val="center"/>
          </w:tcPr>
          <w:p w14:paraId="3F44B04E">
            <w:pPr>
              <w:spacing w:line="360" w:lineRule="auto"/>
              <w:jc w:val="center"/>
              <w:rPr>
                <w:b/>
              </w:rPr>
            </w:pPr>
            <w:r>
              <w:rPr>
                <w:rFonts w:hAnsi="宋体"/>
                <w:b/>
              </w:rPr>
              <w:t>内容</w:t>
            </w:r>
          </w:p>
          <w:p w14:paraId="18A98027">
            <w:pPr>
              <w:spacing w:line="360" w:lineRule="auto"/>
              <w:rPr>
                <w:b/>
              </w:rPr>
            </w:pPr>
            <w:r>
              <w:rPr>
                <w:rFonts w:hAnsi="宋体"/>
                <w:b/>
              </w:rPr>
              <w:t>要素</w:t>
            </w:r>
          </w:p>
        </w:tc>
        <w:tc>
          <w:tcPr>
            <w:tcW w:w="2663" w:type="dxa"/>
            <w:gridSpan w:val="2"/>
            <w:tcBorders>
              <w:top w:val="single" w:color="auto" w:sz="4" w:space="0"/>
            </w:tcBorders>
            <w:vAlign w:val="center"/>
          </w:tcPr>
          <w:p w14:paraId="50714F55">
            <w:pPr>
              <w:spacing w:line="360" w:lineRule="auto"/>
              <w:jc w:val="center"/>
              <w:rPr>
                <w:b/>
              </w:rPr>
            </w:pPr>
            <w:r>
              <w:rPr>
                <w:rFonts w:hAnsi="宋体"/>
                <w:b/>
              </w:rPr>
              <w:t>排放口（编号、名称）</w:t>
            </w:r>
            <w:r>
              <w:rPr>
                <w:b/>
              </w:rPr>
              <w:t>/</w:t>
            </w:r>
            <w:r>
              <w:rPr>
                <w:rFonts w:hAnsi="宋体"/>
                <w:b/>
              </w:rPr>
              <w:t>污染源</w:t>
            </w:r>
          </w:p>
        </w:tc>
        <w:tc>
          <w:tcPr>
            <w:tcW w:w="1230" w:type="dxa"/>
            <w:tcBorders>
              <w:top w:val="single" w:color="auto" w:sz="4" w:space="0"/>
            </w:tcBorders>
            <w:vAlign w:val="center"/>
          </w:tcPr>
          <w:p w14:paraId="5E64CF4C">
            <w:pPr>
              <w:spacing w:line="360" w:lineRule="auto"/>
              <w:jc w:val="center"/>
              <w:rPr>
                <w:b/>
              </w:rPr>
            </w:pPr>
            <w:r>
              <w:rPr>
                <w:rFonts w:hAnsi="宋体"/>
                <w:b/>
              </w:rPr>
              <w:t>污染物项目</w:t>
            </w:r>
          </w:p>
        </w:tc>
        <w:tc>
          <w:tcPr>
            <w:tcW w:w="1980" w:type="dxa"/>
            <w:tcBorders>
              <w:top w:val="single" w:color="auto" w:sz="4" w:space="0"/>
            </w:tcBorders>
            <w:vAlign w:val="center"/>
          </w:tcPr>
          <w:p w14:paraId="33A0D2E7">
            <w:pPr>
              <w:spacing w:line="360" w:lineRule="auto"/>
              <w:jc w:val="center"/>
              <w:rPr>
                <w:b/>
              </w:rPr>
            </w:pPr>
            <w:r>
              <w:rPr>
                <w:rFonts w:hAnsi="宋体"/>
                <w:b/>
              </w:rPr>
              <w:t>环境保护措施</w:t>
            </w:r>
          </w:p>
        </w:tc>
        <w:tc>
          <w:tcPr>
            <w:tcW w:w="1690" w:type="dxa"/>
            <w:tcBorders>
              <w:top w:val="single" w:color="auto" w:sz="4" w:space="0"/>
              <w:right w:val="single" w:color="auto" w:sz="4" w:space="0"/>
            </w:tcBorders>
            <w:vAlign w:val="center"/>
          </w:tcPr>
          <w:p w14:paraId="2120BB9C">
            <w:pPr>
              <w:spacing w:line="360" w:lineRule="auto"/>
              <w:jc w:val="center"/>
              <w:rPr>
                <w:b/>
              </w:rPr>
            </w:pPr>
            <w:r>
              <w:rPr>
                <w:rFonts w:hAnsi="宋体"/>
                <w:b/>
              </w:rPr>
              <w:t>执行标准</w:t>
            </w:r>
          </w:p>
        </w:tc>
      </w:tr>
      <w:tr w14:paraId="755C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59" w:type="dxa"/>
            <w:vMerge w:val="restart"/>
            <w:tcBorders>
              <w:left w:val="single" w:color="auto" w:sz="4" w:space="0"/>
            </w:tcBorders>
            <w:vAlign w:val="center"/>
          </w:tcPr>
          <w:p w14:paraId="483089B1">
            <w:pPr>
              <w:spacing w:line="360" w:lineRule="auto"/>
              <w:jc w:val="center"/>
            </w:pPr>
            <w:r>
              <w:t>大气</w:t>
            </w:r>
          </w:p>
          <w:p w14:paraId="5FBDFB9F">
            <w:pPr>
              <w:spacing w:line="360" w:lineRule="auto"/>
              <w:jc w:val="center"/>
            </w:pPr>
            <w:r>
              <w:t>环境</w:t>
            </w:r>
          </w:p>
        </w:tc>
        <w:tc>
          <w:tcPr>
            <w:tcW w:w="850" w:type="dxa"/>
            <w:vAlign w:val="center"/>
          </w:tcPr>
          <w:p w14:paraId="429CD29A">
            <w:pPr>
              <w:spacing w:line="360" w:lineRule="auto"/>
              <w:jc w:val="center"/>
            </w:pPr>
            <w:r>
              <w:t>DA00</w:t>
            </w:r>
            <w:r>
              <w:rPr>
                <w:rFonts w:hint="eastAsia"/>
              </w:rPr>
              <w:t>1</w:t>
            </w:r>
            <w:r>
              <w:t>排气筒</w:t>
            </w:r>
          </w:p>
        </w:tc>
        <w:tc>
          <w:tcPr>
            <w:tcW w:w="1813" w:type="dxa"/>
            <w:vAlign w:val="center"/>
          </w:tcPr>
          <w:p w14:paraId="3801014D">
            <w:pPr>
              <w:spacing w:line="360" w:lineRule="auto"/>
              <w:jc w:val="center"/>
            </w:pPr>
            <w:r>
              <w:rPr>
                <w:rFonts w:hint="eastAsia"/>
              </w:rPr>
              <w:t>抛丸粉尘（G</w:t>
            </w:r>
            <w:r>
              <w:rPr>
                <w:rFonts w:hint="eastAsia"/>
                <w:vertAlign w:val="subscript"/>
              </w:rPr>
              <w:t>1-1</w:t>
            </w:r>
            <w:r>
              <w:rPr>
                <w:rFonts w:hint="eastAsia"/>
              </w:rPr>
              <w:t>）、切割粉尘（G</w:t>
            </w:r>
            <w:r>
              <w:rPr>
                <w:rFonts w:hint="eastAsia"/>
                <w:vertAlign w:val="subscript"/>
              </w:rPr>
              <w:t>2-1、</w:t>
            </w:r>
            <w:r>
              <w:rPr>
                <w:rFonts w:hint="eastAsia"/>
              </w:rPr>
              <w:t>G</w:t>
            </w:r>
            <w:r>
              <w:rPr>
                <w:rFonts w:hint="eastAsia"/>
                <w:vertAlign w:val="subscript"/>
              </w:rPr>
              <w:t>2-2</w:t>
            </w:r>
            <w:r>
              <w:rPr>
                <w:rFonts w:hint="eastAsia"/>
              </w:rPr>
              <w:t>）、焊接粉尘（G</w:t>
            </w:r>
            <w:r>
              <w:rPr>
                <w:rFonts w:hint="eastAsia"/>
                <w:vertAlign w:val="subscript"/>
              </w:rPr>
              <w:t>2-3</w:t>
            </w:r>
            <w:r>
              <w:rPr>
                <w:rFonts w:hint="eastAsia"/>
              </w:rPr>
              <w:t>）</w:t>
            </w:r>
          </w:p>
        </w:tc>
        <w:tc>
          <w:tcPr>
            <w:tcW w:w="1230" w:type="dxa"/>
            <w:vAlign w:val="center"/>
          </w:tcPr>
          <w:p w14:paraId="5066F2FC">
            <w:pPr>
              <w:spacing w:line="360" w:lineRule="auto"/>
              <w:jc w:val="center"/>
            </w:pPr>
            <w:r>
              <w:rPr>
                <w:rFonts w:hint="eastAsia"/>
              </w:rPr>
              <w:t>颗粒物</w:t>
            </w:r>
          </w:p>
        </w:tc>
        <w:tc>
          <w:tcPr>
            <w:tcW w:w="1980" w:type="dxa"/>
            <w:vAlign w:val="center"/>
          </w:tcPr>
          <w:p w14:paraId="75308E66">
            <w:pPr>
              <w:spacing w:line="360" w:lineRule="auto"/>
              <w:jc w:val="center"/>
              <w:rPr>
                <w:rFonts w:hAnsi="宋体"/>
              </w:rPr>
            </w:pPr>
            <w:r>
              <w:rPr>
                <w:rFonts w:hint="eastAsia"/>
              </w:rPr>
              <w:t>经密闭或集气罩收集后，通过袋式除尘器（TA001）处理后，最终通过15m高排气筒（DA001）排放</w:t>
            </w:r>
          </w:p>
        </w:tc>
        <w:tc>
          <w:tcPr>
            <w:tcW w:w="1690" w:type="dxa"/>
            <w:tcBorders>
              <w:right w:val="single" w:color="auto" w:sz="4" w:space="0"/>
            </w:tcBorders>
            <w:vAlign w:val="center"/>
          </w:tcPr>
          <w:p w14:paraId="0488A276">
            <w:pPr>
              <w:spacing w:line="360" w:lineRule="auto"/>
              <w:jc w:val="center"/>
            </w:pPr>
            <w:r>
              <w:rPr>
                <w:rFonts w:hint="eastAsia"/>
              </w:rPr>
              <w:t>《大气污染物综合排放标准》（GB16297-1996）</w:t>
            </w:r>
          </w:p>
        </w:tc>
      </w:tr>
      <w:tr w14:paraId="58CD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59" w:type="dxa"/>
            <w:vMerge w:val="continue"/>
            <w:tcBorders>
              <w:left w:val="single" w:color="auto" w:sz="4" w:space="0"/>
            </w:tcBorders>
            <w:vAlign w:val="center"/>
          </w:tcPr>
          <w:p w14:paraId="1831559B">
            <w:pPr>
              <w:spacing w:line="360" w:lineRule="auto"/>
              <w:jc w:val="center"/>
            </w:pPr>
          </w:p>
        </w:tc>
        <w:tc>
          <w:tcPr>
            <w:tcW w:w="850" w:type="dxa"/>
            <w:vAlign w:val="center"/>
          </w:tcPr>
          <w:p w14:paraId="398BA58C">
            <w:pPr>
              <w:spacing w:line="360" w:lineRule="auto"/>
              <w:jc w:val="center"/>
            </w:pPr>
            <w:r>
              <w:rPr>
                <w:rFonts w:hint="eastAsia"/>
              </w:rPr>
              <w:t>DA002排气筒</w:t>
            </w:r>
          </w:p>
        </w:tc>
        <w:tc>
          <w:tcPr>
            <w:tcW w:w="1813" w:type="dxa"/>
            <w:vAlign w:val="center"/>
          </w:tcPr>
          <w:p w14:paraId="7AA49F78">
            <w:pPr>
              <w:spacing w:line="360" w:lineRule="auto"/>
              <w:jc w:val="center"/>
            </w:pPr>
            <w:r>
              <w:rPr>
                <w:rFonts w:hint="eastAsia"/>
              </w:rPr>
              <w:t>清洗废气（G</w:t>
            </w:r>
            <w:r>
              <w:rPr>
                <w:rFonts w:hint="eastAsia"/>
                <w:vertAlign w:val="subscript"/>
              </w:rPr>
              <w:t>1-2</w:t>
            </w:r>
            <w:r>
              <w:rPr>
                <w:rFonts w:hint="eastAsia"/>
              </w:rPr>
              <w:t>）</w:t>
            </w:r>
            <w:r>
              <w:rPr>
                <w:rFonts w:hint="eastAsia"/>
                <w:lang w:eastAsia="zh-CN"/>
              </w:rPr>
              <w:t>、</w:t>
            </w:r>
            <w:r>
              <w:rPr>
                <w:rFonts w:hint="eastAsia"/>
              </w:rPr>
              <w:t>涂胶废气（G</w:t>
            </w:r>
            <w:r>
              <w:rPr>
                <w:rFonts w:hint="eastAsia"/>
                <w:vertAlign w:val="subscript"/>
              </w:rPr>
              <w:t>1-3</w:t>
            </w:r>
            <w:r>
              <w:rPr>
                <w:rFonts w:hint="eastAsia"/>
              </w:rPr>
              <w:t>）、硫化废气（G</w:t>
            </w:r>
            <w:r>
              <w:rPr>
                <w:rFonts w:hint="eastAsia"/>
                <w:vertAlign w:val="subscript"/>
              </w:rPr>
              <w:t>1-4</w:t>
            </w:r>
            <w:r>
              <w:rPr>
                <w:rFonts w:hint="eastAsia"/>
              </w:rPr>
              <w:t>）</w:t>
            </w:r>
          </w:p>
        </w:tc>
        <w:tc>
          <w:tcPr>
            <w:tcW w:w="1230" w:type="dxa"/>
            <w:vAlign w:val="center"/>
          </w:tcPr>
          <w:p w14:paraId="6623031C">
            <w:pPr>
              <w:spacing w:line="360" w:lineRule="auto"/>
              <w:jc w:val="center"/>
            </w:pPr>
            <w:r>
              <w:rPr>
                <w:rFonts w:hint="eastAsia"/>
              </w:rPr>
              <w:t>非甲烷总烃、甲苯、二甲苯、乙苯、四氯乙烯、H</w:t>
            </w:r>
            <w:r>
              <w:rPr>
                <w:rFonts w:hint="eastAsia"/>
                <w:vertAlign w:val="subscript"/>
              </w:rPr>
              <w:t>2</w:t>
            </w:r>
            <w:r>
              <w:rPr>
                <w:rFonts w:hint="eastAsia"/>
              </w:rPr>
              <w:t>S、臭气浓度</w:t>
            </w:r>
          </w:p>
        </w:tc>
        <w:tc>
          <w:tcPr>
            <w:tcW w:w="1980" w:type="dxa"/>
            <w:vAlign w:val="center"/>
          </w:tcPr>
          <w:p w14:paraId="47D9B93D">
            <w:pPr>
              <w:spacing w:line="360" w:lineRule="auto"/>
              <w:jc w:val="center"/>
              <w:rPr>
                <w:rFonts w:hAnsi="宋体"/>
              </w:rPr>
            </w:pPr>
            <w:r>
              <w:rPr>
                <w:rFonts w:hint="eastAsia"/>
              </w:rPr>
              <w:t>通过集气罩收集，再经过两级活性炭（TA002）处理后，最终通过15m高排气筒（DA002）排放</w:t>
            </w:r>
          </w:p>
        </w:tc>
        <w:tc>
          <w:tcPr>
            <w:tcW w:w="1690" w:type="dxa"/>
            <w:tcBorders>
              <w:right w:val="single" w:color="auto" w:sz="4" w:space="0"/>
            </w:tcBorders>
            <w:vAlign w:val="center"/>
          </w:tcPr>
          <w:p w14:paraId="6E96BB0A">
            <w:pPr>
              <w:spacing w:line="360" w:lineRule="auto"/>
              <w:jc w:val="center"/>
            </w:pPr>
            <w:r>
              <w:rPr>
                <w:rFonts w:hint="eastAsia"/>
              </w:rPr>
              <w:t>《固定源挥发性有机物综合排放标准 第6部分：其他行业》（DB34/4812.6-2024）、《橡胶制品工业污染物排放标准》（GB27632-2011）、《恶臭污染物排放标准》（GB14554-93）</w:t>
            </w:r>
          </w:p>
        </w:tc>
      </w:tr>
      <w:tr w14:paraId="7E55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59" w:type="dxa"/>
            <w:vMerge w:val="continue"/>
            <w:tcBorders>
              <w:left w:val="single" w:color="auto" w:sz="4" w:space="0"/>
            </w:tcBorders>
            <w:vAlign w:val="center"/>
          </w:tcPr>
          <w:p w14:paraId="05830EDA">
            <w:pPr>
              <w:spacing w:line="360" w:lineRule="auto"/>
              <w:jc w:val="center"/>
            </w:pPr>
          </w:p>
        </w:tc>
        <w:tc>
          <w:tcPr>
            <w:tcW w:w="2663" w:type="dxa"/>
            <w:gridSpan w:val="2"/>
            <w:vAlign w:val="center"/>
          </w:tcPr>
          <w:p w14:paraId="731C02B0">
            <w:pPr>
              <w:spacing w:line="360" w:lineRule="auto"/>
              <w:jc w:val="center"/>
            </w:pPr>
            <w:r>
              <w:t>厂界无组织废气</w:t>
            </w:r>
          </w:p>
        </w:tc>
        <w:tc>
          <w:tcPr>
            <w:tcW w:w="1230" w:type="dxa"/>
            <w:vAlign w:val="center"/>
          </w:tcPr>
          <w:p w14:paraId="7B56F2EA">
            <w:pPr>
              <w:spacing w:line="360" w:lineRule="auto"/>
              <w:jc w:val="center"/>
            </w:pPr>
            <w:r>
              <w:rPr>
                <w:rFonts w:hint="eastAsia"/>
                <w:bCs/>
              </w:rPr>
              <w:t>非甲烷总烃、甲苯、二甲苯、四氯乙烯、H</w:t>
            </w:r>
            <w:r>
              <w:rPr>
                <w:rFonts w:hint="eastAsia"/>
                <w:bCs/>
                <w:vertAlign w:val="subscript"/>
              </w:rPr>
              <w:t>2</w:t>
            </w:r>
            <w:r>
              <w:rPr>
                <w:rFonts w:hint="eastAsia"/>
                <w:bCs/>
              </w:rPr>
              <w:t>S、臭气浓度</w:t>
            </w:r>
          </w:p>
        </w:tc>
        <w:tc>
          <w:tcPr>
            <w:tcW w:w="1980" w:type="dxa"/>
            <w:vAlign w:val="center"/>
          </w:tcPr>
          <w:p w14:paraId="442D314E">
            <w:pPr>
              <w:spacing w:line="360" w:lineRule="auto"/>
              <w:jc w:val="center"/>
            </w:pPr>
            <w:r>
              <w:rPr>
                <w:rFonts w:hint="eastAsia"/>
              </w:rPr>
              <w:t>/</w:t>
            </w:r>
          </w:p>
        </w:tc>
        <w:tc>
          <w:tcPr>
            <w:tcW w:w="1690" w:type="dxa"/>
            <w:tcBorders>
              <w:right w:val="single" w:color="auto" w:sz="4" w:space="0"/>
            </w:tcBorders>
            <w:vAlign w:val="center"/>
          </w:tcPr>
          <w:p w14:paraId="21C65C47">
            <w:pPr>
              <w:spacing w:line="360" w:lineRule="auto"/>
              <w:jc w:val="center"/>
            </w:pPr>
            <w:r>
              <w:rPr>
                <w:rFonts w:hint="eastAsia"/>
              </w:rPr>
              <w:t>《固定源挥发性有机物综合排放标准 第6部分：其他行业》（DB34/4812.6-2024）、《大气污染物综合排放标准》（GB16297-1996）、《恶臭污染物排放标准》（GB14554-93）</w:t>
            </w:r>
          </w:p>
        </w:tc>
      </w:tr>
      <w:tr w14:paraId="1155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59" w:type="dxa"/>
            <w:vMerge w:val="continue"/>
            <w:tcBorders>
              <w:left w:val="single" w:color="auto" w:sz="4" w:space="0"/>
            </w:tcBorders>
            <w:vAlign w:val="center"/>
          </w:tcPr>
          <w:p w14:paraId="5ED1BEB4">
            <w:pPr>
              <w:spacing w:line="360" w:lineRule="auto"/>
              <w:jc w:val="center"/>
            </w:pPr>
          </w:p>
        </w:tc>
        <w:tc>
          <w:tcPr>
            <w:tcW w:w="2663" w:type="dxa"/>
            <w:gridSpan w:val="2"/>
            <w:vAlign w:val="center"/>
          </w:tcPr>
          <w:p w14:paraId="79532618">
            <w:pPr>
              <w:spacing w:line="360" w:lineRule="auto"/>
              <w:jc w:val="center"/>
            </w:pPr>
            <w:r>
              <w:t>厂区内无组织废气</w:t>
            </w:r>
          </w:p>
        </w:tc>
        <w:tc>
          <w:tcPr>
            <w:tcW w:w="1230" w:type="dxa"/>
            <w:vAlign w:val="center"/>
          </w:tcPr>
          <w:p w14:paraId="0507936C">
            <w:pPr>
              <w:spacing w:line="360" w:lineRule="auto"/>
              <w:jc w:val="center"/>
            </w:pPr>
            <w:r>
              <w:t>非甲烷总烃</w:t>
            </w:r>
          </w:p>
        </w:tc>
        <w:tc>
          <w:tcPr>
            <w:tcW w:w="1980" w:type="dxa"/>
            <w:vAlign w:val="center"/>
          </w:tcPr>
          <w:p w14:paraId="1D82C43A">
            <w:pPr>
              <w:spacing w:line="360" w:lineRule="auto"/>
              <w:jc w:val="center"/>
            </w:pPr>
            <w:r>
              <w:rPr>
                <w:rFonts w:hint="eastAsia"/>
              </w:rPr>
              <w:t>/</w:t>
            </w:r>
          </w:p>
        </w:tc>
        <w:tc>
          <w:tcPr>
            <w:tcW w:w="1690" w:type="dxa"/>
            <w:tcBorders>
              <w:right w:val="single" w:color="auto" w:sz="4" w:space="0"/>
            </w:tcBorders>
            <w:vAlign w:val="center"/>
          </w:tcPr>
          <w:p w14:paraId="5A83752B">
            <w:pPr>
              <w:spacing w:line="360" w:lineRule="auto"/>
              <w:jc w:val="center"/>
            </w:pPr>
            <w:r>
              <w:rPr>
                <w:rFonts w:hint="eastAsia"/>
              </w:rPr>
              <w:t>《挥发性有机物无组织排放控制标准》（GB37822-2019）</w:t>
            </w:r>
          </w:p>
        </w:tc>
      </w:tr>
      <w:tr w14:paraId="09C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59" w:type="dxa"/>
            <w:tcBorders>
              <w:left w:val="single" w:color="auto" w:sz="4" w:space="0"/>
            </w:tcBorders>
            <w:vAlign w:val="center"/>
          </w:tcPr>
          <w:p w14:paraId="71D8769E">
            <w:pPr>
              <w:spacing w:line="360" w:lineRule="auto"/>
              <w:jc w:val="center"/>
            </w:pPr>
            <w:r>
              <w:rPr>
                <w:rFonts w:hAnsi="宋体"/>
              </w:rPr>
              <w:t>地表</w:t>
            </w:r>
          </w:p>
          <w:p w14:paraId="6FEE6A1C">
            <w:pPr>
              <w:spacing w:line="360" w:lineRule="auto"/>
              <w:jc w:val="center"/>
            </w:pPr>
            <w:r>
              <w:rPr>
                <w:rFonts w:hAnsi="宋体"/>
              </w:rPr>
              <w:t>水环境</w:t>
            </w:r>
          </w:p>
        </w:tc>
        <w:tc>
          <w:tcPr>
            <w:tcW w:w="2663" w:type="dxa"/>
            <w:gridSpan w:val="2"/>
            <w:vAlign w:val="center"/>
          </w:tcPr>
          <w:p w14:paraId="23AE3C16">
            <w:pPr>
              <w:spacing w:line="360" w:lineRule="auto"/>
              <w:jc w:val="center"/>
              <w:rPr>
                <w:rFonts w:hAnsi="宋体"/>
              </w:rPr>
            </w:pPr>
            <w:r>
              <w:rPr>
                <w:rFonts w:hint="eastAsia" w:hAnsi="宋体"/>
              </w:rPr>
              <w:t>生活污水</w:t>
            </w:r>
          </w:p>
        </w:tc>
        <w:tc>
          <w:tcPr>
            <w:tcW w:w="1230" w:type="dxa"/>
            <w:vAlign w:val="center"/>
          </w:tcPr>
          <w:p w14:paraId="745A2D9D">
            <w:pPr>
              <w:spacing w:line="360" w:lineRule="auto"/>
              <w:jc w:val="center"/>
            </w:pPr>
            <w:r>
              <w:t>COD</w:t>
            </w:r>
          </w:p>
          <w:p w14:paraId="521A9811">
            <w:pPr>
              <w:spacing w:line="360" w:lineRule="auto"/>
              <w:jc w:val="center"/>
            </w:pPr>
            <w:r>
              <w:t>BOD</w:t>
            </w:r>
            <w:r>
              <w:rPr>
                <w:vertAlign w:val="subscript"/>
              </w:rPr>
              <w:t>5</w:t>
            </w:r>
          </w:p>
          <w:p w14:paraId="3B046961">
            <w:pPr>
              <w:spacing w:line="360" w:lineRule="auto"/>
              <w:jc w:val="center"/>
            </w:pPr>
            <w:r>
              <w:t>SS</w:t>
            </w:r>
          </w:p>
          <w:p w14:paraId="322FE8AA">
            <w:pPr>
              <w:spacing w:line="360" w:lineRule="auto"/>
              <w:jc w:val="center"/>
            </w:pPr>
            <w:r>
              <w:t>NH</w:t>
            </w:r>
            <w:r>
              <w:rPr>
                <w:vertAlign w:val="subscript"/>
              </w:rPr>
              <w:t>3</w:t>
            </w:r>
            <w:r>
              <w:rPr>
                <w:rFonts w:hint="eastAsia"/>
              </w:rPr>
              <w:t>-N</w:t>
            </w:r>
          </w:p>
        </w:tc>
        <w:tc>
          <w:tcPr>
            <w:tcW w:w="1980" w:type="dxa"/>
            <w:vAlign w:val="center"/>
          </w:tcPr>
          <w:p w14:paraId="6DE16AAA">
            <w:pPr>
              <w:spacing w:line="360" w:lineRule="auto"/>
              <w:jc w:val="center"/>
            </w:pPr>
            <w:r>
              <w:rPr>
                <w:rFonts w:hint="eastAsia"/>
              </w:rPr>
              <w:t>生活污水经化粪池处理后满足淮南经济技术开发区工业污水处理厂接管限值后，排入淮南经济技术开发区工业污水处理厂处理</w:t>
            </w:r>
          </w:p>
        </w:tc>
        <w:tc>
          <w:tcPr>
            <w:tcW w:w="1690" w:type="dxa"/>
            <w:tcBorders>
              <w:right w:val="single" w:color="auto" w:sz="4" w:space="0"/>
            </w:tcBorders>
            <w:vAlign w:val="center"/>
          </w:tcPr>
          <w:p w14:paraId="03E830BB">
            <w:pPr>
              <w:spacing w:line="360" w:lineRule="auto"/>
              <w:jc w:val="center"/>
            </w:pPr>
            <w:r>
              <w:rPr>
                <w:rFonts w:hint="eastAsia"/>
              </w:rPr>
              <w:t>淮南经济技术开发区工业污水处理厂接管限值</w:t>
            </w:r>
          </w:p>
        </w:tc>
      </w:tr>
      <w:tr w14:paraId="2017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072D6AB5">
            <w:pPr>
              <w:spacing w:line="360" w:lineRule="auto"/>
              <w:jc w:val="center"/>
            </w:pPr>
            <w:r>
              <w:rPr>
                <w:rFonts w:hAnsi="宋体"/>
              </w:rPr>
              <w:t>声环境</w:t>
            </w:r>
          </w:p>
        </w:tc>
        <w:tc>
          <w:tcPr>
            <w:tcW w:w="2663" w:type="dxa"/>
            <w:gridSpan w:val="2"/>
            <w:vAlign w:val="center"/>
          </w:tcPr>
          <w:p w14:paraId="31EFD4A4">
            <w:pPr>
              <w:spacing w:line="360" w:lineRule="auto"/>
              <w:jc w:val="center"/>
            </w:pPr>
            <w:r>
              <w:rPr>
                <w:rFonts w:hAnsi="宋体"/>
              </w:rPr>
              <w:t>设备噪声</w:t>
            </w:r>
          </w:p>
        </w:tc>
        <w:tc>
          <w:tcPr>
            <w:tcW w:w="1230" w:type="dxa"/>
            <w:vAlign w:val="center"/>
          </w:tcPr>
          <w:p w14:paraId="5B489BB8">
            <w:pPr>
              <w:spacing w:line="360" w:lineRule="auto"/>
              <w:jc w:val="center"/>
            </w:pPr>
            <w:r>
              <w:rPr>
                <w:rFonts w:hint="eastAsia" w:hAnsi="宋体"/>
              </w:rPr>
              <w:t>噪声</w:t>
            </w:r>
          </w:p>
        </w:tc>
        <w:tc>
          <w:tcPr>
            <w:tcW w:w="1980" w:type="dxa"/>
            <w:vAlign w:val="center"/>
          </w:tcPr>
          <w:p w14:paraId="6CAC0770">
            <w:pPr>
              <w:spacing w:line="360" w:lineRule="auto"/>
              <w:jc w:val="center"/>
            </w:pPr>
            <w:r>
              <w:rPr>
                <w:rFonts w:hAnsi="宋体"/>
              </w:rPr>
              <w:t>隔声、消声、减振、绿化措施等</w:t>
            </w:r>
          </w:p>
        </w:tc>
        <w:tc>
          <w:tcPr>
            <w:tcW w:w="1690" w:type="dxa"/>
            <w:tcBorders>
              <w:right w:val="single" w:color="auto" w:sz="4" w:space="0"/>
            </w:tcBorders>
            <w:vAlign w:val="center"/>
          </w:tcPr>
          <w:p w14:paraId="5B61C677">
            <w:pPr>
              <w:spacing w:line="360" w:lineRule="auto"/>
              <w:jc w:val="center"/>
            </w:pPr>
            <w:r>
              <w:rPr>
                <w:rFonts w:hAnsi="宋体"/>
              </w:rPr>
              <w:t>《工业企业厂界环境噪声排放标准》（</w:t>
            </w:r>
            <w:r>
              <w:t>GB12348 –2008</w:t>
            </w:r>
            <w:r>
              <w:rPr>
                <w:rFonts w:hAnsi="宋体"/>
              </w:rPr>
              <w:t>）</w:t>
            </w:r>
            <w:r>
              <w:rPr>
                <w:rFonts w:hint="eastAsia"/>
              </w:rPr>
              <w:t>3</w:t>
            </w:r>
            <w:r>
              <w:rPr>
                <w:rFonts w:hAnsi="宋体"/>
              </w:rPr>
              <w:t>类标准</w:t>
            </w:r>
          </w:p>
        </w:tc>
      </w:tr>
      <w:tr w14:paraId="0CCB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74D858D2">
            <w:pPr>
              <w:spacing w:line="360" w:lineRule="auto"/>
              <w:jc w:val="center"/>
            </w:pPr>
            <w:r>
              <w:rPr>
                <w:rFonts w:hAnsi="宋体"/>
              </w:rPr>
              <w:t>电磁</w:t>
            </w:r>
          </w:p>
          <w:p w14:paraId="764435ED">
            <w:pPr>
              <w:spacing w:line="360" w:lineRule="auto"/>
              <w:jc w:val="center"/>
            </w:pPr>
            <w:r>
              <w:rPr>
                <w:rFonts w:hAnsi="宋体"/>
              </w:rPr>
              <w:t>辐射</w:t>
            </w:r>
          </w:p>
        </w:tc>
        <w:tc>
          <w:tcPr>
            <w:tcW w:w="2663" w:type="dxa"/>
            <w:gridSpan w:val="2"/>
            <w:vAlign w:val="center"/>
          </w:tcPr>
          <w:p w14:paraId="581F4BCF">
            <w:pPr>
              <w:spacing w:line="360" w:lineRule="auto"/>
              <w:jc w:val="center"/>
            </w:pPr>
            <w:r>
              <w:t>/</w:t>
            </w:r>
          </w:p>
        </w:tc>
        <w:tc>
          <w:tcPr>
            <w:tcW w:w="1230" w:type="dxa"/>
            <w:vAlign w:val="center"/>
          </w:tcPr>
          <w:p w14:paraId="4B9EBA8B">
            <w:pPr>
              <w:spacing w:line="360" w:lineRule="auto"/>
              <w:jc w:val="center"/>
            </w:pPr>
            <w:r>
              <w:t>/</w:t>
            </w:r>
          </w:p>
        </w:tc>
        <w:tc>
          <w:tcPr>
            <w:tcW w:w="1980" w:type="dxa"/>
            <w:vAlign w:val="center"/>
          </w:tcPr>
          <w:p w14:paraId="10CD6DE7">
            <w:pPr>
              <w:spacing w:line="360" w:lineRule="auto"/>
              <w:jc w:val="center"/>
            </w:pPr>
            <w:r>
              <w:t>/</w:t>
            </w:r>
          </w:p>
        </w:tc>
        <w:tc>
          <w:tcPr>
            <w:tcW w:w="1690" w:type="dxa"/>
            <w:tcBorders>
              <w:right w:val="single" w:color="auto" w:sz="4" w:space="0"/>
            </w:tcBorders>
            <w:vAlign w:val="center"/>
          </w:tcPr>
          <w:p w14:paraId="34DCDD56">
            <w:pPr>
              <w:spacing w:line="360" w:lineRule="auto"/>
              <w:jc w:val="center"/>
            </w:pPr>
            <w:r>
              <w:t>/</w:t>
            </w:r>
          </w:p>
        </w:tc>
      </w:tr>
      <w:tr w14:paraId="6BB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6A4C9EF0">
            <w:pPr>
              <w:spacing w:line="360" w:lineRule="auto"/>
              <w:jc w:val="center"/>
            </w:pPr>
            <w:r>
              <w:rPr>
                <w:rFonts w:hAnsi="宋体"/>
              </w:rPr>
              <w:t>固体</w:t>
            </w:r>
          </w:p>
          <w:p w14:paraId="5A6A2337">
            <w:pPr>
              <w:spacing w:line="360" w:lineRule="auto"/>
              <w:jc w:val="center"/>
            </w:pPr>
            <w:r>
              <w:rPr>
                <w:rFonts w:hAnsi="宋体"/>
              </w:rPr>
              <w:t>废物</w:t>
            </w:r>
          </w:p>
        </w:tc>
        <w:tc>
          <w:tcPr>
            <w:tcW w:w="7563" w:type="dxa"/>
            <w:gridSpan w:val="5"/>
            <w:tcBorders>
              <w:right w:val="single" w:color="auto" w:sz="4" w:space="0"/>
            </w:tcBorders>
            <w:vAlign w:val="center"/>
          </w:tcPr>
          <w:p w14:paraId="7AE6E8EF">
            <w:pPr>
              <w:spacing w:line="360" w:lineRule="auto"/>
              <w:jc w:val="left"/>
              <w:rPr>
                <w:rFonts w:hAnsi="宋体"/>
                <w:bCs/>
              </w:rPr>
            </w:pPr>
            <w:r>
              <w:rPr>
                <w:rFonts w:hAnsi="宋体"/>
                <w:b/>
              </w:rPr>
              <w:t>一般工业固体废物：</w:t>
            </w:r>
            <w:r>
              <w:rPr>
                <w:rFonts w:hAnsi="宋体"/>
                <w:bCs/>
              </w:rPr>
              <w:t>项目设置一座约</w:t>
            </w:r>
            <w:r>
              <w:rPr>
                <w:rFonts w:hint="eastAsia" w:hAnsi="宋体"/>
                <w:bCs/>
              </w:rPr>
              <w:t>5</w:t>
            </w:r>
            <w:r>
              <w:rPr>
                <w:rFonts w:hAnsi="宋体"/>
                <w:bCs/>
              </w:rPr>
              <w:t>0m</w:t>
            </w:r>
            <w:r>
              <w:rPr>
                <w:rFonts w:hAnsi="宋体"/>
                <w:bCs/>
                <w:vertAlign w:val="superscript"/>
              </w:rPr>
              <w:t>2</w:t>
            </w:r>
            <w:r>
              <w:rPr>
                <w:rFonts w:hAnsi="宋体"/>
                <w:bCs/>
              </w:rPr>
              <w:t>的一般固废暂存间</w:t>
            </w:r>
            <w:r>
              <w:rPr>
                <w:rFonts w:hint="eastAsia" w:hAnsi="宋体"/>
                <w:bCs/>
              </w:rPr>
              <w:t>，位于2楼北侧</w:t>
            </w:r>
            <w:r>
              <w:rPr>
                <w:rFonts w:hAnsi="宋体"/>
                <w:bCs/>
              </w:rPr>
              <w:t>。废包装材料</w:t>
            </w:r>
            <w:r>
              <w:rPr>
                <w:rFonts w:hint="eastAsia" w:hAnsi="宋体"/>
                <w:bCs/>
              </w:rPr>
              <w:t>、金属废边角料</w:t>
            </w:r>
            <w:r>
              <w:rPr>
                <w:rFonts w:hAnsi="宋体"/>
                <w:bCs/>
              </w:rPr>
              <w:t>、</w:t>
            </w:r>
            <w:r>
              <w:rPr>
                <w:rFonts w:hint="eastAsia" w:hAnsi="宋体"/>
                <w:bCs/>
              </w:rPr>
              <w:t>橡胶废边角料、废钢丸和除尘器收集的粉尘</w:t>
            </w:r>
            <w:r>
              <w:rPr>
                <w:rFonts w:hAnsi="宋体"/>
                <w:bCs/>
              </w:rPr>
              <w:t>收集后储存于一般固废暂存间，定期外售综合利用。</w:t>
            </w:r>
          </w:p>
          <w:p w14:paraId="5E9BB6ED">
            <w:pPr>
              <w:spacing w:line="360" w:lineRule="auto"/>
              <w:jc w:val="left"/>
              <w:rPr>
                <w:rFonts w:hAnsi="宋体"/>
                <w:bCs/>
              </w:rPr>
            </w:pPr>
            <w:r>
              <w:rPr>
                <w:rFonts w:hAnsi="宋体"/>
                <w:b/>
              </w:rPr>
              <w:t>危险废物：</w:t>
            </w:r>
            <w:r>
              <w:rPr>
                <w:rFonts w:hAnsi="宋体"/>
                <w:bCs/>
              </w:rPr>
              <w:t>项目设置一座约</w:t>
            </w:r>
            <w:r>
              <w:rPr>
                <w:rFonts w:hint="eastAsia" w:hAnsi="宋体"/>
                <w:bCs/>
              </w:rPr>
              <w:t>5</w:t>
            </w:r>
            <w:r>
              <w:rPr>
                <w:rFonts w:hAnsi="宋体"/>
                <w:bCs/>
              </w:rPr>
              <w:t>0m</w:t>
            </w:r>
            <w:r>
              <w:rPr>
                <w:rFonts w:hAnsi="宋体"/>
                <w:bCs/>
                <w:vertAlign w:val="superscript"/>
              </w:rPr>
              <w:t>2</w:t>
            </w:r>
            <w:r>
              <w:rPr>
                <w:rFonts w:hAnsi="宋体"/>
                <w:bCs/>
              </w:rPr>
              <w:t>的危废暂存间</w:t>
            </w:r>
            <w:r>
              <w:rPr>
                <w:rFonts w:hint="eastAsia" w:hAnsi="宋体"/>
                <w:bCs/>
              </w:rPr>
              <w:t>，位于2楼北侧</w:t>
            </w:r>
            <w:r>
              <w:rPr>
                <w:rFonts w:hAnsi="宋体"/>
                <w:bCs/>
              </w:rPr>
              <w:t>。</w:t>
            </w:r>
            <w:r>
              <w:rPr>
                <w:rFonts w:hint="eastAsia" w:hAnsi="宋体"/>
                <w:bCs/>
              </w:rPr>
              <w:t>振光废水清洗废液和废水、</w:t>
            </w:r>
            <w:r>
              <w:rPr>
                <w:rFonts w:hAnsi="宋体"/>
                <w:bCs/>
              </w:rPr>
              <w:t>含油抹布</w:t>
            </w:r>
            <w:r>
              <w:rPr>
                <w:rFonts w:hint="eastAsia" w:hAnsi="宋体"/>
                <w:bCs/>
              </w:rPr>
              <w:t>、槽渣、废脱模剂、废胶粘剂、废机油、废机油桶、废活性炭、废包装桶</w:t>
            </w:r>
            <w:r>
              <w:rPr>
                <w:rFonts w:hAnsi="宋体"/>
                <w:bCs/>
              </w:rPr>
              <w:t>收集后暂存于危废暂存间，定期委托有资质的单位处理</w:t>
            </w:r>
            <w:r>
              <w:rPr>
                <w:rFonts w:hint="eastAsia" w:hAnsi="宋体"/>
                <w:bCs/>
              </w:rPr>
              <w:t>。</w:t>
            </w:r>
          </w:p>
          <w:p w14:paraId="79F6F97B">
            <w:pPr>
              <w:spacing w:line="360" w:lineRule="auto"/>
              <w:jc w:val="left"/>
            </w:pPr>
            <w:r>
              <w:rPr>
                <w:rFonts w:hAnsi="宋体"/>
                <w:b/>
              </w:rPr>
              <w:t>生活垃圾：</w:t>
            </w:r>
            <w:r>
              <w:rPr>
                <w:rFonts w:hAnsi="宋体"/>
                <w:bCs/>
              </w:rPr>
              <w:t>企业产生的生活垃圾集中收集后，交由环卫部门清运</w:t>
            </w:r>
            <w:r>
              <w:rPr>
                <w:rFonts w:hint="eastAsia" w:hAnsi="宋体"/>
                <w:bCs/>
              </w:rPr>
              <w:t>。</w:t>
            </w:r>
          </w:p>
        </w:tc>
      </w:tr>
      <w:tr w14:paraId="5FD0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42B0E6DF">
            <w:pPr>
              <w:spacing w:line="360" w:lineRule="auto"/>
              <w:jc w:val="center"/>
            </w:pPr>
            <w:r>
              <w:rPr>
                <w:rFonts w:hAnsi="宋体"/>
              </w:rPr>
              <w:t>土壤及地下水污染防治措施</w:t>
            </w:r>
          </w:p>
        </w:tc>
        <w:tc>
          <w:tcPr>
            <w:tcW w:w="7563" w:type="dxa"/>
            <w:gridSpan w:val="5"/>
            <w:tcBorders>
              <w:right w:val="single" w:color="auto" w:sz="4" w:space="0"/>
            </w:tcBorders>
            <w:vAlign w:val="center"/>
          </w:tcPr>
          <w:p w14:paraId="54519BD4">
            <w:pPr>
              <w:spacing w:line="460" w:lineRule="exact"/>
            </w:pPr>
            <w:r>
              <w:rPr>
                <w:b/>
              </w:rPr>
              <w:t>重点防渗区：</w:t>
            </w:r>
            <w:r>
              <w:rPr>
                <w:rFonts w:hint="eastAsia"/>
                <w:bCs/>
              </w:rPr>
              <w:t>危废暂存间、</w:t>
            </w:r>
            <w:r>
              <w:rPr>
                <w:rFonts w:hint="eastAsia"/>
              </w:rPr>
              <w:t>抛丸区、清洗区、涂胶区、硫化注胶区和硫化配件区。危废暂存间防渗参照《危险废物贮存污染控制标准》（GB18597-2023）执行，</w:t>
            </w:r>
            <w:r>
              <w:rPr>
                <w:rFonts w:hAnsi="宋体"/>
              </w:rPr>
              <w:t>基础防渗层为黏土层时，其厚度应达</w:t>
            </w:r>
            <w:r>
              <w:t>1m</w:t>
            </w:r>
            <w:r>
              <w:rPr>
                <w:rFonts w:hAnsi="宋体"/>
              </w:rPr>
              <w:t>以上，渗透系数应小于</w:t>
            </w:r>
            <w:r>
              <w:t>10</w:t>
            </w:r>
            <w:r>
              <w:rPr>
                <w:vertAlign w:val="superscript"/>
              </w:rPr>
              <w:t>-7</w:t>
            </w:r>
            <w:r>
              <w:t>cm/s</w:t>
            </w:r>
            <w:r>
              <w:rPr>
                <w:rFonts w:hAnsi="宋体"/>
              </w:rPr>
              <w:t>；基础防渗层亦可用厚度</w:t>
            </w:r>
            <w:r>
              <w:t>2mm</w:t>
            </w:r>
            <w:r>
              <w:rPr>
                <w:rFonts w:hAnsi="宋体"/>
              </w:rPr>
              <w:t>以上的高密度聚乙烯和其他人工防渗材料组成，渗透系数应小于</w:t>
            </w:r>
            <w:r>
              <w:t>10</w:t>
            </w:r>
            <w:r>
              <w:rPr>
                <w:vertAlign w:val="superscript"/>
              </w:rPr>
              <w:t>-1</w:t>
            </w:r>
            <w:r>
              <w:rPr>
                <w:rFonts w:hint="eastAsia"/>
                <w:vertAlign w:val="superscript"/>
              </w:rPr>
              <w:t>0</w:t>
            </w:r>
            <w:r>
              <w:t>cm/s；</w:t>
            </w:r>
            <w:r>
              <w:rPr>
                <w:rFonts w:hint="eastAsia"/>
              </w:rPr>
              <w:t>抛丸区、清洗区、涂胶区、硫化注胶区和硫化配件区防渗参照</w:t>
            </w:r>
            <w:r>
              <w:t>《</w:t>
            </w:r>
            <w:r>
              <w:rPr>
                <w:rFonts w:hint="eastAsia"/>
              </w:rPr>
              <w:t>环境</w:t>
            </w:r>
            <w:r>
              <w:t>影响评价技术导则</w:t>
            </w:r>
            <w:r>
              <w:rPr>
                <w:rFonts w:hint="eastAsia"/>
              </w:rPr>
              <w:t xml:space="preserve"> 地下水环境</w:t>
            </w:r>
            <w:r>
              <w:t>》（</w:t>
            </w:r>
            <w:r>
              <w:rPr>
                <w:rFonts w:hint="eastAsia"/>
              </w:rPr>
              <w:t>HJ610 2016</w:t>
            </w:r>
            <w:r>
              <w:t>）</w:t>
            </w:r>
            <w:r>
              <w:rPr>
                <w:rFonts w:hint="eastAsia"/>
              </w:rPr>
              <w:t>执行，等效黏土防渗层 Mb≥6.0m，K≤1.0×</w:t>
            </w:r>
            <w:r>
              <w:t>10</w:t>
            </w:r>
            <w:r>
              <w:rPr>
                <w:vertAlign w:val="superscript"/>
              </w:rPr>
              <w:t>-7</w:t>
            </w:r>
            <w:r>
              <w:rPr>
                <w:rFonts w:hint="eastAsia"/>
              </w:rPr>
              <w:t>cm/s；</w:t>
            </w:r>
            <w:r>
              <w:t>基础防渗层亦可用厚度2mm以上的高密度聚乙烯和其他人工防渗材料组成，渗透系数应小于10</w:t>
            </w:r>
            <w:r>
              <w:rPr>
                <w:vertAlign w:val="superscript"/>
              </w:rPr>
              <w:t>-1</w:t>
            </w:r>
            <w:r>
              <w:rPr>
                <w:rFonts w:hint="eastAsia"/>
                <w:vertAlign w:val="superscript"/>
              </w:rPr>
              <w:t>0</w:t>
            </w:r>
            <w:r>
              <w:t>cm/s。具体可采用</w:t>
            </w:r>
            <w:r>
              <w:rPr>
                <w:rFonts w:hint="eastAsia"/>
              </w:rPr>
              <w:t>1</w:t>
            </w:r>
            <w:r>
              <w:t>5</w:t>
            </w:r>
            <w:r>
              <w:rPr>
                <w:rFonts w:hint="eastAsia"/>
              </w:rPr>
              <w:t>cm抗渗混凝土+</w:t>
            </w:r>
            <w:r>
              <w:t>2</w:t>
            </w:r>
            <w:r>
              <w:rPr>
                <w:rFonts w:hint="eastAsia"/>
              </w:rPr>
              <w:t>m</w:t>
            </w:r>
            <w:r>
              <w:t>mHDPE</w:t>
            </w:r>
            <w:r>
              <w:rPr>
                <w:rFonts w:hint="eastAsia"/>
              </w:rPr>
              <w:t>膜或更高防渗效率的措施进行防渗处理；</w:t>
            </w:r>
          </w:p>
          <w:p w14:paraId="728A72AF">
            <w:pPr>
              <w:spacing w:line="360" w:lineRule="auto"/>
            </w:pPr>
            <w:r>
              <w:rPr>
                <w:rFonts w:hint="eastAsia"/>
                <w:b/>
              </w:rPr>
              <w:t>一般防渗区：</w:t>
            </w:r>
            <w:r>
              <w:rPr>
                <w:rFonts w:hint="eastAsia" w:hAnsi="宋体"/>
              </w:rPr>
              <w:t>切割区、冲压区、焊接区、抛边区、原料区、冲压模具库区和焊接配件堆放区。一般防渗</w:t>
            </w:r>
            <w:r>
              <w:rPr>
                <w:rFonts w:hint="eastAsia"/>
              </w:rPr>
              <w:t>参照</w:t>
            </w:r>
            <w:r>
              <w:rPr>
                <w:rFonts w:hAnsi="Calibri"/>
              </w:rPr>
              <w:t>《</w:t>
            </w:r>
            <w:r>
              <w:rPr>
                <w:rFonts w:hint="eastAsia" w:hAnsi="Calibri"/>
              </w:rPr>
              <w:t>环境</w:t>
            </w:r>
            <w:r>
              <w:rPr>
                <w:rFonts w:hAnsi="Calibri"/>
              </w:rPr>
              <w:t>影响评价技术导则</w:t>
            </w:r>
            <w:r>
              <w:rPr>
                <w:rFonts w:hint="eastAsia" w:hAnsi="Calibri"/>
              </w:rPr>
              <w:t xml:space="preserve"> 地下水环境</w:t>
            </w:r>
            <w:r>
              <w:rPr>
                <w:rFonts w:hAnsi="Calibri"/>
              </w:rPr>
              <w:t>》（</w:t>
            </w:r>
            <w:r>
              <w:rPr>
                <w:rFonts w:hint="eastAsia"/>
              </w:rPr>
              <w:t>HJ610 2016</w:t>
            </w:r>
            <w:r>
              <w:rPr>
                <w:rFonts w:hAnsi="Calibri"/>
              </w:rPr>
              <w:t>）</w:t>
            </w:r>
            <w:r>
              <w:rPr>
                <w:rFonts w:hint="eastAsia"/>
              </w:rPr>
              <w:t>执行，防渗层为至少等效黏土防渗层 Mb≥6.0m，K≤1.0×</w:t>
            </w:r>
            <w:r>
              <w:t>10</w:t>
            </w:r>
            <w:r>
              <w:rPr>
                <w:vertAlign w:val="superscript"/>
              </w:rPr>
              <w:t>-7</w:t>
            </w:r>
            <w:r>
              <w:rPr>
                <w:rFonts w:hint="eastAsia"/>
              </w:rPr>
              <w:t>cm/s，具体可采用1</w:t>
            </w:r>
            <w:r>
              <w:t>5</w:t>
            </w:r>
            <w:r>
              <w:rPr>
                <w:rFonts w:hint="eastAsia"/>
              </w:rPr>
              <w:t>cm抗渗混凝土或更高防渗效率的措施进行防渗处理。</w:t>
            </w:r>
          </w:p>
          <w:p w14:paraId="0AE126E2">
            <w:pPr>
              <w:spacing w:line="360" w:lineRule="auto"/>
            </w:pPr>
            <w:r>
              <w:rPr>
                <w:rFonts w:hint="eastAsia"/>
              </w:rPr>
              <w:t>除重点防渗、一般防渗外的其他区域。</w:t>
            </w:r>
          </w:p>
        </w:tc>
      </w:tr>
      <w:tr w14:paraId="344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3D4EBF20">
            <w:pPr>
              <w:spacing w:line="360" w:lineRule="auto"/>
              <w:jc w:val="center"/>
            </w:pPr>
            <w:r>
              <w:rPr>
                <w:rFonts w:hAnsi="宋体"/>
              </w:rPr>
              <w:t>生态保护措施</w:t>
            </w:r>
          </w:p>
        </w:tc>
        <w:tc>
          <w:tcPr>
            <w:tcW w:w="7563" w:type="dxa"/>
            <w:gridSpan w:val="5"/>
            <w:tcBorders>
              <w:right w:val="single" w:color="auto" w:sz="4" w:space="0"/>
            </w:tcBorders>
            <w:vAlign w:val="center"/>
          </w:tcPr>
          <w:p w14:paraId="0F9A2362">
            <w:pPr>
              <w:spacing w:line="360" w:lineRule="auto"/>
              <w:jc w:val="left"/>
            </w:pPr>
            <w:r>
              <w:rPr>
                <w:rFonts w:hAnsi="宋体"/>
              </w:rPr>
              <w:t>本项目所属用地为工业用地，区域内无珍稀动物、植物，无文物古迹保护对象，对区域内生态环境产生破坏和影响较小。</w:t>
            </w:r>
          </w:p>
        </w:tc>
      </w:tr>
      <w:tr w14:paraId="419D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tcBorders>
            <w:vAlign w:val="center"/>
          </w:tcPr>
          <w:p w14:paraId="37556A94">
            <w:pPr>
              <w:spacing w:line="360" w:lineRule="auto"/>
              <w:jc w:val="center"/>
            </w:pPr>
            <w:r>
              <w:rPr>
                <w:rFonts w:hAnsi="宋体"/>
              </w:rPr>
              <w:t>环境风险防范措施</w:t>
            </w:r>
          </w:p>
        </w:tc>
        <w:tc>
          <w:tcPr>
            <w:tcW w:w="7563" w:type="dxa"/>
            <w:gridSpan w:val="5"/>
            <w:tcBorders>
              <w:right w:val="single" w:color="auto" w:sz="4" w:space="0"/>
            </w:tcBorders>
            <w:vAlign w:val="center"/>
          </w:tcPr>
          <w:p w14:paraId="02B63B3C">
            <w:pPr>
              <w:pStyle w:val="32"/>
              <w:spacing w:line="360" w:lineRule="auto"/>
              <w:jc w:val="both"/>
              <w:rPr>
                <w:bCs/>
                <w:color w:val="auto"/>
              </w:rPr>
            </w:pPr>
            <w:r>
              <w:rPr>
                <w:rFonts w:hint="eastAsia"/>
                <w:bCs/>
                <w:color w:val="auto"/>
              </w:rPr>
              <w:t>危废暂存库内设置多个集液池（不小于0.5m</w:t>
            </w:r>
            <w:r>
              <w:rPr>
                <w:rFonts w:hint="eastAsia"/>
                <w:bCs/>
                <w:color w:val="auto"/>
                <w:vertAlign w:val="superscript"/>
              </w:rPr>
              <w:t>3</w:t>
            </w:r>
            <w:r>
              <w:rPr>
                <w:rFonts w:hint="eastAsia"/>
                <w:bCs/>
                <w:color w:val="auto"/>
              </w:rPr>
              <w:t>）；</w:t>
            </w:r>
          </w:p>
          <w:p w14:paraId="3A751A79">
            <w:pPr>
              <w:pStyle w:val="32"/>
              <w:spacing w:line="360" w:lineRule="auto"/>
              <w:jc w:val="both"/>
              <w:rPr>
                <w:bCs/>
                <w:color w:val="auto"/>
              </w:rPr>
            </w:pPr>
            <w:r>
              <w:rPr>
                <w:rFonts w:hint="eastAsia"/>
                <w:bCs/>
                <w:color w:val="auto"/>
              </w:rPr>
              <w:t>本项目在实施后应尽快启动应急预案的编制工作。</w:t>
            </w:r>
          </w:p>
        </w:tc>
      </w:tr>
      <w:tr w14:paraId="499B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4" w:space="0"/>
              <w:bottom w:val="single" w:color="auto" w:sz="4" w:space="0"/>
              <w:right w:val="single" w:color="auto" w:sz="4" w:space="0"/>
            </w:tcBorders>
            <w:vAlign w:val="center"/>
          </w:tcPr>
          <w:p w14:paraId="50D44F7D">
            <w:pPr>
              <w:spacing w:line="360" w:lineRule="auto"/>
              <w:jc w:val="center"/>
            </w:pPr>
            <w:r>
              <w:rPr>
                <w:rFonts w:hAnsi="宋体"/>
              </w:rPr>
              <w:t>其他环境管理要求</w:t>
            </w:r>
          </w:p>
        </w:tc>
        <w:tc>
          <w:tcPr>
            <w:tcW w:w="7563" w:type="dxa"/>
            <w:gridSpan w:val="5"/>
            <w:tcBorders>
              <w:left w:val="single" w:color="auto" w:sz="4" w:space="0"/>
              <w:bottom w:val="single" w:color="auto" w:sz="4" w:space="0"/>
              <w:right w:val="single" w:color="auto" w:sz="4" w:space="0"/>
            </w:tcBorders>
            <w:vAlign w:val="center"/>
          </w:tcPr>
          <w:p w14:paraId="6C940ED6">
            <w:pPr>
              <w:pStyle w:val="32"/>
              <w:adjustRightInd/>
              <w:spacing w:line="360" w:lineRule="auto"/>
              <w:rPr>
                <w:color w:val="auto"/>
              </w:rPr>
            </w:pPr>
            <w:r>
              <w:rPr>
                <w:rFonts w:hAnsi="宋体"/>
                <w:color w:val="auto"/>
              </w:rPr>
              <w:t>项目需遵守下列要求：</w:t>
            </w:r>
          </w:p>
          <w:p w14:paraId="15838F82">
            <w:pPr>
              <w:spacing w:line="360" w:lineRule="auto"/>
              <w:ind w:firstLine="480" w:firstLineChars="200"/>
            </w:pPr>
            <w:r>
              <w:rPr>
                <w:rFonts w:hAnsi="宋体"/>
              </w:rPr>
              <w:t>（</w:t>
            </w:r>
            <w:r>
              <w:t>1</w:t>
            </w:r>
            <w:r>
              <w:rPr>
                <w:rFonts w:hAnsi="宋体"/>
              </w:rPr>
              <w:t>）项目实际的生产地点、主要生产单元、生产工艺、生产设施、污染防治设施应与排污许可证相符，实际情况与排污许可证载明的规模、参数等信息基本相符。</w:t>
            </w:r>
          </w:p>
          <w:p w14:paraId="6217238D">
            <w:pPr>
              <w:spacing w:line="360" w:lineRule="auto"/>
              <w:ind w:firstLine="480" w:firstLineChars="200"/>
            </w:pPr>
            <w:r>
              <w:rPr>
                <w:rFonts w:hAnsi="宋体"/>
              </w:rPr>
              <w:t>（</w:t>
            </w:r>
            <w:r>
              <w:t>2</w:t>
            </w:r>
            <w:r>
              <w:rPr>
                <w:rFonts w:hAnsi="宋体"/>
              </w:rPr>
              <w:t>）企业应强化对环保设施运行监督、管理的职能，建立完善的环保设施运行、维护、维修等技术档案，以及加强对环保设施操作人员的技术培训，确保环保设施处于正常运行情况。</w:t>
            </w:r>
          </w:p>
          <w:p w14:paraId="35899C37">
            <w:pPr>
              <w:spacing w:line="360" w:lineRule="auto"/>
              <w:ind w:firstLine="480" w:firstLineChars="200"/>
              <w:rPr>
                <w:rFonts w:hAnsi="宋体"/>
              </w:rPr>
            </w:pPr>
            <w:r>
              <w:rPr>
                <w:rFonts w:hAnsi="宋体"/>
              </w:rPr>
              <w:t>（</w:t>
            </w:r>
            <w:r>
              <w:t>3</w:t>
            </w:r>
            <w:r>
              <w:rPr>
                <w:rFonts w:hAnsi="宋体"/>
              </w:rPr>
              <w:t>）应</w:t>
            </w:r>
            <w:r>
              <w:rPr>
                <w:rFonts w:hint="eastAsia" w:hAnsi="宋体"/>
              </w:rPr>
              <w:t>参照</w:t>
            </w:r>
            <w:r>
              <w:rPr>
                <w:rFonts w:hint="eastAsia"/>
              </w:rPr>
              <w:t>《排污单位自行监测技术指南总则》（HJ819-2017）、《排污许可证申请与核发技术规范 汽车制造业》（HJ971-2018）、《排污单位自行监测技术指南 涂装》（HJ 1086-2020）和《排污单位自行监测技术指南 橡胶和塑料制品》（HJ 1207-2021）</w:t>
            </w:r>
            <w:r>
              <w:rPr>
                <w:rFonts w:hAnsi="宋体"/>
              </w:rPr>
              <w:t>中的要求落实运营期自行监测计划，主动公开项目环评文件和验收报告，接受社会监督。</w:t>
            </w:r>
          </w:p>
          <w:p w14:paraId="15FEA2EC">
            <w:pPr>
              <w:spacing w:line="360" w:lineRule="auto"/>
              <w:ind w:firstLine="480" w:firstLineChars="200"/>
              <w:rPr>
                <w:rFonts w:hAnsi="宋体"/>
              </w:rPr>
            </w:pPr>
          </w:p>
          <w:p w14:paraId="3E93E26D">
            <w:pPr>
              <w:spacing w:line="360" w:lineRule="auto"/>
              <w:ind w:firstLine="480" w:firstLineChars="200"/>
              <w:rPr>
                <w:rFonts w:hAnsi="宋体"/>
              </w:rPr>
            </w:pPr>
          </w:p>
          <w:p w14:paraId="7E4303F0">
            <w:pPr>
              <w:spacing w:line="360" w:lineRule="auto"/>
              <w:ind w:firstLine="480" w:firstLineChars="200"/>
              <w:rPr>
                <w:rFonts w:hAnsi="宋体"/>
              </w:rPr>
            </w:pPr>
          </w:p>
          <w:p w14:paraId="5EF57EC4">
            <w:pPr>
              <w:spacing w:line="360" w:lineRule="auto"/>
              <w:ind w:firstLine="480" w:firstLineChars="200"/>
              <w:rPr>
                <w:rFonts w:hAnsi="宋体"/>
              </w:rPr>
            </w:pPr>
          </w:p>
          <w:p w14:paraId="1AF639EE">
            <w:pPr>
              <w:spacing w:line="360" w:lineRule="auto"/>
              <w:ind w:firstLine="480" w:firstLineChars="200"/>
              <w:rPr>
                <w:rFonts w:hAnsi="宋体"/>
              </w:rPr>
            </w:pPr>
          </w:p>
          <w:p w14:paraId="0445F0D0">
            <w:pPr>
              <w:spacing w:line="360" w:lineRule="auto"/>
              <w:ind w:firstLine="480" w:firstLineChars="200"/>
              <w:rPr>
                <w:rFonts w:hAnsi="宋体"/>
              </w:rPr>
            </w:pPr>
          </w:p>
          <w:p w14:paraId="5A9C3ED6">
            <w:pPr>
              <w:spacing w:line="360" w:lineRule="auto"/>
              <w:ind w:firstLine="480" w:firstLineChars="200"/>
              <w:rPr>
                <w:rFonts w:hAnsi="宋体"/>
              </w:rPr>
            </w:pPr>
          </w:p>
          <w:p w14:paraId="0F407230">
            <w:pPr>
              <w:spacing w:line="360" w:lineRule="auto"/>
              <w:ind w:firstLine="480" w:firstLineChars="200"/>
              <w:rPr>
                <w:rFonts w:hAnsi="宋体"/>
              </w:rPr>
            </w:pPr>
          </w:p>
          <w:p w14:paraId="12175AEF">
            <w:pPr>
              <w:spacing w:line="360" w:lineRule="auto"/>
              <w:ind w:firstLine="480" w:firstLineChars="200"/>
              <w:rPr>
                <w:rFonts w:hAnsi="宋体"/>
              </w:rPr>
            </w:pPr>
          </w:p>
          <w:p w14:paraId="24DDBECA">
            <w:pPr>
              <w:spacing w:line="360" w:lineRule="auto"/>
              <w:ind w:firstLine="480" w:firstLineChars="200"/>
              <w:rPr>
                <w:rFonts w:hAnsi="宋体"/>
              </w:rPr>
            </w:pPr>
          </w:p>
          <w:p w14:paraId="72D5B8E8">
            <w:pPr>
              <w:spacing w:line="360" w:lineRule="auto"/>
              <w:rPr>
                <w:rFonts w:hAnsi="宋体"/>
              </w:rPr>
            </w:pPr>
          </w:p>
          <w:p w14:paraId="404A5ABE">
            <w:pPr>
              <w:spacing w:line="360" w:lineRule="auto"/>
              <w:rPr>
                <w:rFonts w:hAnsi="宋体"/>
              </w:rPr>
            </w:pPr>
          </w:p>
          <w:p w14:paraId="24F553B2">
            <w:pPr>
              <w:spacing w:line="360" w:lineRule="auto"/>
              <w:rPr>
                <w:rFonts w:hAnsi="宋体"/>
              </w:rPr>
            </w:pPr>
          </w:p>
        </w:tc>
      </w:tr>
    </w:tbl>
    <w:p w14:paraId="7FD49434"/>
    <w:p w14:paraId="7C532A49">
      <w:pPr>
        <w:jc w:val="center"/>
        <w:rPr>
          <w:rFonts w:ascii="黑体" w:hAnsi="黑体" w:eastAsia="黑体"/>
          <w:sz w:val="30"/>
          <w:szCs w:val="30"/>
        </w:rPr>
      </w:pPr>
      <w:r>
        <w:rPr>
          <w:rFonts w:ascii="黑体" w:hAnsi="黑体" w:eastAsia="黑体"/>
          <w:sz w:val="30"/>
          <w:szCs w:val="30"/>
        </w:rPr>
        <w:t>六、结论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9A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E98C19">
            <w:pPr>
              <w:spacing w:line="360" w:lineRule="auto"/>
              <w:ind w:firstLine="480" w:firstLineChars="200"/>
              <w:rPr>
                <w:rFonts w:asciiTheme="minorEastAsia" w:hAnsiTheme="minorEastAsia"/>
              </w:rPr>
            </w:pPr>
            <w:r>
              <w:rPr>
                <w:rFonts w:asciiTheme="minorEastAsia" w:hAnsiTheme="minorEastAsia"/>
              </w:rPr>
              <w:t>本评价报告认为</w:t>
            </w:r>
            <w:r>
              <w:rPr>
                <w:rFonts w:hint="eastAsia" w:asciiTheme="minorEastAsia" w:hAnsiTheme="minorEastAsia"/>
              </w:rPr>
              <w:t>，</w:t>
            </w:r>
            <w:r>
              <w:rPr>
                <w:rFonts w:hint="eastAsia"/>
              </w:rPr>
              <w:t>安徽集杰汽车零部件制造有限公司汽车悬挂系统及支臂总成制造基地项目</w:t>
            </w:r>
            <w:r>
              <w:rPr>
                <w:rFonts w:asciiTheme="minorEastAsia" w:hAnsiTheme="minorEastAsia"/>
              </w:rPr>
              <w:t>的</w:t>
            </w:r>
            <w:r>
              <w:rPr>
                <w:rFonts w:hint="eastAsia" w:asciiTheme="minorEastAsia" w:hAnsiTheme="minorEastAsia"/>
              </w:rPr>
              <w:t>建设符合国家及地方产业政策要求，厂址符合规划要求，选址恰当，布局基本合理；建设单位在严格执行我国建设项目环境保护“三同时”制度、对各项污染防治措施切实逐项予以落实、并加强生产和污染治理设施的运行管理、保证各种污染物达标排放的前提下，本项目对周围环境质量影响不显著，因而从环境保护的角度而言，项目建设是可行的。</w:t>
            </w:r>
          </w:p>
          <w:p w14:paraId="1404735A">
            <w:pPr>
              <w:spacing w:line="360" w:lineRule="auto"/>
              <w:rPr>
                <w:color w:val="FF0000"/>
                <w:sz w:val="20"/>
              </w:rPr>
            </w:pPr>
          </w:p>
          <w:p w14:paraId="62701CF7">
            <w:pPr>
              <w:spacing w:line="360" w:lineRule="auto"/>
              <w:rPr>
                <w:color w:val="FF0000"/>
                <w:sz w:val="20"/>
              </w:rPr>
            </w:pPr>
          </w:p>
          <w:p w14:paraId="057CD75C">
            <w:pPr>
              <w:spacing w:line="360" w:lineRule="auto"/>
              <w:rPr>
                <w:color w:val="FF0000"/>
                <w:sz w:val="20"/>
              </w:rPr>
            </w:pPr>
          </w:p>
          <w:p w14:paraId="61B4885A">
            <w:pPr>
              <w:spacing w:line="360" w:lineRule="auto"/>
              <w:rPr>
                <w:color w:val="FF0000"/>
                <w:sz w:val="20"/>
              </w:rPr>
            </w:pPr>
          </w:p>
          <w:p w14:paraId="0006EA0A">
            <w:pPr>
              <w:spacing w:line="360" w:lineRule="auto"/>
              <w:rPr>
                <w:color w:val="FF0000"/>
                <w:sz w:val="20"/>
              </w:rPr>
            </w:pPr>
          </w:p>
          <w:p w14:paraId="14688453">
            <w:pPr>
              <w:spacing w:line="360" w:lineRule="auto"/>
              <w:rPr>
                <w:color w:val="FF0000"/>
                <w:sz w:val="20"/>
              </w:rPr>
            </w:pPr>
          </w:p>
          <w:p w14:paraId="74ABF1EA">
            <w:pPr>
              <w:spacing w:line="360" w:lineRule="auto"/>
              <w:rPr>
                <w:color w:val="FF0000"/>
                <w:sz w:val="20"/>
              </w:rPr>
            </w:pPr>
          </w:p>
          <w:p w14:paraId="7FB6993B">
            <w:pPr>
              <w:spacing w:line="360" w:lineRule="auto"/>
              <w:rPr>
                <w:color w:val="FF0000"/>
                <w:sz w:val="20"/>
              </w:rPr>
            </w:pPr>
          </w:p>
          <w:p w14:paraId="47CA5862">
            <w:pPr>
              <w:spacing w:line="360" w:lineRule="auto"/>
              <w:rPr>
                <w:color w:val="FF0000"/>
                <w:sz w:val="20"/>
              </w:rPr>
            </w:pPr>
          </w:p>
          <w:p w14:paraId="2AD43524">
            <w:pPr>
              <w:spacing w:line="360" w:lineRule="auto"/>
              <w:rPr>
                <w:color w:val="FF0000"/>
                <w:sz w:val="20"/>
              </w:rPr>
            </w:pPr>
          </w:p>
          <w:p w14:paraId="3D6CE9ED">
            <w:pPr>
              <w:spacing w:line="360" w:lineRule="auto"/>
              <w:rPr>
                <w:color w:val="FF0000"/>
                <w:sz w:val="20"/>
              </w:rPr>
            </w:pPr>
          </w:p>
          <w:p w14:paraId="66A1835D">
            <w:pPr>
              <w:spacing w:line="360" w:lineRule="auto"/>
              <w:rPr>
                <w:color w:val="FF0000"/>
                <w:sz w:val="20"/>
              </w:rPr>
            </w:pPr>
          </w:p>
          <w:p w14:paraId="21F54216">
            <w:pPr>
              <w:spacing w:line="360" w:lineRule="auto"/>
              <w:rPr>
                <w:color w:val="FF0000"/>
                <w:sz w:val="20"/>
              </w:rPr>
            </w:pPr>
          </w:p>
          <w:p w14:paraId="79E416CE">
            <w:pPr>
              <w:spacing w:line="360" w:lineRule="auto"/>
              <w:rPr>
                <w:color w:val="FF0000"/>
                <w:sz w:val="20"/>
              </w:rPr>
            </w:pPr>
          </w:p>
          <w:p w14:paraId="0DB3A255">
            <w:pPr>
              <w:spacing w:line="360" w:lineRule="auto"/>
              <w:rPr>
                <w:color w:val="FF0000"/>
                <w:sz w:val="20"/>
              </w:rPr>
            </w:pPr>
          </w:p>
          <w:p w14:paraId="34D5E23D">
            <w:pPr>
              <w:spacing w:line="360" w:lineRule="auto"/>
              <w:rPr>
                <w:color w:val="FF0000"/>
                <w:sz w:val="20"/>
              </w:rPr>
            </w:pPr>
          </w:p>
          <w:p w14:paraId="10BDBD7D">
            <w:pPr>
              <w:spacing w:line="360" w:lineRule="auto"/>
              <w:rPr>
                <w:color w:val="FF0000"/>
                <w:sz w:val="20"/>
              </w:rPr>
            </w:pPr>
          </w:p>
          <w:p w14:paraId="7235E2C8">
            <w:pPr>
              <w:spacing w:line="360" w:lineRule="auto"/>
              <w:rPr>
                <w:color w:val="FF0000"/>
                <w:sz w:val="20"/>
              </w:rPr>
            </w:pPr>
          </w:p>
          <w:p w14:paraId="74B55D95">
            <w:pPr>
              <w:spacing w:line="360" w:lineRule="auto"/>
              <w:rPr>
                <w:color w:val="FF0000"/>
                <w:sz w:val="20"/>
              </w:rPr>
            </w:pPr>
          </w:p>
          <w:p w14:paraId="09C530A8">
            <w:pPr>
              <w:spacing w:line="360" w:lineRule="auto"/>
              <w:rPr>
                <w:color w:val="FF0000"/>
                <w:sz w:val="20"/>
              </w:rPr>
            </w:pPr>
          </w:p>
          <w:p w14:paraId="03568294">
            <w:pPr>
              <w:spacing w:line="360" w:lineRule="auto"/>
              <w:rPr>
                <w:color w:val="FF0000"/>
                <w:sz w:val="20"/>
              </w:rPr>
            </w:pPr>
          </w:p>
          <w:p w14:paraId="506D55E7">
            <w:pPr>
              <w:spacing w:line="360" w:lineRule="auto"/>
              <w:rPr>
                <w:color w:val="FF0000"/>
                <w:sz w:val="20"/>
              </w:rPr>
            </w:pPr>
          </w:p>
        </w:tc>
      </w:tr>
    </w:tbl>
    <w:p w14:paraId="6D53206B">
      <w:pPr>
        <w:rPr>
          <w:color w:val="FF0000"/>
        </w:rPr>
        <w:sectPr>
          <w:pgSz w:w="11906" w:h="16838"/>
          <w:pgMar w:top="1440" w:right="1800" w:bottom="1440" w:left="1800" w:header="851" w:footer="992" w:gutter="0"/>
          <w:cols w:space="425" w:num="1"/>
          <w:docGrid w:type="lines" w:linePitch="312" w:charSpace="0"/>
        </w:sectPr>
      </w:pPr>
    </w:p>
    <w:p w14:paraId="3608593A">
      <w:r>
        <w:rPr>
          <w:rFonts w:hint="eastAsia"/>
        </w:rPr>
        <w:t>附表</w:t>
      </w:r>
    </w:p>
    <w:p w14:paraId="4ED56343">
      <w:pPr>
        <w:spacing w:line="360" w:lineRule="auto"/>
        <w:jc w:val="center"/>
        <w:rPr>
          <w:rFonts w:ascii="黑体" w:hAnsi="黑体" w:eastAsia="黑体"/>
          <w:sz w:val="28"/>
          <w:szCs w:val="28"/>
        </w:rPr>
      </w:pPr>
      <w:r>
        <w:rPr>
          <w:rFonts w:hint="eastAsia" w:ascii="黑体" w:hAnsi="黑体" w:eastAsia="黑体"/>
          <w:sz w:val="28"/>
          <w:szCs w:val="28"/>
        </w:rPr>
        <w:t>建设项目污染物排放量汇总表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759"/>
        <w:gridCol w:w="1376"/>
        <w:gridCol w:w="1675"/>
        <w:gridCol w:w="1675"/>
        <w:gridCol w:w="1675"/>
        <w:gridCol w:w="1675"/>
        <w:gridCol w:w="1675"/>
        <w:gridCol w:w="1623"/>
      </w:tblGrid>
      <w:tr w14:paraId="1032A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611FA762">
            <w:pPr>
              <w:spacing w:line="276" w:lineRule="auto"/>
              <w:jc w:val="center"/>
              <w:rPr>
                <w:b/>
                <w:sz w:val="21"/>
                <w:szCs w:val="21"/>
              </w:rPr>
            </w:pPr>
            <w:r>
              <w:rPr>
                <w:rFonts w:hAnsi="宋体"/>
                <w:b/>
                <w:sz w:val="21"/>
                <w:szCs w:val="21"/>
              </w:rPr>
              <w:t>项目分类</w:t>
            </w:r>
          </w:p>
        </w:tc>
        <w:tc>
          <w:tcPr>
            <w:tcW w:w="620" w:type="pct"/>
            <w:vAlign w:val="center"/>
          </w:tcPr>
          <w:p w14:paraId="2B5940C6">
            <w:pPr>
              <w:spacing w:line="276" w:lineRule="auto"/>
              <w:jc w:val="center"/>
              <w:rPr>
                <w:b/>
                <w:sz w:val="21"/>
                <w:szCs w:val="21"/>
              </w:rPr>
            </w:pPr>
            <w:r>
              <w:rPr>
                <w:rFonts w:hAnsi="宋体"/>
                <w:b/>
                <w:sz w:val="21"/>
                <w:szCs w:val="21"/>
              </w:rPr>
              <w:t>污染物名称</w:t>
            </w:r>
          </w:p>
        </w:tc>
        <w:tc>
          <w:tcPr>
            <w:tcW w:w="485" w:type="pct"/>
            <w:vAlign w:val="center"/>
          </w:tcPr>
          <w:p w14:paraId="526AA5DA">
            <w:pPr>
              <w:spacing w:line="276" w:lineRule="auto"/>
              <w:jc w:val="center"/>
              <w:rPr>
                <w:b/>
                <w:sz w:val="21"/>
                <w:szCs w:val="21"/>
              </w:rPr>
            </w:pPr>
            <w:r>
              <w:rPr>
                <w:rFonts w:hAnsi="宋体"/>
                <w:b/>
                <w:sz w:val="21"/>
                <w:szCs w:val="21"/>
              </w:rPr>
              <w:t>现有工程排放量（固体废物产生量）①</w:t>
            </w:r>
          </w:p>
        </w:tc>
        <w:tc>
          <w:tcPr>
            <w:tcW w:w="590" w:type="pct"/>
            <w:vAlign w:val="center"/>
          </w:tcPr>
          <w:p w14:paraId="201E80F5">
            <w:pPr>
              <w:spacing w:line="276" w:lineRule="auto"/>
              <w:jc w:val="center"/>
              <w:rPr>
                <w:b/>
                <w:sz w:val="21"/>
                <w:szCs w:val="21"/>
              </w:rPr>
            </w:pPr>
            <w:r>
              <w:rPr>
                <w:rFonts w:hAnsi="宋体"/>
                <w:b/>
                <w:sz w:val="21"/>
                <w:szCs w:val="21"/>
              </w:rPr>
              <w:t>现有工程许可排放量②</w:t>
            </w:r>
          </w:p>
        </w:tc>
        <w:tc>
          <w:tcPr>
            <w:tcW w:w="590" w:type="pct"/>
            <w:vAlign w:val="center"/>
          </w:tcPr>
          <w:p w14:paraId="76EA7935">
            <w:pPr>
              <w:spacing w:line="276" w:lineRule="auto"/>
              <w:jc w:val="center"/>
              <w:rPr>
                <w:b/>
                <w:sz w:val="21"/>
                <w:szCs w:val="21"/>
              </w:rPr>
            </w:pPr>
            <w:r>
              <w:rPr>
                <w:rFonts w:hAnsi="宋体"/>
                <w:b/>
                <w:sz w:val="21"/>
                <w:szCs w:val="21"/>
              </w:rPr>
              <w:t>在建工程排放量③</w:t>
            </w:r>
          </w:p>
        </w:tc>
        <w:tc>
          <w:tcPr>
            <w:tcW w:w="590" w:type="pct"/>
            <w:vAlign w:val="center"/>
          </w:tcPr>
          <w:p w14:paraId="25124F36">
            <w:pPr>
              <w:spacing w:line="276" w:lineRule="auto"/>
              <w:jc w:val="center"/>
              <w:rPr>
                <w:b/>
                <w:sz w:val="21"/>
                <w:szCs w:val="21"/>
              </w:rPr>
            </w:pPr>
            <w:r>
              <w:rPr>
                <w:rFonts w:hAnsi="宋体"/>
                <w:b/>
                <w:sz w:val="21"/>
                <w:szCs w:val="21"/>
              </w:rPr>
              <w:t>本项目排放量（固体废物产生量）④</w:t>
            </w:r>
          </w:p>
        </w:tc>
        <w:tc>
          <w:tcPr>
            <w:tcW w:w="590" w:type="pct"/>
            <w:vAlign w:val="center"/>
          </w:tcPr>
          <w:p w14:paraId="38CB93BF">
            <w:pPr>
              <w:spacing w:line="276" w:lineRule="auto"/>
              <w:jc w:val="center"/>
              <w:rPr>
                <w:b/>
                <w:sz w:val="21"/>
                <w:szCs w:val="21"/>
              </w:rPr>
            </w:pPr>
            <w:r>
              <w:rPr>
                <w:rFonts w:hAnsi="宋体"/>
                <w:b/>
                <w:sz w:val="21"/>
                <w:szCs w:val="21"/>
              </w:rPr>
              <w:t>以新带老消减量（新建项目不填）⑤</w:t>
            </w:r>
          </w:p>
        </w:tc>
        <w:tc>
          <w:tcPr>
            <w:tcW w:w="590" w:type="pct"/>
            <w:vAlign w:val="center"/>
          </w:tcPr>
          <w:p w14:paraId="5B18451D">
            <w:pPr>
              <w:spacing w:line="276" w:lineRule="auto"/>
              <w:jc w:val="center"/>
              <w:rPr>
                <w:b/>
                <w:sz w:val="21"/>
                <w:szCs w:val="21"/>
              </w:rPr>
            </w:pPr>
            <w:r>
              <w:rPr>
                <w:rFonts w:hAnsi="宋体"/>
                <w:b/>
                <w:sz w:val="21"/>
                <w:szCs w:val="21"/>
              </w:rPr>
              <w:t>本项目建成后全厂排放量（固体废物产生量）⑥</w:t>
            </w:r>
          </w:p>
        </w:tc>
        <w:tc>
          <w:tcPr>
            <w:tcW w:w="572" w:type="pct"/>
            <w:vAlign w:val="center"/>
          </w:tcPr>
          <w:p w14:paraId="15659AE4">
            <w:pPr>
              <w:spacing w:line="276" w:lineRule="auto"/>
              <w:jc w:val="center"/>
              <w:rPr>
                <w:b/>
                <w:sz w:val="21"/>
                <w:szCs w:val="21"/>
              </w:rPr>
            </w:pPr>
            <w:r>
              <w:rPr>
                <w:rFonts w:hAnsi="宋体"/>
                <w:b/>
                <w:sz w:val="21"/>
                <w:szCs w:val="21"/>
              </w:rPr>
              <w:t>变化量⑦</w:t>
            </w:r>
          </w:p>
        </w:tc>
      </w:tr>
      <w:tr w14:paraId="439C8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6F7D430C">
            <w:pPr>
              <w:spacing w:line="276" w:lineRule="auto"/>
              <w:jc w:val="center"/>
              <w:rPr>
                <w:sz w:val="21"/>
                <w:szCs w:val="21"/>
              </w:rPr>
            </w:pPr>
            <w:r>
              <w:rPr>
                <w:rFonts w:hAnsi="宋体"/>
                <w:sz w:val="21"/>
                <w:szCs w:val="21"/>
              </w:rPr>
              <w:t>废气</w:t>
            </w:r>
          </w:p>
        </w:tc>
        <w:tc>
          <w:tcPr>
            <w:tcW w:w="620" w:type="pct"/>
            <w:vAlign w:val="center"/>
          </w:tcPr>
          <w:p w14:paraId="16BA9137">
            <w:pPr>
              <w:spacing w:line="276" w:lineRule="auto"/>
              <w:jc w:val="center"/>
              <w:rPr>
                <w:rFonts w:hAnsi="宋体"/>
                <w:sz w:val="21"/>
                <w:szCs w:val="21"/>
              </w:rPr>
            </w:pPr>
            <w:r>
              <w:rPr>
                <w:rFonts w:hint="eastAsia"/>
                <w:sz w:val="21"/>
                <w:szCs w:val="21"/>
              </w:rPr>
              <w:t>颗粒物</w:t>
            </w:r>
          </w:p>
        </w:tc>
        <w:tc>
          <w:tcPr>
            <w:tcW w:w="485" w:type="pct"/>
            <w:vAlign w:val="center"/>
          </w:tcPr>
          <w:p w14:paraId="5D454965">
            <w:pPr>
              <w:spacing w:line="276" w:lineRule="auto"/>
              <w:jc w:val="center"/>
              <w:rPr>
                <w:sz w:val="21"/>
                <w:szCs w:val="21"/>
              </w:rPr>
            </w:pPr>
            <w:r>
              <w:rPr>
                <w:rFonts w:hint="eastAsia"/>
                <w:sz w:val="21"/>
                <w:szCs w:val="21"/>
              </w:rPr>
              <w:t>0</w:t>
            </w:r>
          </w:p>
        </w:tc>
        <w:tc>
          <w:tcPr>
            <w:tcW w:w="590" w:type="pct"/>
            <w:vAlign w:val="center"/>
          </w:tcPr>
          <w:p w14:paraId="05A69327">
            <w:pPr>
              <w:spacing w:line="276" w:lineRule="auto"/>
              <w:jc w:val="center"/>
              <w:rPr>
                <w:sz w:val="21"/>
                <w:szCs w:val="21"/>
              </w:rPr>
            </w:pPr>
            <w:r>
              <w:rPr>
                <w:rFonts w:hint="eastAsia"/>
                <w:sz w:val="21"/>
                <w:szCs w:val="21"/>
              </w:rPr>
              <w:t>0</w:t>
            </w:r>
          </w:p>
        </w:tc>
        <w:tc>
          <w:tcPr>
            <w:tcW w:w="590" w:type="pct"/>
            <w:vAlign w:val="center"/>
          </w:tcPr>
          <w:p w14:paraId="15E287EE">
            <w:pPr>
              <w:spacing w:line="276" w:lineRule="auto"/>
              <w:jc w:val="center"/>
              <w:rPr>
                <w:sz w:val="21"/>
                <w:szCs w:val="21"/>
              </w:rPr>
            </w:pPr>
            <w:r>
              <w:rPr>
                <w:rFonts w:hint="eastAsia"/>
                <w:sz w:val="21"/>
                <w:szCs w:val="21"/>
              </w:rPr>
              <w:t>/</w:t>
            </w:r>
          </w:p>
        </w:tc>
        <w:tc>
          <w:tcPr>
            <w:tcW w:w="590" w:type="pct"/>
            <w:vAlign w:val="center"/>
          </w:tcPr>
          <w:p w14:paraId="7C411951">
            <w:pPr>
              <w:spacing w:line="276" w:lineRule="auto"/>
              <w:jc w:val="center"/>
              <w:rPr>
                <w:rFonts w:hint="default" w:eastAsia="宋体"/>
                <w:sz w:val="21"/>
                <w:szCs w:val="21"/>
                <w:lang w:val="en-US" w:eastAsia="zh-CN"/>
              </w:rPr>
            </w:pPr>
            <w:r>
              <w:rPr>
                <w:rFonts w:hint="eastAsia"/>
                <w:sz w:val="21"/>
                <w:szCs w:val="21"/>
                <w:lang w:val="en-US" w:eastAsia="zh-CN"/>
              </w:rPr>
              <w:t>0.28t/a</w:t>
            </w:r>
          </w:p>
        </w:tc>
        <w:tc>
          <w:tcPr>
            <w:tcW w:w="590" w:type="pct"/>
            <w:vAlign w:val="center"/>
          </w:tcPr>
          <w:p w14:paraId="2E3E2275">
            <w:pPr>
              <w:spacing w:line="276" w:lineRule="auto"/>
              <w:jc w:val="center"/>
              <w:rPr>
                <w:sz w:val="21"/>
                <w:szCs w:val="21"/>
              </w:rPr>
            </w:pPr>
            <w:r>
              <w:rPr>
                <w:rFonts w:hint="eastAsia"/>
                <w:sz w:val="21"/>
                <w:szCs w:val="21"/>
              </w:rPr>
              <w:t>/</w:t>
            </w:r>
          </w:p>
        </w:tc>
        <w:tc>
          <w:tcPr>
            <w:tcW w:w="1675" w:type="dxa"/>
            <w:vAlign w:val="center"/>
          </w:tcPr>
          <w:p w14:paraId="307457F5">
            <w:pPr>
              <w:spacing w:line="276" w:lineRule="auto"/>
              <w:jc w:val="center"/>
              <w:rPr>
                <w:sz w:val="21"/>
                <w:szCs w:val="21"/>
              </w:rPr>
            </w:pPr>
            <w:r>
              <w:rPr>
                <w:rFonts w:hint="eastAsia"/>
                <w:sz w:val="21"/>
                <w:szCs w:val="21"/>
                <w:lang w:val="en-US" w:eastAsia="zh-CN"/>
              </w:rPr>
              <w:t>0.28t/a</w:t>
            </w:r>
          </w:p>
        </w:tc>
        <w:tc>
          <w:tcPr>
            <w:tcW w:w="1623" w:type="dxa"/>
            <w:vAlign w:val="center"/>
          </w:tcPr>
          <w:p w14:paraId="2C2572BA">
            <w:pPr>
              <w:spacing w:line="276" w:lineRule="auto"/>
              <w:jc w:val="center"/>
              <w:rPr>
                <w:sz w:val="21"/>
                <w:szCs w:val="21"/>
              </w:rPr>
            </w:pPr>
            <w:r>
              <w:rPr>
                <w:rFonts w:hint="eastAsia"/>
                <w:sz w:val="21"/>
                <w:szCs w:val="21"/>
                <w:lang w:val="en-US" w:eastAsia="zh-CN"/>
              </w:rPr>
              <w:t>+0.28t/a</w:t>
            </w:r>
          </w:p>
        </w:tc>
      </w:tr>
      <w:tr w14:paraId="67DFB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04BC6130">
            <w:pPr>
              <w:spacing w:line="276" w:lineRule="auto"/>
              <w:jc w:val="center"/>
              <w:rPr>
                <w:rFonts w:hAnsi="宋体"/>
                <w:sz w:val="21"/>
                <w:szCs w:val="21"/>
              </w:rPr>
            </w:pPr>
          </w:p>
        </w:tc>
        <w:tc>
          <w:tcPr>
            <w:tcW w:w="620" w:type="pct"/>
            <w:vAlign w:val="center"/>
          </w:tcPr>
          <w:p w14:paraId="249D3E7F">
            <w:pPr>
              <w:spacing w:line="276" w:lineRule="auto"/>
              <w:jc w:val="center"/>
              <w:rPr>
                <w:sz w:val="21"/>
                <w:szCs w:val="21"/>
              </w:rPr>
            </w:pPr>
            <w:r>
              <w:rPr>
                <w:rFonts w:hint="eastAsia"/>
                <w:sz w:val="21"/>
                <w:szCs w:val="21"/>
              </w:rPr>
              <w:t>甲苯</w:t>
            </w:r>
          </w:p>
        </w:tc>
        <w:tc>
          <w:tcPr>
            <w:tcW w:w="485" w:type="pct"/>
            <w:vAlign w:val="center"/>
          </w:tcPr>
          <w:p w14:paraId="141D18C2">
            <w:pPr>
              <w:spacing w:line="276" w:lineRule="auto"/>
              <w:jc w:val="center"/>
              <w:rPr>
                <w:sz w:val="21"/>
                <w:szCs w:val="21"/>
              </w:rPr>
            </w:pPr>
            <w:r>
              <w:rPr>
                <w:rFonts w:hint="eastAsia"/>
                <w:sz w:val="21"/>
                <w:szCs w:val="21"/>
              </w:rPr>
              <w:t>0</w:t>
            </w:r>
          </w:p>
        </w:tc>
        <w:tc>
          <w:tcPr>
            <w:tcW w:w="590" w:type="pct"/>
            <w:vAlign w:val="center"/>
          </w:tcPr>
          <w:p w14:paraId="153976DC">
            <w:pPr>
              <w:spacing w:line="276" w:lineRule="auto"/>
              <w:jc w:val="center"/>
              <w:rPr>
                <w:sz w:val="21"/>
                <w:szCs w:val="21"/>
              </w:rPr>
            </w:pPr>
            <w:r>
              <w:rPr>
                <w:rFonts w:hint="eastAsia"/>
                <w:sz w:val="21"/>
                <w:szCs w:val="21"/>
              </w:rPr>
              <w:t>0</w:t>
            </w:r>
          </w:p>
        </w:tc>
        <w:tc>
          <w:tcPr>
            <w:tcW w:w="590" w:type="pct"/>
            <w:vAlign w:val="center"/>
          </w:tcPr>
          <w:p w14:paraId="5E497DD3">
            <w:pPr>
              <w:spacing w:line="276" w:lineRule="auto"/>
              <w:jc w:val="center"/>
              <w:rPr>
                <w:sz w:val="21"/>
                <w:szCs w:val="21"/>
              </w:rPr>
            </w:pPr>
            <w:r>
              <w:rPr>
                <w:rFonts w:hint="eastAsia"/>
                <w:sz w:val="21"/>
                <w:szCs w:val="21"/>
              </w:rPr>
              <w:t>/</w:t>
            </w:r>
          </w:p>
        </w:tc>
        <w:tc>
          <w:tcPr>
            <w:tcW w:w="590" w:type="pct"/>
            <w:vAlign w:val="center"/>
          </w:tcPr>
          <w:p w14:paraId="3A0D2E90">
            <w:pPr>
              <w:spacing w:line="276" w:lineRule="auto"/>
              <w:jc w:val="center"/>
              <w:rPr>
                <w:rFonts w:hint="default" w:eastAsia="宋体"/>
                <w:sz w:val="21"/>
                <w:szCs w:val="21"/>
                <w:lang w:val="en-US" w:eastAsia="zh-CN"/>
              </w:rPr>
            </w:pPr>
            <w:r>
              <w:rPr>
                <w:rFonts w:hint="eastAsia"/>
                <w:sz w:val="21"/>
                <w:szCs w:val="21"/>
                <w:lang w:val="en-US" w:eastAsia="zh-CN"/>
              </w:rPr>
              <w:t>0.0054t/a</w:t>
            </w:r>
          </w:p>
        </w:tc>
        <w:tc>
          <w:tcPr>
            <w:tcW w:w="590" w:type="pct"/>
            <w:vAlign w:val="center"/>
          </w:tcPr>
          <w:p w14:paraId="06EB29B1">
            <w:pPr>
              <w:spacing w:line="276" w:lineRule="auto"/>
              <w:jc w:val="center"/>
              <w:rPr>
                <w:sz w:val="21"/>
                <w:szCs w:val="21"/>
              </w:rPr>
            </w:pPr>
            <w:r>
              <w:rPr>
                <w:rFonts w:hint="eastAsia"/>
                <w:sz w:val="21"/>
                <w:szCs w:val="21"/>
              </w:rPr>
              <w:t>/</w:t>
            </w:r>
          </w:p>
        </w:tc>
        <w:tc>
          <w:tcPr>
            <w:tcW w:w="1675" w:type="dxa"/>
            <w:vAlign w:val="center"/>
          </w:tcPr>
          <w:p w14:paraId="74E726ED">
            <w:pPr>
              <w:spacing w:line="276" w:lineRule="auto"/>
              <w:jc w:val="center"/>
              <w:rPr>
                <w:sz w:val="21"/>
                <w:szCs w:val="21"/>
              </w:rPr>
            </w:pPr>
            <w:r>
              <w:rPr>
                <w:rFonts w:hint="eastAsia"/>
                <w:sz w:val="21"/>
                <w:szCs w:val="21"/>
                <w:lang w:val="en-US" w:eastAsia="zh-CN"/>
              </w:rPr>
              <w:t>0.0054t/a</w:t>
            </w:r>
          </w:p>
        </w:tc>
        <w:tc>
          <w:tcPr>
            <w:tcW w:w="1623" w:type="dxa"/>
            <w:vAlign w:val="center"/>
          </w:tcPr>
          <w:p w14:paraId="79C387A2">
            <w:pPr>
              <w:spacing w:line="276" w:lineRule="auto"/>
              <w:jc w:val="center"/>
              <w:rPr>
                <w:sz w:val="21"/>
                <w:szCs w:val="21"/>
              </w:rPr>
            </w:pPr>
            <w:r>
              <w:rPr>
                <w:rFonts w:hint="eastAsia"/>
                <w:sz w:val="21"/>
                <w:szCs w:val="21"/>
                <w:lang w:val="en-US" w:eastAsia="zh-CN"/>
              </w:rPr>
              <w:t>+0.0054t/a</w:t>
            </w:r>
          </w:p>
        </w:tc>
      </w:tr>
      <w:tr w14:paraId="5719D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55F75DF">
            <w:pPr>
              <w:spacing w:line="276" w:lineRule="auto"/>
              <w:jc w:val="center"/>
              <w:rPr>
                <w:rFonts w:hAnsi="宋体"/>
                <w:sz w:val="21"/>
                <w:szCs w:val="21"/>
              </w:rPr>
            </w:pPr>
          </w:p>
        </w:tc>
        <w:tc>
          <w:tcPr>
            <w:tcW w:w="620" w:type="pct"/>
            <w:vAlign w:val="center"/>
          </w:tcPr>
          <w:p w14:paraId="66660D25">
            <w:pPr>
              <w:spacing w:line="276" w:lineRule="auto"/>
              <w:jc w:val="center"/>
              <w:rPr>
                <w:sz w:val="21"/>
                <w:szCs w:val="21"/>
              </w:rPr>
            </w:pPr>
            <w:r>
              <w:rPr>
                <w:rFonts w:hint="eastAsia"/>
                <w:sz w:val="21"/>
                <w:szCs w:val="21"/>
              </w:rPr>
              <w:t>二甲苯</w:t>
            </w:r>
          </w:p>
        </w:tc>
        <w:tc>
          <w:tcPr>
            <w:tcW w:w="485" w:type="pct"/>
            <w:vAlign w:val="center"/>
          </w:tcPr>
          <w:p w14:paraId="6EEAB33F">
            <w:pPr>
              <w:spacing w:line="276" w:lineRule="auto"/>
              <w:jc w:val="center"/>
              <w:rPr>
                <w:sz w:val="21"/>
                <w:szCs w:val="21"/>
              </w:rPr>
            </w:pPr>
            <w:r>
              <w:rPr>
                <w:rFonts w:hint="eastAsia"/>
                <w:sz w:val="21"/>
                <w:szCs w:val="21"/>
              </w:rPr>
              <w:t>0</w:t>
            </w:r>
          </w:p>
        </w:tc>
        <w:tc>
          <w:tcPr>
            <w:tcW w:w="590" w:type="pct"/>
            <w:vAlign w:val="center"/>
          </w:tcPr>
          <w:p w14:paraId="73C06821">
            <w:pPr>
              <w:spacing w:line="276" w:lineRule="auto"/>
              <w:jc w:val="center"/>
              <w:rPr>
                <w:sz w:val="21"/>
                <w:szCs w:val="21"/>
              </w:rPr>
            </w:pPr>
            <w:r>
              <w:rPr>
                <w:rFonts w:hint="eastAsia"/>
                <w:sz w:val="21"/>
                <w:szCs w:val="21"/>
              </w:rPr>
              <w:t>0</w:t>
            </w:r>
          </w:p>
        </w:tc>
        <w:tc>
          <w:tcPr>
            <w:tcW w:w="590" w:type="pct"/>
            <w:vAlign w:val="center"/>
          </w:tcPr>
          <w:p w14:paraId="24C733DA">
            <w:pPr>
              <w:spacing w:line="276" w:lineRule="auto"/>
              <w:jc w:val="center"/>
              <w:rPr>
                <w:sz w:val="21"/>
                <w:szCs w:val="21"/>
              </w:rPr>
            </w:pPr>
            <w:r>
              <w:rPr>
                <w:rFonts w:hint="eastAsia"/>
                <w:sz w:val="21"/>
                <w:szCs w:val="21"/>
              </w:rPr>
              <w:t>/</w:t>
            </w:r>
          </w:p>
        </w:tc>
        <w:tc>
          <w:tcPr>
            <w:tcW w:w="590" w:type="pct"/>
            <w:vAlign w:val="center"/>
          </w:tcPr>
          <w:p w14:paraId="1215E4A7">
            <w:pPr>
              <w:spacing w:line="276" w:lineRule="auto"/>
              <w:jc w:val="center"/>
              <w:rPr>
                <w:rFonts w:hint="default" w:eastAsia="宋体"/>
                <w:sz w:val="21"/>
                <w:szCs w:val="21"/>
                <w:lang w:val="en-US" w:eastAsia="zh-CN"/>
              </w:rPr>
            </w:pPr>
            <w:r>
              <w:rPr>
                <w:rFonts w:hint="eastAsia"/>
                <w:sz w:val="21"/>
                <w:szCs w:val="21"/>
                <w:lang w:val="en-US" w:eastAsia="zh-CN"/>
              </w:rPr>
              <w:t>0.185t/a</w:t>
            </w:r>
          </w:p>
        </w:tc>
        <w:tc>
          <w:tcPr>
            <w:tcW w:w="590" w:type="pct"/>
            <w:vAlign w:val="center"/>
          </w:tcPr>
          <w:p w14:paraId="101F6824">
            <w:pPr>
              <w:spacing w:line="276" w:lineRule="auto"/>
              <w:jc w:val="center"/>
              <w:rPr>
                <w:sz w:val="21"/>
                <w:szCs w:val="21"/>
              </w:rPr>
            </w:pPr>
            <w:r>
              <w:rPr>
                <w:rFonts w:hint="eastAsia"/>
                <w:sz w:val="21"/>
                <w:szCs w:val="21"/>
              </w:rPr>
              <w:t>/</w:t>
            </w:r>
          </w:p>
        </w:tc>
        <w:tc>
          <w:tcPr>
            <w:tcW w:w="1675" w:type="dxa"/>
            <w:vAlign w:val="center"/>
          </w:tcPr>
          <w:p w14:paraId="4E918D10">
            <w:pPr>
              <w:spacing w:line="276" w:lineRule="auto"/>
              <w:jc w:val="center"/>
              <w:rPr>
                <w:sz w:val="21"/>
                <w:szCs w:val="21"/>
              </w:rPr>
            </w:pPr>
            <w:r>
              <w:rPr>
                <w:rFonts w:hint="eastAsia"/>
                <w:sz w:val="21"/>
                <w:szCs w:val="21"/>
                <w:lang w:val="en-US" w:eastAsia="zh-CN"/>
              </w:rPr>
              <w:t>0.185t/a</w:t>
            </w:r>
          </w:p>
        </w:tc>
        <w:tc>
          <w:tcPr>
            <w:tcW w:w="1623" w:type="dxa"/>
            <w:vAlign w:val="center"/>
          </w:tcPr>
          <w:p w14:paraId="22C128AC">
            <w:pPr>
              <w:spacing w:line="276" w:lineRule="auto"/>
              <w:jc w:val="center"/>
              <w:rPr>
                <w:sz w:val="21"/>
                <w:szCs w:val="21"/>
              </w:rPr>
            </w:pPr>
            <w:r>
              <w:rPr>
                <w:rFonts w:hint="eastAsia"/>
                <w:sz w:val="21"/>
                <w:szCs w:val="21"/>
                <w:lang w:val="en-US" w:eastAsia="zh-CN"/>
              </w:rPr>
              <w:t>+0.185t/a</w:t>
            </w:r>
          </w:p>
        </w:tc>
      </w:tr>
      <w:tr w14:paraId="17945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18AFF38E">
            <w:pPr>
              <w:spacing w:line="276" w:lineRule="auto"/>
              <w:jc w:val="center"/>
              <w:rPr>
                <w:rFonts w:hAnsi="宋体"/>
                <w:sz w:val="21"/>
                <w:szCs w:val="21"/>
              </w:rPr>
            </w:pPr>
          </w:p>
        </w:tc>
        <w:tc>
          <w:tcPr>
            <w:tcW w:w="620" w:type="pct"/>
            <w:vAlign w:val="center"/>
          </w:tcPr>
          <w:p w14:paraId="1F3920E4">
            <w:pPr>
              <w:spacing w:line="276" w:lineRule="auto"/>
              <w:jc w:val="center"/>
              <w:rPr>
                <w:sz w:val="21"/>
                <w:szCs w:val="21"/>
              </w:rPr>
            </w:pPr>
            <w:r>
              <w:rPr>
                <w:rFonts w:hint="eastAsia"/>
                <w:sz w:val="21"/>
                <w:szCs w:val="21"/>
              </w:rPr>
              <w:t>乙苯</w:t>
            </w:r>
          </w:p>
        </w:tc>
        <w:tc>
          <w:tcPr>
            <w:tcW w:w="485" w:type="pct"/>
            <w:vAlign w:val="center"/>
          </w:tcPr>
          <w:p w14:paraId="063EAE7D">
            <w:pPr>
              <w:spacing w:line="276" w:lineRule="auto"/>
              <w:jc w:val="center"/>
              <w:rPr>
                <w:sz w:val="21"/>
                <w:szCs w:val="21"/>
              </w:rPr>
            </w:pPr>
            <w:r>
              <w:rPr>
                <w:rFonts w:hint="eastAsia"/>
                <w:sz w:val="21"/>
                <w:szCs w:val="21"/>
              </w:rPr>
              <w:t>0</w:t>
            </w:r>
          </w:p>
        </w:tc>
        <w:tc>
          <w:tcPr>
            <w:tcW w:w="590" w:type="pct"/>
            <w:vAlign w:val="center"/>
          </w:tcPr>
          <w:p w14:paraId="79F858FF">
            <w:pPr>
              <w:spacing w:line="276" w:lineRule="auto"/>
              <w:jc w:val="center"/>
              <w:rPr>
                <w:sz w:val="21"/>
                <w:szCs w:val="21"/>
              </w:rPr>
            </w:pPr>
            <w:r>
              <w:rPr>
                <w:rFonts w:hint="eastAsia"/>
                <w:sz w:val="21"/>
                <w:szCs w:val="21"/>
              </w:rPr>
              <w:t>0</w:t>
            </w:r>
          </w:p>
        </w:tc>
        <w:tc>
          <w:tcPr>
            <w:tcW w:w="590" w:type="pct"/>
            <w:vAlign w:val="center"/>
          </w:tcPr>
          <w:p w14:paraId="5F73C965">
            <w:pPr>
              <w:spacing w:line="276" w:lineRule="auto"/>
              <w:jc w:val="center"/>
              <w:rPr>
                <w:sz w:val="21"/>
                <w:szCs w:val="21"/>
              </w:rPr>
            </w:pPr>
            <w:r>
              <w:rPr>
                <w:rFonts w:hint="eastAsia"/>
                <w:sz w:val="21"/>
                <w:szCs w:val="21"/>
              </w:rPr>
              <w:t>/</w:t>
            </w:r>
          </w:p>
        </w:tc>
        <w:tc>
          <w:tcPr>
            <w:tcW w:w="590" w:type="pct"/>
            <w:vAlign w:val="center"/>
          </w:tcPr>
          <w:p w14:paraId="27B7717F">
            <w:pPr>
              <w:spacing w:line="276" w:lineRule="auto"/>
              <w:jc w:val="center"/>
              <w:rPr>
                <w:rFonts w:hint="default" w:eastAsia="宋体"/>
                <w:sz w:val="21"/>
                <w:szCs w:val="21"/>
                <w:lang w:val="en-US" w:eastAsia="zh-CN"/>
              </w:rPr>
            </w:pPr>
            <w:r>
              <w:rPr>
                <w:rFonts w:hint="eastAsia"/>
                <w:sz w:val="21"/>
                <w:szCs w:val="21"/>
                <w:lang w:val="en-US" w:eastAsia="zh-CN"/>
              </w:rPr>
              <w:t>0.058t/a</w:t>
            </w:r>
          </w:p>
        </w:tc>
        <w:tc>
          <w:tcPr>
            <w:tcW w:w="590" w:type="pct"/>
            <w:vAlign w:val="center"/>
          </w:tcPr>
          <w:p w14:paraId="627FB40B">
            <w:pPr>
              <w:spacing w:line="276" w:lineRule="auto"/>
              <w:jc w:val="center"/>
              <w:rPr>
                <w:sz w:val="21"/>
                <w:szCs w:val="21"/>
              </w:rPr>
            </w:pPr>
            <w:r>
              <w:rPr>
                <w:rFonts w:hint="eastAsia"/>
                <w:sz w:val="21"/>
                <w:szCs w:val="21"/>
              </w:rPr>
              <w:t>/</w:t>
            </w:r>
          </w:p>
        </w:tc>
        <w:tc>
          <w:tcPr>
            <w:tcW w:w="1675" w:type="dxa"/>
            <w:vAlign w:val="center"/>
          </w:tcPr>
          <w:p w14:paraId="6CF8DFFD">
            <w:pPr>
              <w:spacing w:line="276" w:lineRule="auto"/>
              <w:jc w:val="center"/>
              <w:rPr>
                <w:sz w:val="21"/>
                <w:szCs w:val="21"/>
              </w:rPr>
            </w:pPr>
            <w:r>
              <w:rPr>
                <w:rFonts w:hint="eastAsia"/>
                <w:sz w:val="21"/>
                <w:szCs w:val="21"/>
                <w:lang w:val="en-US" w:eastAsia="zh-CN"/>
              </w:rPr>
              <w:t>0.058t/a</w:t>
            </w:r>
          </w:p>
        </w:tc>
        <w:tc>
          <w:tcPr>
            <w:tcW w:w="1623" w:type="dxa"/>
            <w:vAlign w:val="center"/>
          </w:tcPr>
          <w:p w14:paraId="4E4F7B5C">
            <w:pPr>
              <w:spacing w:line="276" w:lineRule="auto"/>
              <w:jc w:val="center"/>
              <w:rPr>
                <w:sz w:val="21"/>
                <w:szCs w:val="21"/>
              </w:rPr>
            </w:pPr>
            <w:r>
              <w:rPr>
                <w:rFonts w:hint="eastAsia"/>
                <w:sz w:val="21"/>
                <w:szCs w:val="21"/>
                <w:lang w:val="en-US" w:eastAsia="zh-CN"/>
              </w:rPr>
              <w:t>+0.058t/a</w:t>
            </w:r>
          </w:p>
        </w:tc>
      </w:tr>
      <w:tr w14:paraId="3F871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4A6EB84F">
            <w:pPr>
              <w:spacing w:line="276" w:lineRule="auto"/>
              <w:jc w:val="center"/>
              <w:rPr>
                <w:rFonts w:hAnsi="宋体"/>
                <w:sz w:val="21"/>
                <w:szCs w:val="21"/>
              </w:rPr>
            </w:pPr>
          </w:p>
        </w:tc>
        <w:tc>
          <w:tcPr>
            <w:tcW w:w="620" w:type="pct"/>
            <w:vAlign w:val="center"/>
          </w:tcPr>
          <w:p w14:paraId="099C57DE">
            <w:pPr>
              <w:spacing w:line="276" w:lineRule="auto"/>
              <w:jc w:val="center"/>
              <w:rPr>
                <w:sz w:val="21"/>
                <w:szCs w:val="21"/>
              </w:rPr>
            </w:pPr>
            <w:r>
              <w:rPr>
                <w:rFonts w:hint="eastAsia"/>
                <w:sz w:val="21"/>
                <w:szCs w:val="21"/>
              </w:rPr>
              <w:t>四氯乙烯</w:t>
            </w:r>
          </w:p>
        </w:tc>
        <w:tc>
          <w:tcPr>
            <w:tcW w:w="485" w:type="pct"/>
            <w:vAlign w:val="center"/>
          </w:tcPr>
          <w:p w14:paraId="5C32F4FD">
            <w:pPr>
              <w:spacing w:line="276" w:lineRule="auto"/>
              <w:jc w:val="center"/>
              <w:rPr>
                <w:sz w:val="21"/>
                <w:szCs w:val="21"/>
              </w:rPr>
            </w:pPr>
            <w:r>
              <w:rPr>
                <w:rFonts w:hint="eastAsia"/>
                <w:sz w:val="21"/>
                <w:szCs w:val="21"/>
              </w:rPr>
              <w:t>0</w:t>
            </w:r>
          </w:p>
        </w:tc>
        <w:tc>
          <w:tcPr>
            <w:tcW w:w="590" w:type="pct"/>
            <w:vAlign w:val="center"/>
          </w:tcPr>
          <w:p w14:paraId="2ACA908C">
            <w:pPr>
              <w:spacing w:line="276" w:lineRule="auto"/>
              <w:jc w:val="center"/>
              <w:rPr>
                <w:sz w:val="21"/>
                <w:szCs w:val="21"/>
              </w:rPr>
            </w:pPr>
            <w:r>
              <w:rPr>
                <w:rFonts w:hint="eastAsia"/>
                <w:sz w:val="21"/>
                <w:szCs w:val="21"/>
              </w:rPr>
              <w:t>0</w:t>
            </w:r>
          </w:p>
        </w:tc>
        <w:tc>
          <w:tcPr>
            <w:tcW w:w="590" w:type="pct"/>
            <w:vAlign w:val="center"/>
          </w:tcPr>
          <w:p w14:paraId="3F613C53">
            <w:pPr>
              <w:spacing w:line="276" w:lineRule="auto"/>
              <w:jc w:val="center"/>
              <w:rPr>
                <w:sz w:val="21"/>
                <w:szCs w:val="21"/>
              </w:rPr>
            </w:pPr>
            <w:r>
              <w:rPr>
                <w:rFonts w:hint="eastAsia"/>
                <w:sz w:val="21"/>
                <w:szCs w:val="21"/>
              </w:rPr>
              <w:t>/</w:t>
            </w:r>
          </w:p>
        </w:tc>
        <w:tc>
          <w:tcPr>
            <w:tcW w:w="590" w:type="pct"/>
            <w:vAlign w:val="center"/>
          </w:tcPr>
          <w:p w14:paraId="5951B517">
            <w:pPr>
              <w:spacing w:line="276" w:lineRule="auto"/>
              <w:jc w:val="center"/>
              <w:rPr>
                <w:rFonts w:hint="default" w:eastAsia="宋体"/>
                <w:sz w:val="21"/>
                <w:szCs w:val="21"/>
                <w:lang w:val="en-US" w:eastAsia="zh-CN"/>
              </w:rPr>
            </w:pPr>
            <w:r>
              <w:rPr>
                <w:rFonts w:hint="eastAsia"/>
                <w:sz w:val="21"/>
                <w:szCs w:val="21"/>
                <w:lang w:val="en-US" w:eastAsia="zh-CN"/>
              </w:rPr>
              <w:t>0.00252t/a</w:t>
            </w:r>
          </w:p>
        </w:tc>
        <w:tc>
          <w:tcPr>
            <w:tcW w:w="590" w:type="pct"/>
            <w:vAlign w:val="center"/>
          </w:tcPr>
          <w:p w14:paraId="2488CB25">
            <w:pPr>
              <w:spacing w:line="276" w:lineRule="auto"/>
              <w:jc w:val="center"/>
              <w:rPr>
                <w:sz w:val="21"/>
                <w:szCs w:val="21"/>
              </w:rPr>
            </w:pPr>
            <w:r>
              <w:rPr>
                <w:rFonts w:hint="eastAsia"/>
                <w:sz w:val="21"/>
                <w:szCs w:val="21"/>
              </w:rPr>
              <w:t>/</w:t>
            </w:r>
          </w:p>
        </w:tc>
        <w:tc>
          <w:tcPr>
            <w:tcW w:w="1675" w:type="dxa"/>
            <w:vAlign w:val="center"/>
          </w:tcPr>
          <w:p w14:paraId="0C092CD5">
            <w:pPr>
              <w:spacing w:line="276" w:lineRule="auto"/>
              <w:jc w:val="center"/>
              <w:rPr>
                <w:sz w:val="21"/>
                <w:szCs w:val="21"/>
              </w:rPr>
            </w:pPr>
            <w:r>
              <w:rPr>
                <w:rFonts w:hint="eastAsia"/>
                <w:sz w:val="21"/>
                <w:szCs w:val="21"/>
                <w:lang w:val="en-US" w:eastAsia="zh-CN"/>
              </w:rPr>
              <w:t>0.00252t/a</w:t>
            </w:r>
          </w:p>
        </w:tc>
        <w:tc>
          <w:tcPr>
            <w:tcW w:w="1623" w:type="dxa"/>
            <w:vAlign w:val="center"/>
          </w:tcPr>
          <w:p w14:paraId="6E88CE8C">
            <w:pPr>
              <w:spacing w:line="276" w:lineRule="auto"/>
              <w:jc w:val="center"/>
              <w:rPr>
                <w:sz w:val="21"/>
                <w:szCs w:val="21"/>
              </w:rPr>
            </w:pPr>
            <w:r>
              <w:rPr>
                <w:rFonts w:hint="eastAsia"/>
                <w:sz w:val="21"/>
                <w:szCs w:val="21"/>
                <w:lang w:val="en-US" w:eastAsia="zh-CN"/>
              </w:rPr>
              <w:t>+0.00252t/a</w:t>
            </w:r>
          </w:p>
        </w:tc>
      </w:tr>
      <w:tr w14:paraId="47DDD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DBB248D">
            <w:pPr>
              <w:spacing w:line="276" w:lineRule="auto"/>
              <w:jc w:val="center"/>
              <w:rPr>
                <w:rFonts w:hAnsi="宋体"/>
                <w:sz w:val="21"/>
                <w:szCs w:val="21"/>
              </w:rPr>
            </w:pPr>
          </w:p>
        </w:tc>
        <w:tc>
          <w:tcPr>
            <w:tcW w:w="620" w:type="pct"/>
            <w:vAlign w:val="center"/>
          </w:tcPr>
          <w:p w14:paraId="0B80789D">
            <w:pPr>
              <w:spacing w:line="276" w:lineRule="auto"/>
              <w:jc w:val="center"/>
              <w:rPr>
                <w:sz w:val="21"/>
                <w:szCs w:val="21"/>
              </w:rPr>
            </w:pPr>
            <w:r>
              <w:rPr>
                <w:rFonts w:hint="eastAsia"/>
                <w:sz w:val="21"/>
                <w:szCs w:val="21"/>
              </w:rPr>
              <w:t>非甲烷总烃</w:t>
            </w:r>
          </w:p>
        </w:tc>
        <w:tc>
          <w:tcPr>
            <w:tcW w:w="485" w:type="pct"/>
            <w:vAlign w:val="center"/>
          </w:tcPr>
          <w:p w14:paraId="5DB69087">
            <w:pPr>
              <w:spacing w:line="276" w:lineRule="auto"/>
              <w:jc w:val="center"/>
              <w:rPr>
                <w:sz w:val="21"/>
                <w:szCs w:val="21"/>
              </w:rPr>
            </w:pPr>
            <w:r>
              <w:rPr>
                <w:rFonts w:hint="eastAsia"/>
                <w:sz w:val="21"/>
                <w:szCs w:val="21"/>
              </w:rPr>
              <w:t>0</w:t>
            </w:r>
          </w:p>
        </w:tc>
        <w:tc>
          <w:tcPr>
            <w:tcW w:w="590" w:type="pct"/>
            <w:vAlign w:val="center"/>
          </w:tcPr>
          <w:p w14:paraId="5766A861">
            <w:pPr>
              <w:spacing w:line="276" w:lineRule="auto"/>
              <w:jc w:val="center"/>
              <w:rPr>
                <w:sz w:val="21"/>
                <w:szCs w:val="21"/>
              </w:rPr>
            </w:pPr>
            <w:r>
              <w:rPr>
                <w:rFonts w:hint="eastAsia"/>
                <w:sz w:val="21"/>
                <w:szCs w:val="21"/>
              </w:rPr>
              <w:t>0</w:t>
            </w:r>
          </w:p>
        </w:tc>
        <w:tc>
          <w:tcPr>
            <w:tcW w:w="590" w:type="pct"/>
            <w:vAlign w:val="center"/>
          </w:tcPr>
          <w:p w14:paraId="7028E922">
            <w:pPr>
              <w:spacing w:line="276" w:lineRule="auto"/>
              <w:jc w:val="center"/>
              <w:rPr>
                <w:sz w:val="21"/>
                <w:szCs w:val="21"/>
              </w:rPr>
            </w:pPr>
            <w:r>
              <w:rPr>
                <w:rFonts w:hint="eastAsia"/>
                <w:sz w:val="21"/>
                <w:szCs w:val="21"/>
              </w:rPr>
              <w:t>/</w:t>
            </w:r>
          </w:p>
        </w:tc>
        <w:tc>
          <w:tcPr>
            <w:tcW w:w="590" w:type="pct"/>
            <w:vAlign w:val="center"/>
          </w:tcPr>
          <w:p w14:paraId="084AD4B8">
            <w:pPr>
              <w:spacing w:line="276" w:lineRule="auto"/>
              <w:jc w:val="center"/>
              <w:rPr>
                <w:rFonts w:hint="default" w:eastAsia="宋体"/>
                <w:sz w:val="21"/>
                <w:szCs w:val="21"/>
                <w:lang w:val="en-US" w:eastAsia="zh-CN"/>
              </w:rPr>
            </w:pPr>
            <w:r>
              <w:rPr>
                <w:rFonts w:hint="eastAsia"/>
                <w:sz w:val="21"/>
                <w:szCs w:val="21"/>
                <w:lang w:val="en-US" w:eastAsia="zh-CN"/>
              </w:rPr>
              <w:t>0.556t/a</w:t>
            </w:r>
          </w:p>
        </w:tc>
        <w:tc>
          <w:tcPr>
            <w:tcW w:w="590" w:type="pct"/>
            <w:vAlign w:val="center"/>
          </w:tcPr>
          <w:p w14:paraId="6AB0331C">
            <w:pPr>
              <w:spacing w:line="276" w:lineRule="auto"/>
              <w:jc w:val="center"/>
              <w:rPr>
                <w:sz w:val="21"/>
                <w:szCs w:val="21"/>
              </w:rPr>
            </w:pPr>
            <w:r>
              <w:rPr>
                <w:rFonts w:hint="eastAsia"/>
                <w:sz w:val="21"/>
                <w:szCs w:val="21"/>
              </w:rPr>
              <w:t>/</w:t>
            </w:r>
          </w:p>
        </w:tc>
        <w:tc>
          <w:tcPr>
            <w:tcW w:w="1675" w:type="dxa"/>
            <w:vAlign w:val="center"/>
          </w:tcPr>
          <w:p w14:paraId="36C140BB">
            <w:pPr>
              <w:spacing w:line="276" w:lineRule="auto"/>
              <w:jc w:val="center"/>
              <w:rPr>
                <w:sz w:val="21"/>
                <w:szCs w:val="21"/>
              </w:rPr>
            </w:pPr>
            <w:r>
              <w:rPr>
                <w:rFonts w:hint="eastAsia"/>
                <w:sz w:val="21"/>
                <w:szCs w:val="21"/>
                <w:lang w:val="en-US" w:eastAsia="zh-CN"/>
              </w:rPr>
              <w:t>0.556t/a</w:t>
            </w:r>
          </w:p>
        </w:tc>
        <w:tc>
          <w:tcPr>
            <w:tcW w:w="1623" w:type="dxa"/>
            <w:vAlign w:val="center"/>
          </w:tcPr>
          <w:p w14:paraId="5C310162">
            <w:pPr>
              <w:spacing w:line="276" w:lineRule="auto"/>
              <w:jc w:val="center"/>
              <w:rPr>
                <w:sz w:val="21"/>
                <w:szCs w:val="21"/>
              </w:rPr>
            </w:pPr>
            <w:r>
              <w:rPr>
                <w:rFonts w:hint="eastAsia"/>
                <w:sz w:val="21"/>
                <w:szCs w:val="21"/>
                <w:lang w:val="en-US" w:eastAsia="zh-CN"/>
              </w:rPr>
              <w:t>+0.556t/a</w:t>
            </w:r>
          </w:p>
        </w:tc>
      </w:tr>
      <w:tr w14:paraId="1C6AD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060550C9">
            <w:pPr>
              <w:spacing w:line="276" w:lineRule="auto"/>
              <w:jc w:val="center"/>
              <w:rPr>
                <w:rFonts w:hAnsi="宋体"/>
                <w:sz w:val="21"/>
                <w:szCs w:val="21"/>
              </w:rPr>
            </w:pPr>
          </w:p>
        </w:tc>
        <w:tc>
          <w:tcPr>
            <w:tcW w:w="620" w:type="pct"/>
            <w:vAlign w:val="center"/>
          </w:tcPr>
          <w:p w14:paraId="24B0E05D">
            <w:pPr>
              <w:spacing w:line="276" w:lineRule="auto"/>
              <w:jc w:val="center"/>
              <w:rPr>
                <w:sz w:val="21"/>
                <w:szCs w:val="21"/>
              </w:rPr>
            </w:pPr>
            <w:r>
              <w:rPr>
                <w:rFonts w:hint="eastAsia"/>
                <w:sz w:val="21"/>
                <w:szCs w:val="21"/>
              </w:rPr>
              <w:t>硫化氢</w:t>
            </w:r>
          </w:p>
        </w:tc>
        <w:tc>
          <w:tcPr>
            <w:tcW w:w="485" w:type="pct"/>
            <w:vAlign w:val="center"/>
          </w:tcPr>
          <w:p w14:paraId="7DCDC41E">
            <w:pPr>
              <w:spacing w:line="276" w:lineRule="auto"/>
              <w:jc w:val="center"/>
              <w:rPr>
                <w:sz w:val="21"/>
                <w:szCs w:val="21"/>
              </w:rPr>
            </w:pPr>
            <w:r>
              <w:rPr>
                <w:rFonts w:hint="eastAsia"/>
                <w:sz w:val="21"/>
                <w:szCs w:val="21"/>
              </w:rPr>
              <w:t>0</w:t>
            </w:r>
          </w:p>
        </w:tc>
        <w:tc>
          <w:tcPr>
            <w:tcW w:w="590" w:type="pct"/>
            <w:vAlign w:val="center"/>
          </w:tcPr>
          <w:p w14:paraId="0FD8AD37">
            <w:pPr>
              <w:spacing w:line="276" w:lineRule="auto"/>
              <w:jc w:val="center"/>
              <w:rPr>
                <w:sz w:val="21"/>
                <w:szCs w:val="21"/>
              </w:rPr>
            </w:pPr>
            <w:r>
              <w:rPr>
                <w:rFonts w:hint="eastAsia"/>
                <w:sz w:val="21"/>
                <w:szCs w:val="21"/>
              </w:rPr>
              <w:t>0</w:t>
            </w:r>
          </w:p>
        </w:tc>
        <w:tc>
          <w:tcPr>
            <w:tcW w:w="590" w:type="pct"/>
            <w:vAlign w:val="center"/>
          </w:tcPr>
          <w:p w14:paraId="6230E6F6">
            <w:pPr>
              <w:spacing w:line="276" w:lineRule="auto"/>
              <w:jc w:val="center"/>
              <w:rPr>
                <w:sz w:val="21"/>
                <w:szCs w:val="21"/>
              </w:rPr>
            </w:pPr>
            <w:r>
              <w:rPr>
                <w:rFonts w:hint="eastAsia"/>
                <w:sz w:val="21"/>
                <w:szCs w:val="21"/>
              </w:rPr>
              <w:t>/</w:t>
            </w:r>
          </w:p>
        </w:tc>
        <w:tc>
          <w:tcPr>
            <w:tcW w:w="590" w:type="pct"/>
            <w:vAlign w:val="center"/>
          </w:tcPr>
          <w:p w14:paraId="173D9E84">
            <w:pPr>
              <w:spacing w:line="276" w:lineRule="auto"/>
              <w:jc w:val="center"/>
              <w:rPr>
                <w:sz w:val="21"/>
                <w:szCs w:val="21"/>
              </w:rPr>
            </w:pPr>
            <w:r>
              <w:rPr>
                <w:rFonts w:hint="eastAsia"/>
                <w:sz w:val="21"/>
                <w:szCs w:val="21"/>
              </w:rPr>
              <w:t>0.000576</w:t>
            </w:r>
            <w:r>
              <w:rPr>
                <w:rFonts w:hint="eastAsia"/>
                <w:sz w:val="21"/>
                <w:szCs w:val="21"/>
                <w:lang w:val="en-US" w:eastAsia="zh-CN"/>
              </w:rPr>
              <w:t>t/a</w:t>
            </w:r>
          </w:p>
        </w:tc>
        <w:tc>
          <w:tcPr>
            <w:tcW w:w="590" w:type="pct"/>
            <w:vAlign w:val="center"/>
          </w:tcPr>
          <w:p w14:paraId="4576E9D5">
            <w:pPr>
              <w:spacing w:line="276" w:lineRule="auto"/>
              <w:jc w:val="center"/>
              <w:rPr>
                <w:sz w:val="21"/>
                <w:szCs w:val="21"/>
              </w:rPr>
            </w:pPr>
            <w:r>
              <w:rPr>
                <w:rFonts w:hint="eastAsia"/>
                <w:sz w:val="21"/>
                <w:szCs w:val="21"/>
              </w:rPr>
              <w:t>/</w:t>
            </w:r>
          </w:p>
        </w:tc>
        <w:tc>
          <w:tcPr>
            <w:tcW w:w="1675" w:type="dxa"/>
            <w:vAlign w:val="center"/>
          </w:tcPr>
          <w:p w14:paraId="040AEDB0">
            <w:pPr>
              <w:spacing w:line="276" w:lineRule="auto"/>
              <w:jc w:val="center"/>
              <w:rPr>
                <w:sz w:val="21"/>
                <w:szCs w:val="21"/>
              </w:rPr>
            </w:pPr>
            <w:r>
              <w:rPr>
                <w:rFonts w:hint="eastAsia"/>
                <w:sz w:val="21"/>
                <w:szCs w:val="21"/>
              </w:rPr>
              <w:t>0.000576</w:t>
            </w:r>
            <w:r>
              <w:rPr>
                <w:rFonts w:hint="eastAsia"/>
                <w:sz w:val="21"/>
                <w:szCs w:val="21"/>
                <w:lang w:val="en-US" w:eastAsia="zh-CN"/>
              </w:rPr>
              <w:t>t/a</w:t>
            </w:r>
          </w:p>
        </w:tc>
        <w:tc>
          <w:tcPr>
            <w:tcW w:w="1623" w:type="dxa"/>
            <w:vAlign w:val="center"/>
          </w:tcPr>
          <w:p w14:paraId="1EFCBEA8">
            <w:pPr>
              <w:spacing w:line="276" w:lineRule="auto"/>
              <w:jc w:val="center"/>
              <w:rPr>
                <w:sz w:val="21"/>
                <w:szCs w:val="21"/>
              </w:rPr>
            </w:pPr>
            <w:r>
              <w:rPr>
                <w:rFonts w:hint="eastAsia"/>
                <w:sz w:val="21"/>
                <w:szCs w:val="21"/>
                <w:lang w:val="en-US" w:eastAsia="zh-CN"/>
              </w:rPr>
              <w:t>+</w:t>
            </w:r>
            <w:r>
              <w:rPr>
                <w:rFonts w:hint="eastAsia"/>
                <w:sz w:val="21"/>
                <w:szCs w:val="21"/>
              </w:rPr>
              <w:t>0.000576</w:t>
            </w:r>
            <w:r>
              <w:rPr>
                <w:rFonts w:hint="eastAsia"/>
                <w:sz w:val="21"/>
                <w:szCs w:val="21"/>
                <w:lang w:val="en-US" w:eastAsia="zh-CN"/>
              </w:rPr>
              <w:t>t/a</w:t>
            </w:r>
          </w:p>
        </w:tc>
      </w:tr>
      <w:tr w14:paraId="35D6D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304579F">
            <w:pPr>
              <w:spacing w:line="276" w:lineRule="auto"/>
              <w:jc w:val="center"/>
              <w:rPr>
                <w:rFonts w:hAnsi="宋体"/>
                <w:sz w:val="21"/>
                <w:szCs w:val="21"/>
              </w:rPr>
            </w:pPr>
          </w:p>
        </w:tc>
        <w:tc>
          <w:tcPr>
            <w:tcW w:w="620" w:type="pct"/>
            <w:vAlign w:val="center"/>
          </w:tcPr>
          <w:p w14:paraId="7834D73D">
            <w:pPr>
              <w:spacing w:line="276" w:lineRule="auto"/>
              <w:jc w:val="center"/>
              <w:rPr>
                <w:sz w:val="21"/>
                <w:szCs w:val="21"/>
              </w:rPr>
            </w:pPr>
            <w:r>
              <w:rPr>
                <w:rFonts w:hint="eastAsia"/>
                <w:sz w:val="21"/>
                <w:szCs w:val="21"/>
              </w:rPr>
              <w:t>臭气浓度</w:t>
            </w:r>
          </w:p>
        </w:tc>
        <w:tc>
          <w:tcPr>
            <w:tcW w:w="485" w:type="pct"/>
            <w:vAlign w:val="center"/>
          </w:tcPr>
          <w:p w14:paraId="74F3E551">
            <w:pPr>
              <w:spacing w:line="276" w:lineRule="auto"/>
              <w:jc w:val="center"/>
              <w:rPr>
                <w:sz w:val="21"/>
                <w:szCs w:val="21"/>
              </w:rPr>
            </w:pPr>
            <w:r>
              <w:rPr>
                <w:rFonts w:hint="eastAsia"/>
                <w:sz w:val="21"/>
                <w:szCs w:val="21"/>
              </w:rPr>
              <w:t>0</w:t>
            </w:r>
          </w:p>
        </w:tc>
        <w:tc>
          <w:tcPr>
            <w:tcW w:w="590" w:type="pct"/>
            <w:vAlign w:val="center"/>
          </w:tcPr>
          <w:p w14:paraId="1DC0DCE0">
            <w:pPr>
              <w:spacing w:line="276" w:lineRule="auto"/>
              <w:jc w:val="center"/>
              <w:rPr>
                <w:sz w:val="21"/>
                <w:szCs w:val="21"/>
              </w:rPr>
            </w:pPr>
            <w:r>
              <w:rPr>
                <w:rFonts w:hint="eastAsia"/>
                <w:sz w:val="21"/>
                <w:szCs w:val="21"/>
              </w:rPr>
              <w:t>0</w:t>
            </w:r>
          </w:p>
        </w:tc>
        <w:tc>
          <w:tcPr>
            <w:tcW w:w="590" w:type="pct"/>
            <w:vAlign w:val="center"/>
          </w:tcPr>
          <w:p w14:paraId="6DCFBF16">
            <w:pPr>
              <w:spacing w:line="276" w:lineRule="auto"/>
              <w:jc w:val="center"/>
              <w:rPr>
                <w:sz w:val="21"/>
                <w:szCs w:val="21"/>
              </w:rPr>
            </w:pPr>
            <w:r>
              <w:rPr>
                <w:rFonts w:hint="eastAsia"/>
                <w:sz w:val="21"/>
                <w:szCs w:val="21"/>
              </w:rPr>
              <w:t>/</w:t>
            </w:r>
          </w:p>
        </w:tc>
        <w:tc>
          <w:tcPr>
            <w:tcW w:w="590" w:type="pct"/>
            <w:vAlign w:val="center"/>
          </w:tcPr>
          <w:p w14:paraId="4EB6241B">
            <w:pPr>
              <w:spacing w:line="276" w:lineRule="auto"/>
              <w:jc w:val="center"/>
              <w:rPr>
                <w:sz w:val="21"/>
                <w:szCs w:val="21"/>
              </w:rPr>
            </w:pPr>
            <w:r>
              <w:rPr>
                <w:rFonts w:hint="eastAsia"/>
                <w:sz w:val="21"/>
                <w:szCs w:val="21"/>
              </w:rPr>
              <w:t>/</w:t>
            </w:r>
          </w:p>
        </w:tc>
        <w:tc>
          <w:tcPr>
            <w:tcW w:w="590" w:type="pct"/>
            <w:vAlign w:val="center"/>
          </w:tcPr>
          <w:p w14:paraId="4F100170">
            <w:pPr>
              <w:spacing w:line="276" w:lineRule="auto"/>
              <w:jc w:val="center"/>
              <w:rPr>
                <w:sz w:val="21"/>
                <w:szCs w:val="21"/>
              </w:rPr>
            </w:pPr>
            <w:r>
              <w:rPr>
                <w:rFonts w:hint="eastAsia"/>
                <w:sz w:val="21"/>
                <w:szCs w:val="21"/>
              </w:rPr>
              <w:t>/</w:t>
            </w:r>
          </w:p>
        </w:tc>
        <w:tc>
          <w:tcPr>
            <w:tcW w:w="1675" w:type="dxa"/>
            <w:vAlign w:val="center"/>
          </w:tcPr>
          <w:p w14:paraId="1360A90A">
            <w:pPr>
              <w:spacing w:line="276" w:lineRule="auto"/>
              <w:jc w:val="center"/>
              <w:rPr>
                <w:sz w:val="21"/>
                <w:szCs w:val="21"/>
              </w:rPr>
            </w:pPr>
            <w:r>
              <w:rPr>
                <w:rFonts w:hint="eastAsia"/>
                <w:sz w:val="21"/>
                <w:szCs w:val="21"/>
              </w:rPr>
              <w:t>/</w:t>
            </w:r>
          </w:p>
        </w:tc>
        <w:tc>
          <w:tcPr>
            <w:tcW w:w="1623" w:type="dxa"/>
            <w:vAlign w:val="center"/>
          </w:tcPr>
          <w:p w14:paraId="79A4C0C7">
            <w:pPr>
              <w:spacing w:line="276" w:lineRule="auto"/>
              <w:jc w:val="center"/>
              <w:rPr>
                <w:sz w:val="21"/>
                <w:szCs w:val="21"/>
              </w:rPr>
            </w:pPr>
            <w:r>
              <w:rPr>
                <w:rFonts w:hint="eastAsia"/>
                <w:sz w:val="21"/>
                <w:szCs w:val="21"/>
              </w:rPr>
              <w:t>/</w:t>
            </w:r>
          </w:p>
        </w:tc>
      </w:tr>
      <w:tr w14:paraId="3FEE9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28D4E066">
            <w:pPr>
              <w:spacing w:line="276" w:lineRule="auto"/>
              <w:jc w:val="center"/>
              <w:rPr>
                <w:sz w:val="21"/>
                <w:szCs w:val="21"/>
              </w:rPr>
            </w:pPr>
            <w:r>
              <w:rPr>
                <w:rFonts w:hAnsi="宋体"/>
                <w:sz w:val="21"/>
                <w:szCs w:val="21"/>
              </w:rPr>
              <w:t>废水</w:t>
            </w:r>
          </w:p>
        </w:tc>
        <w:tc>
          <w:tcPr>
            <w:tcW w:w="620" w:type="pct"/>
            <w:vAlign w:val="center"/>
          </w:tcPr>
          <w:p w14:paraId="2EA816D4">
            <w:pPr>
              <w:spacing w:line="276" w:lineRule="auto"/>
              <w:jc w:val="center"/>
              <w:rPr>
                <w:sz w:val="21"/>
                <w:szCs w:val="21"/>
              </w:rPr>
            </w:pPr>
            <w:r>
              <w:rPr>
                <w:sz w:val="21"/>
                <w:szCs w:val="21"/>
              </w:rPr>
              <w:t>COD</w:t>
            </w:r>
          </w:p>
        </w:tc>
        <w:tc>
          <w:tcPr>
            <w:tcW w:w="485" w:type="pct"/>
            <w:vAlign w:val="center"/>
          </w:tcPr>
          <w:p w14:paraId="7B423E08">
            <w:pPr>
              <w:spacing w:line="276" w:lineRule="auto"/>
              <w:jc w:val="center"/>
              <w:rPr>
                <w:sz w:val="21"/>
                <w:szCs w:val="21"/>
              </w:rPr>
            </w:pPr>
            <w:r>
              <w:rPr>
                <w:rFonts w:hint="eastAsia"/>
                <w:sz w:val="21"/>
                <w:szCs w:val="21"/>
              </w:rPr>
              <w:t>0</w:t>
            </w:r>
          </w:p>
        </w:tc>
        <w:tc>
          <w:tcPr>
            <w:tcW w:w="590" w:type="pct"/>
            <w:vAlign w:val="center"/>
          </w:tcPr>
          <w:p w14:paraId="0A4826E3">
            <w:pPr>
              <w:spacing w:line="276" w:lineRule="auto"/>
              <w:jc w:val="center"/>
              <w:rPr>
                <w:sz w:val="21"/>
                <w:szCs w:val="21"/>
              </w:rPr>
            </w:pPr>
            <w:r>
              <w:rPr>
                <w:rFonts w:hint="eastAsia"/>
                <w:sz w:val="21"/>
                <w:szCs w:val="21"/>
              </w:rPr>
              <w:t>0</w:t>
            </w:r>
          </w:p>
        </w:tc>
        <w:tc>
          <w:tcPr>
            <w:tcW w:w="590" w:type="pct"/>
            <w:vAlign w:val="center"/>
          </w:tcPr>
          <w:p w14:paraId="3EA6FEF3">
            <w:pPr>
              <w:spacing w:line="276" w:lineRule="auto"/>
              <w:jc w:val="center"/>
              <w:rPr>
                <w:sz w:val="21"/>
                <w:szCs w:val="21"/>
              </w:rPr>
            </w:pPr>
            <w:r>
              <w:rPr>
                <w:rFonts w:hint="eastAsia"/>
                <w:sz w:val="21"/>
                <w:szCs w:val="21"/>
              </w:rPr>
              <w:t>/</w:t>
            </w:r>
          </w:p>
        </w:tc>
        <w:tc>
          <w:tcPr>
            <w:tcW w:w="590" w:type="pct"/>
            <w:vAlign w:val="center"/>
          </w:tcPr>
          <w:p w14:paraId="3A71EC5A">
            <w:pPr>
              <w:jc w:val="center"/>
              <w:rPr>
                <w:rFonts w:hint="default" w:eastAsia="宋体"/>
                <w:sz w:val="21"/>
                <w:szCs w:val="21"/>
                <w:lang w:val="en-US" w:eastAsia="zh-CN"/>
              </w:rPr>
            </w:pPr>
            <w:r>
              <w:rPr>
                <w:rFonts w:hint="eastAsia"/>
                <w:sz w:val="21"/>
                <w:szCs w:val="21"/>
                <w:lang w:val="en-US" w:eastAsia="zh-CN"/>
              </w:rPr>
              <w:t>0.121t/a</w:t>
            </w:r>
          </w:p>
        </w:tc>
        <w:tc>
          <w:tcPr>
            <w:tcW w:w="590" w:type="pct"/>
            <w:vAlign w:val="center"/>
          </w:tcPr>
          <w:p w14:paraId="166230DD">
            <w:pPr>
              <w:spacing w:line="276" w:lineRule="auto"/>
              <w:jc w:val="center"/>
              <w:rPr>
                <w:sz w:val="21"/>
                <w:szCs w:val="21"/>
              </w:rPr>
            </w:pPr>
            <w:r>
              <w:rPr>
                <w:rFonts w:hint="eastAsia"/>
                <w:sz w:val="21"/>
                <w:szCs w:val="21"/>
              </w:rPr>
              <w:t>/</w:t>
            </w:r>
          </w:p>
        </w:tc>
        <w:tc>
          <w:tcPr>
            <w:tcW w:w="1675" w:type="dxa"/>
            <w:vAlign w:val="center"/>
          </w:tcPr>
          <w:p w14:paraId="199D1839">
            <w:pPr>
              <w:jc w:val="center"/>
              <w:rPr>
                <w:sz w:val="21"/>
                <w:szCs w:val="21"/>
              </w:rPr>
            </w:pPr>
            <w:r>
              <w:rPr>
                <w:rFonts w:hint="eastAsia"/>
                <w:sz w:val="21"/>
                <w:szCs w:val="21"/>
                <w:lang w:val="en-US" w:eastAsia="zh-CN"/>
              </w:rPr>
              <w:t>0.121t/a</w:t>
            </w:r>
          </w:p>
        </w:tc>
        <w:tc>
          <w:tcPr>
            <w:tcW w:w="1623" w:type="dxa"/>
            <w:vAlign w:val="center"/>
          </w:tcPr>
          <w:p w14:paraId="2D697BD7">
            <w:pPr>
              <w:jc w:val="center"/>
              <w:rPr>
                <w:sz w:val="21"/>
                <w:szCs w:val="21"/>
              </w:rPr>
            </w:pPr>
            <w:r>
              <w:rPr>
                <w:rFonts w:hint="eastAsia"/>
                <w:sz w:val="21"/>
                <w:szCs w:val="21"/>
                <w:lang w:val="en-US" w:eastAsia="zh-CN"/>
              </w:rPr>
              <w:t>+0.121t/a</w:t>
            </w:r>
          </w:p>
        </w:tc>
      </w:tr>
      <w:tr w14:paraId="3E6CF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4D1AF73">
            <w:pPr>
              <w:spacing w:line="276" w:lineRule="auto"/>
              <w:jc w:val="center"/>
              <w:rPr>
                <w:rFonts w:hAnsi="宋体"/>
                <w:sz w:val="21"/>
                <w:szCs w:val="21"/>
              </w:rPr>
            </w:pPr>
          </w:p>
        </w:tc>
        <w:tc>
          <w:tcPr>
            <w:tcW w:w="620" w:type="pct"/>
            <w:vAlign w:val="center"/>
          </w:tcPr>
          <w:p w14:paraId="13B71CCC">
            <w:pPr>
              <w:spacing w:line="276" w:lineRule="auto"/>
              <w:jc w:val="center"/>
              <w:rPr>
                <w:sz w:val="21"/>
                <w:szCs w:val="21"/>
              </w:rPr>
            </w:pPr>
            <w:r>
              <w:rPr>
                <w:rFonts w:hint="eastAsia"/>
                <w:sz w:val="21"/>
                <w:szCs w:val="21"/>
              </w:rPr>
              <w:t>BOD</w:t>
            </w:r>
            <w:r>
              <w:rPr>
                <w:rFonts w:hint="eastAsia"/>
                <w:sz w:val="21"/>
                <w:szCs w:val="21"/>
                <w:vertAlign w:val="subscript"/>
              </w:rPr>
              <w:t>5</w:t>
            </w:r>
          </w:p>
        </w:tc>
        <w:tc>
          <w:tcPr>
            <w:tcW w:w="485" w:type="pct"/>
            <w:vAlign w:val="center"/>
          </w:tcPr>
          <w:p w14:paraId="418D0DF5">
            <w:pPr>
              <w:spacing w:line="276" w:lineRule="auto"/>
              <w:jc w:val="center"/>
              <w:rPr>
                <w:sz w:val="21"/>
                <w:szCs w:val="21"/>
              </w:rPr>
            </w:pPr>
            <w:r>
              <w:rPr>
                <w:rFonts w:hint="eastAsia"/>
                <w:sz w:val="21"/>
                <w:szCs w:val="21"/>
              </w:rPr>
              <w:t>0</w:t>
            </w:r>
          </w:p>
        </w:tc>
        <w:tc>
          <w:tcPr>
            <w:tcW w:w="590" w:type="pct"/>
            <w:vAlign w:val="center"/>
          </w:tcPr>
          <w:p w14:paraId="598D27AB">
            <w:pPr>
              <w:spacing w:line="276" w:lineRule="auto"/>
              <w:jc w:val="center"/>
              <w:rPr>
                <w:sz w:val="21"/>
                <w:szCs w:val="21"/>
              </w:rPr>
            </w:pPr>
            <w:r>
              <w:rPr>
                <w:rFonts w:hint="eastAsia"/>
                <w:sz w:val="21"/>
                <w:szCs w:val="21"/>
              </w:rPr>
              <w:t>0</w:t>
            </w:r>
          </w:p>
        </w:tc>
        <w:tc>
          <w:tcPr>
            <w:tcW w:w="590" w:type="pct"/>
            <w:vAlign w:val="center"/>
          </w:tcPr>
          <w:p w14:paraId="5D079A2C">
            <w:pPr>
              <w:spacing w:line="276" w:lineRule="auto"/>
              <w:jc w:val="center"/>
              <w:rPr>
                <w:sz w:val="21"/>
                <w:szCs w:val="21"/>
              </w:rPr>
            </w:pPr>
            <w:r>
              <w:rPr>
                <w:rFonts w:hint="eastAsia"/>
                <w:sz w:val="21"/>
                <w:szCs w:val="21"/>
              </w:rPr>
              <w:t>/</w:t>
            </w:r>
          </w:p>
        </w:tc>
        <w:tc>
          <w:tcPr>
            <w:tcW w:w="590" w:type="pct"/>
            <w:vAlign w:val="center"/>
          </w:tcPr>
          <w:p w14:paraId="2CAC1FE9">
            <w:pPr>
              <w:jc w:val="center"/>
              <w:rPr>
                <w:rFonts w:hint="default" w:eastAsia="宋体"/>
                <w:sz w:val="21"/>
                <w:szCs w:val="21"/>
                <w:lang w:val="en-US" w:eastAsia="zh-CN"/>
              </w:rPr>
            </w:pPr>
            <w:r>
              <w:rPr>
                <w:rFonts w:hint="eastAsia"/>
                <w:sz w:val="21"/>
                <w:szCs w:val="21"/>
                <w:lang w:val="en-US" w:eastAsia="zh-CN"/>
              </w:rPr>
              <w:t>0.048t/a</w:t>
            </w:r>
          </w:p>
        </w:tc>
        <w:tc>
          <w:tcPr>
            <w:tcW w:w="590" w:type="pct"/>
            <w:vAlign w:val="center"/>
          </w:tcPr>
          <w:p w14:paraId="5CA0B69F">
            <w:pPr>
              <w:spacing w:line="276" w:lineRule="auto"/>
              <w:jc w:val="center"/>
              <w:rPr>
                <w:sz w:val="21"/>
                <w:szCs w:val="21"/>
              </w:rPr>
            </w:pPr>
            <w:r>
              <w:rPr>
                <w:rFonts w:hint="eastAsia"/>
                <w:sz w:val="21"/>
                <w:szCs w:val="21"/>
              </w:rPr>
              <w:t>/</w:t>
            </w:r>
          </w:p>
        </w:tc>
        <w:tc>
          <w:tcPr>
            <w:tcW w:w="1675" w:type="dxa"/>
            <w:vAlign w:val="center"/>
          </w:tcPr>
          <w:p w14:paraId="4EE6442F">
            <w:pPr>
              <w:jc w:val="center"/>
              <w:rPr>
                <w:sz w:val="21"/>
                <w:szCs w:val="21"/>
              </w:rPr>
            </w:pPr>
            <w:r>
              <w:rPr>
                <w:rFonts w:hint="eastAsia"/>
                <w:sz w:val="21"/>
                <w:szCs w:val="21"/>
                <w:lang w:val="en-US" w:eastAsia="zh-CN"/>
              </w:rPr>
              <w:t>0.048t/a</w:t>
            </w:r>
          </w:p>
        </w:tc>
        <w:tc>
          <w:tcPr>
            <w:tcW w:w="1623" w:type="dxa"/>
            <w:vAlign w:val="center"/>
          </w:tcPr>
          <w:p w14:paraId="7FFD048B">
            <w:pPr>
              <w:jc w:val="center"/>
              <w:rPr>
                <w:sz w:val="21"/>
                <w:szCs w:val="21"/>
              </w:rPr>
            </w:pPr>
            <w:r>
              <w:rPr>
                <w:rFonts w:hint="eastAsia"/>
                <w:sz w:val="21"/>
                <w:szCs w:val="21"/>
                <w:lang w:val="en-US" w:eastAsia="zh-CN"/>
              </w:rPr>
              <w:t>+0.048t/a</w:t>
            </w:r>
          </w:p>
        </w:tc>
      </w:tr>
      <w:tr w14:paraId="1BE5A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6CA245E8">
            <w:pPr>
              <w:spacing w:line="276" w:lineRule="auto"/>
              <w:jc w:val="center"/>
              <w:rPr>
                <w:rFonts w:hAnsi="宋体"/>
                <w:sz w:val="21"/>
                <w:szCs w:val="21"/>
              </w:rPr>
            </w:pPr>
          </w:p>
        </w:tc>
        <w:tc>
          <w:tcPr>
            <w:tcW w:w="620" w:type="pct"/>
            <w:vAlign w:val="center"/>
          </w:tcPr>
          <w:p w14:paraId="74C56922">
            <w:pPr>
              <w:spacing w:line="276" w:lineRule="auto"/>
              <w:jc w:val="center"/>
              <w:rPr>
                <w:sz w:val="21"/>
                <w:szCs w:val="21"/>
              </w:rPr>
            </w:pPr>
            <w:r>
              <w:rPr>
                <w:rFonts w:hint="eastAsia"/>
                <w:sz w:val="21"/>
                <w:szCs w:val="21"/>
              </w:rPr>
              <w:t>SS</w:t>
            </w:r>
          </w:p>
        </w:tc>
        <w:tc>
          <w:tcPr>
            <w:tcW w:w="485" w:type="pct"/>
            <w:vAlign w:val="center"/>
          </w:tcPr>
          <w:p w14:paraId="352F4289">
            <w:pPr>
              <w:spacing w:line="276" w:lineRule="auto"/>
              <w:jc w:val="center"/>
              <w:rPr>
                <w:sz w:val="21"/>
                <w:szCs w:val="21"/>
              </w:rPr>
            </w:pPr>
            <w:r>
              <w:rPr>
                <w:rFonts w:hint="eastAsia"/>
                <w:sz w:val="21"/>
                <w:szCs w:val="21"/>
              </w:rPr>
              <w:t>0</w:t>
            </w:r>
          </w:p>
        </w:tc>
        <w:tc>
          <w:tcPr>
            <w:tcW w:w="590" w:type="pct"/>
            <w:vAlign w:val="center"/>
          </w:tcPr>
          <w:p w14:paraId="13009E1E">
            <w:pPr>
              <w:spacing w:line="276" w:lineRule="auto"/>
              <w:jc w:val="center"/>
              <w:rPr>
                <w:sz w:val="21"/>
                <w:szCs w:val="21"/>
              </w:rPr>
            </w:pPr>
            <w:r>
              <w:rPr>
                <w:rFonts w:hint="eastAsia"/>
                <w:sz w:val="21"/>
                <w:szCs w:val="21"/>
              </w:rPr>
              <w:t>0</w:t>
            </w:r>
          </w:p>
        </w:tc>
        <w:tc>
          <w:tcPr>
            <w:tcW w:w="590" w:type="pct"/>
            <w:vAlign w:val="center"/>
          </w:tcPr>
          <w:p w14:paraId="3E3700C3">
            <w:pPr>
              <w:spacing w:line="276" w:lineRule="auto"/>
              <w:jc w:val="center"/>
              <w:rPr>
                <w:sz w:val="21"/>
                <w:szCs w:val="21"/>
              </w:rPr>
            </w:pPr>
            <w:r>
              <w:rPr>
                <w:rFonts w:hint="eastAsia"/>
                <w:sz w:val="21"/>
                <w:szCs w:val="21"/>
              </w:rPr>
              <w:t>/</w:t>
            </w:r>
          </w:p>
        </w:tc>
        <w:tc>
          <w:tcPr>
            <w:tcW w:w="590" w:type="pct"/>
            <w:vAlign w:val="center"/>
          </w:tcPr>
          <w:p w14:paraId="2EB19619">
            <w:pPr>
              <w:jc w:val="center"/>
              <w:rPr>
                <w:rFonts w:hint="default" w:eastAsia="宋体"/>
                <w:sz w:val="21"/>
                <w:szCs w:val="21"/>
                <w:lang w:val="en-US" w:eastAsia="zh-CN"/>
              </w:rPr>
            </w:pPr>
            <w:r>
              <w:rPr>
                <w:rFonts w:hint="eastAsia"/>
                <w:sz w:val="21"/>
                <w:szCs w:val="21"/>
                <w:lang w:val="en-US" w:eastAsia="zh-CN"/>
              </w:rPr>
              <w:t>0.007t/a</w:t>
            </w:r>
          </w:p>
        </w:tc>
        <w:tc>
          <w:tcPr>
            <w:tcW w:w="590" w:type="pct"/>
            <w:vAlign w:val="center"/>
          </w:tcPr>
          <w:p w14:paraId="1321752B">
            <w:pPr>
              <w:spacing w:line="276" w:lineRule="auto"/>
              <w:jc w:val="center"/>
              <w:rPr>
                <w:sz w:val="21"/>
                <w:szCs w:val="21"/>
              </w:rPr>
            </w:pPr>
            <w:r>
              <w:rPr>
                <w:rFonts w:hint="eastAsia"/>
                <w:sz w:val="21"/>
                <w:szCs w:val="21"/>
              </w:rPr>
              <w:t>/</w:t>
            </w:r>
          </w:p>
        </w:tc>
        <w:tc>
          <w:tcPr>
            <w:tcW w:w="1675" w:type="dxa"/>
            <w:vAlign w:val="center"/>
          </w:tcPr>
          <w:p w14:paraId="0A598253">
            <w:pPr>
              <w:jc w:val="center"/>
              <w:rPr>
                <w:sz w:val="21"/>
                <w:szCs w:val="21"/>
              </w:rPr>
            </w:pPr>
            <w:r>
              <w:rPr>
                <w:rFonts w:hint="eastAsia"/>
                <w:sz w:val="21"/>
                <w:szCs w:val="21"/>
                <w:lang w:val="en-US" w:eastAsia="zh-CN"/>
              </w:rPr>
              <w:t>0.007t/a</w:t>
            </w:r>
          </w:p>
        </w:tc>
        <w:tc>
          <w:tcPr>
            <w:tcW w:w="1623" w:type="dxa"/>
            <w:vAlign w:val="center"/>
          </w:tcPr>
          <w:p w14:paraId="3A9BB560">
            <w:pPr>
              <w:jc w:val="center"/>
              <w:rPr>
                <w:sz w:val="21"/>
                <w:szCs w:val="21"/>
              </w:rPr>
            </w:pPr>
            <w:r>
              <w:rPr>
                <w:rFonts w:hint="eastAsia"/>
                <w:sz w:val="21"/>
                <w:szCs w:val="21"/>
                <w:lang w:val="en-US" w:eastAsia="zh-CN"/>
              </w:rPr>
              <w:t>+0.007t/a</w:t>
            </w:r>
          </w:p>
        </w:tc>
      </w:tr>
      <w:tr w14:paraId="72D85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5990F678">
            <w:pPr>
              <w:spacing w:line="276" w:lineRule="auto"/>
              <w:jc w:val="center"/>
              <w:rPr>
                <w:rFonts w:hAnsi="宋体"/>
                <w:sz w:val="21"/>
                <w:szCs w:val="21"/>
              </w:rPr>
            </w:pPr>
          </w:p>
        </w:tc>
        <w:tc>
          <w:tcPr>
            <w:tcW w:w="620" w:type="pct"/>
            <w:vAlign w:val="center"/>
          </w:tcPr>
          <w:p w14:paraId="3D6F8F22">
            <w:pPr>
              <w:spacing w:line="276" w:lineRule="auto"/>
              <w:jc w:val="center"/>
              <w:rPr>
                <w:sz w:val="21"/>
                <w:szCs w:val="21"/>
              </w:rPr>
            </w:pPr>
            <w:r>
              <w:rPr>
                <w:sz w:val="21"/>
                <w:szCs w:val="21"/>
              </w:rPr>
              <w:t>氨氮</w:t>
            </w:r>
          </w:p>
        </w:tc>
        <w:tc>
          <w:tcPr>
            <w:tcW w:w="485" w:type="pct"/>
            <w:vAlign w:val="center"/>
          </w:tcPr>
          <w:p w14:paraId="3A7C65C9">
            <w:pPr>
              <w:spacing w:line="276" w:lineRule="auto"/>
              <w:jc w:val="center"/>
              <w:rPr>
                <w:sz w:val="21"/>
                <w:szCs w:val="21"/>
              </w:rPr>
            </w:pPr>
            <w:r>
              <w:rPr>
                <w:rFonts w:hint="eastAsia"/>
                <w:sz w:val="21"/>
                <w:szCs w:val="21"/>
              </w:rPr>
              <w:t>0</w:t>
            </w:r>
          </w:p>
        </w:tc>
        <w:tc>
          <w:tcPr>
            <w:tcW w:w="590" w:type="pct"/>
            <w:vAlign w:val="center"/>
          </w:tcPr>
          <w:p w14:paraId="202BF6AD">
            <w:pPr>
              <w:spacing w:line="276" w:lineRule="auto"/>
              <w:jc w:val="center"/>
              <w:rPr>
                <w:sz w:val="21"/>
                <w:szCs w:val="21"/>
              </w:rPr>
            </w:pPr>
            <w:r>
              <w:rPr>
                <w:rFonts w:hint="eastAsia"/>
                <w:sz w:val="21"/>
                <w:szCs w:val="21"/>
              </w:rPr>
              <w:t>0</w:t>
            </w:r>
          </w:p>
        </w:tc>
        <w:tc>
          <w:tcPr>
            <w:tcW w:w="590" w:type="pct"/>
            <w:vAlign w:val="center"/>
          </w:tcPr>
          <w:p w14:paraId="62ACF6E5">
            <w:pPr>
              <w:spacing w:line="276" w:lineRule="auto"/>
              <w:jc w:val="center"/>
              <w:rPr>
                <w:sz w:val="21"/>
                <w:szCs w:val="21"/>
              </w:rPr>
            </w:pPr>
            <w:r>
              <w:rPr>
                <w:rFonts w:hint="eastAsia"/>
                <w:sz w:val="21"/>
                <w:szCs w:val="21"/>
              </w:rPr>
              <w:t>/</w:t>
            </w:r>
          </w:p>
        </w:tc>
        <w:tc>
          <w:tcPr>
            <w:tcW w:w="590" w:type="pct"/>
            <w:vAlign w:val="center"/>
          </w:tcPr>
          <w:p w14:paraId="7808B07A">
            <w:pPr>
              <w:jc w:val="center"/>
              <w:rPr>
                <w:sz w:val="21"/>
                <w:szCs w:val="21"/>
              </w:rPr>
            </w:pPr>
            <w:r>
              <w:rPr>
                <w:rFonts w:hint="eastAsia"/>
                <w:sz w:val="21"/>
                <w:szCs w:val="21"/>
              </w:rPr>
              <w:t>0.012</w:t>
            </w:r>
            <w:r>
              <w:rPr>
                <w:rFonts w:hint="eastAsia"/>
                <w:sz w:val="21"/>
                <w:szCs w:val="21"/>
                <w:lang w:val="en-US" w:eastAsia="zh-CN"/>
              </w:rPr>
              <w:t>t/a</w:t>
            </w:r>
          </w:p>
        </w:tc>
        <w:tc>
          <w:tcPr>
            <w:tcW w:w="590" w:type="pct"/>
            <w:vAlign w:val="center"/>
          </w:tcPr>
          <w:p w14:paraId="22B32524">
            <w:pPr>
              <w:spacing w:line="276" w:lineRule="auto"/>
              <w:jc w:val="center"/>
              <w:rPr>
                <w:sz w:val="21"/>
                <w:szCs w:val="21"/>
              </w:rPr>
            </w:pPr>
            <w:r>
              <w:rPr>
                <w:rFonts w:hint="eastAsia"/>
                <w:sz w:val="21"/>
                <w:szCs w:val="21"/>
              </w:rPr>
              <w:t>/</w:t>
            </w:r>
          </w:p>
        </w:tc>
        <w:tc>
          <w:tcPr>
            <w:tcW w:w="1675" w:type="dxa"/>
            <w:vAlign w:val="center"/>
          </w:tcPr>
          <w:p w14:paraId="50521195">
            <w:pPr>
              <w:jc w:val="center"/>
              <w:rPr>
                <w:sz w:val="21"/>
                <w:szCs w:val="21"/>
              </w:rPr>
            </w:pPr>
            <w:r>
              <w:rPr>
                <w:rFonts w:hint="eastAsia"/>
                <w:sz w:val="21"/>
                <w:szCs w:val="21"/>
              </w:rPr>
              <w:t>0.012</w:t>
            </w:r>
            <w:r>
              <w:rPr>
                <w:rFonts w:hint="eastAsia"/>
                <w:sz w:val="21"/>
                <w:szCs w:val="21"/>
                <w:lang w:val="en-US" w:eastAsia="zh-CN"/>
              </w:rPr>
              <w:t>t/a</w:t>
            </w:r>
          </w:p>
        </w:tc>
        <w:tc>
          <w:tcPr>
            <w:tcW w:w="1623" w:type="dxa"/>
            <w:vAlign w:val="center"/>
          </w:tcPr>
          <w:p w14:paraId="3A576CDD">
            <w:pPr>
              <w:jc w:val="center"/>
              <w:rPr>
                <w:sz w:val="21"/>
                <w:szCs w:val="21"/>
              </w:rPr>
            </w:pPr>
            <w:r>
              <w:rPr>
                <w:rFonts w:hint="eastAsia"/>
                <w:sz w:val="21"/>
                <w:szCs w:val="21"/>
                <w:lang w:val="en-US" w:eastAsia="zh-CN"/>
              </w:rPr>
              <w:t>+</w:t>
            </w:r>
            <w:r>
              <w:rPr>
                <w:rFonts w:hint="eastAsia"/>
                <w:sz w:val="21"/>
                <w:szCs w:val="21"/>
              </w:rPr>
              <w:t>0.012</w:t>
            </w:r>
            <w:r>
              <w:rPr>
                <w:rFonts w:hint="eastAsia"/>
                <w:sz w:val="21"/>
                <w:szCs w:val="21"/>
                <w:lang w:val="en-US" w:eastAsia="zh-CN"/>
              </w:rPr>
              <w:t>t/a</w:t>
            </w:r>
          </w:p>
        </w:tc>
      </w:tr>
      <w:tr w14:paraId="48649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57B04567">
            <w:pPr>
              <w:spacing w:line="276" w:lineRule="auto"/>
              <w:jc w:val="center"/>
              <w:rPr>
                <w:sz w:val="21"/>
                <w:szCs w:val="21"/>
              </w:rPr>
            </w:pPr>
            <w:r>
              <w:rPr>
                <w:rFonts w:hAnsi="宋体"/>
                <w:sz w:val="21"/>
                <w:szCs w:val="21"/>
              </w:rPr>
              <w:t>一般工业固体废物</w:t>
            </w:r>
          </w:p>
        </w:tc>
        <w:tc>
          <w:tcPr>
            <w:tcW w:w="620" w:type="pct"/>
            <w:vAlign w:val="center"/>
          </w:tcPr>
          <w:p w14:paraId="4D7B789D">
            <w:pPr>
              <w:pStyle w:val="39"/>
              <w:spacing w:line="276" w:lineRule="auto"/>
              <w:rPr>
                <w:szCs w:val="21"/>
              </w:rPr>
            </w:pPr>
            <w:r>
              <w:rPr>
                <w:szCs w:val="21"/>
              </w:rPr>
              <w:t>废包装材料</w:t>
            </w:r>
          </w:p>
        </w:tc>
        <w:tc>
          <w:tcPr>
            <w:tcW w:w="485" w:type="pct"/>
            <w:vAlign w:val="center"/>
          </w:tcPr>
          <w:p w14:paraId="6E9282D3">
            <w:pPr>
              <w:spacing w:line="276" w:lineRule="auto"/>
              <w:jc w:val="center"/>
              <w:rPr>
                <w:sz w:val="21"/>
                <w:szCs w:val="21"/>
              </w:rPr>
            </w:pPr>
            <w:r>
              <w:rPr>
                <w:rFonts w:hint="eastAsia"/>
                <w:sz w:val="21"/>
                <w:szCs w:val="21"/>
              </w:rPr>
              <w:t>0</w:t>
            </w:r>
          </w:p>
        </w:tc>
        <w:tc>
          <w:tcPr>
            <w:tcW w:w="590" w:type="pct"/>
            <w:vAlign w:val="center"/>
          </w:tcPr>
          <w:p w14:paraId="60B49155">
            <w:pPr>
              <w:spacing w:line="276" w:lineRule="auto"/>
              <w:jc w:val="center"/>
              <w:rPr>
                <w:sz w:val="21"/>
                <w:szCs w:val="21"/>
              </w:rPr>
            </w:pPr>
            <w:r>
              <w:rPr>
                <w:rFonts w:hint="eastAsia"/>
                <w:sz w:val="21"/>
                <w:szCs w:val="21"/>
              </w:rPr>
              <w:t>0</w:t>
            </w:r>
          </w:p>
        </w:tc>
        <w:tc>
          <w:tcPr>
            <w:tcW w:w="590" w:type="pct"/>
            <w:vAlign w:val="center"/>
          </w:tcPr>
          <w:p w14:paraId="2B2DFC67">
            <w:pPr>
              <w:spacing w:line="276" w:lineRule="auto"/>
              <w:jc w:val="center"/>
              <w:rPr>
                <w:sz w:val="21"/>
                <w:szCs w:val="21"/>
              </w:rPr>
            </w:pPr>
            <w:r>
              <w:rPr>
                <w:rFonts w:hint="eastAsia"/>
                <w:sz w:val="21"/>
                <w:szCs w:val="21"/>
              </w:rPr>
              <w:t>/</w:t>
            </w:r>
          </w:p>
        </w:tc>
        <w:tc>
          <w:tcPr>
            <w:tcW w:w="590" w:type="pct"/>
            <w:vAlign w:val="center"/>
          </w:tcPr>
          <w:p w14:paraId="21BD29C3">
            <w:pPr>
              <w:pStyle w:val="39"/>
              <w:spacing w:line="276" w:lineRule="auto"/>
              <w:rPr>
                <w:szCs w:val="21"/>
              </w:rPr>
            </w:pPr>
            <w:r>
              <w:rPr>
                <w:rFonts w:hint="eastAsia"/>
                <w:szCs w:val="21"/>
              </w:rPr>
              <w:t>1.61</w:t>
            </w:r>
            <w:r>
              <w:rPr>
                <w:rFonts w:hint="eastAsia"/>
                <w:szCs w:val="21"/>
                <w:lang w:val="en-US" w:eastAsia="zh-CN"/>
              </w:rPr>
              <w:t>t/a</w:t>
            </w:r>
          </w:p>
        </w:tc>
        <w:tc>
          <w:tcPr>
            <w:tcW w:w="590" w:type="pct"/>
            <w:vAlign w:val="center"/>
          </w:tcPr>
          <w:p w14:paraId="048C5930">
            <w:pPr>
              <w:spacing w:line="276" w:lineRule="auto"/>
              <w:jc w:val="center"/>
              <w:rPr>
                <w:sz w:val="21"/>
                <w:szCs w:val="21"/>
              </w:rPr>
            </w:pPr>
            <w:r>
              <w:rPr>
                <w:rFonts w:hint="eastAsia"/>
                <w:sz w:val="21"/>
                <w:szCs w:val="21"/>
              </w:rPr>
              <w:t>/</w:t>
            </w:r>
          </w:p>
        </w:tc>
        <w:tc>
          <w:tcPr>
            <w:tcW w:w="1675" w:type="dxa"/>
            <w:vAlign w:val="center"/>
          </w:tcPr>
          <w:p w14:paraId="5ADD7FD4">
            <w:pPr>
              <w:pStyle w:val="39"/>
              <w:spacing w:line="276" w:lineRule="auto"/>
              <w:rPr>
                <w:szCs w:val="21"/>
              </w:rPr>
            </w:pPr>
            <w:r>
              <w:rPr>
                <w:rFonts w:hint="eastAsia"/>
                <w:szCs w:val="21"/>
              </w:rPr>
              <w:t>1.61</w:t>
            </w:r>
            <w:r>
              <w:rPr>
                <w:rFonts w:hint="eastAsia"/>
                <w:szCs w:val="21"/>
                <w:lang w:val="en-US" w:eastAsia="zh-CN"/>
              </w:rPr>
              <w:t>t/a</w:t>
            </w:r>
          </w:p>
        </w:tc>
        <w:tc>
          <w:tcPr>
            <w:tcW w:w="1623" w:type="dxa"/>
            <w:vAlign w:val="center"/>
          </w:tcPr>
          <w:p w14:paraId="2E0D8CD7">
            <w:pPr>
              <w:pStyle w:val="39"/>
              <w:spacing w:line="276" w:lineRule="auto"/>
              <w:rPr>
                <w:szCs w:val="21"/>
              </w:rPr>
            </w:pPr>
            <w:r>
              <w:rPr>
                <w:rFonts w:hint="eastAsia"/>
                <w:szCs w:val="21"/>
                <w:lang w:val="en-US" w:eastAsia="zh-CN"/>
              </w:rPr>
              <w:t>+</w:t>
            </w:r>
            <w:r>
              <w:rPr>
                <w:rFonts w:hint="eastAsia"/>
                <w:szCs w:val="21"/>
              </w:rPr>
              <w:t>1.61</w:t>
            </w:r>
            <w:r>
              <w:rPr>
                <w:rFonts w:hint="eastAsia"/>
                <w:szCs w:val="21"/>
                <w:lang w:val="en-US" w:eastAsia="zh-CN"/>
              </w:rPr>
              <w:t>t/a</w:t>
            </w:r>
          </w:p>
        </w:tc>
      </w:tr>
      <w:tr w14:paraId="15BAC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78B6C0BA">
            <w:pPr>
              <w:spacing w:line="276" w:lineRule="auto"/>
              <w:jc w:val="center"/>
              <w:rPr>
                <w:rFonts w:hAnsi="宋体"/>
                <w:sz w:val="21"/>
                <w:szCs w:val="21"/>
              </w:rPr>
            </w:pPr>
          </w:p>
        </w:tc>
        <w:tc>
          <w:tcPr>
            <w:tcW w:w="620" w:type="pct"/>
            <w:vAlign w:val="center"/>
          </w:tcPr>
          <w:p w14:paraId="32F2062E">
            <w:pPr>
              <w:pStyle w:val="39"/>
              <w:spacing w:line="276" w:lineRule="auto"/>
              <w:rPr>
                <w:rFonts w:hAnsi="宋体"/>
                <w:szCs w:val="21"/>
              </w:rPr>
            </w:pPr>
            <w:r>
              <w:rPr>
                <w:rFonts w:hint="eastAsia"/>
                <w:szCs w:val="21"/>
              </w:rPr>
              <w:t>金属废边角料</w:t>
            </w:r>
          </w:p>
        </w:tc>
        <w:tc>
          <w:tcPr>
            <w:tcW w:w="485" w:type="pct"/>
            <w:vAlign w:val="center"/>
          </w:tcPr>
          <w:p w14:paraId="612D3926">
            <w:pPr>
              <w:spacing w:line="276" w:lineRule="auto"/>
              <w:jc w:val="center"/>
              <w:rPr>
                <w:sz w:val="21"/>
                <w:szCs w:val="21"/>
              </w:rPr>
            </w:pPr>
            <w:r>
              <w:rPr>
                <w:rFonts w:hint="eastAsia"/>
                <w:sz w:val="21"/>
                <w:szCs w:val="21"/>
              </w:rPr>
              <w:t>0</w:t>
            </w:r>
          </w:p>
        </w:tc>
        <w:tc>
          <w:tcPr>
            <w:tcW w:w="590" w:type="pct"/>
            <w:vAlign w:val="center"/>
          </w:tcPr>
          <w:p w14:paraId="0C0AAD1F">
            <w:pPr>
              <w:spacing w:line="276" w:lineRule="auto"/>
              <w:jc w:val="center"/>
              <w:rPr>
                <w:sz w:val="21"/>
                <w:szCs w:val="21"/>
              </w:rPr>
            </w:pPr>
            <w:r>
              <w:rPr>
                <w:rFonts w:hint="eastAsia"/>
                <w:sz w:val="21"/>
                <w:szCs w:val="21"/>
              </w:rPr>
              <w:t>0</w:t>
            </w:r>
          </w:p>
        </w:tc>
        <w:tc>
          <w:tcPr>
            <w:tcW w:w="590" w:type="pct"/>
            <w:vAlign w:val="center"/>
          </w:tcPr>
          <w:p w14:paraId="5FDBCACB">
            <w:pPr>
              <w:spacing w:line="276" w:lineRule="auto"/>
              <w:jc w:val="center"/>
              <w:rPr>
                <w:sz w:val="21"/>
                <w:szCs w:val="21"/>
              </w:rPr>
            </w:pPr>
            <w:r>
              <w:rPr>
                <w:rFonts w:hint="eastAsia"/>
                <w:sz w:val="21"/>
                <w:szCs w:val="21"/>
              </w:rPr>
              <w:t>/</w:t>
            </w:r>
          </w:p>
        </w:tc>
        <w:tc>
          <w:tcPr>
            <w:tcW w:w="590" w:type="pct"/>
            <w:vAlign w:val="center"/>
          </w:tcPr>
          <w:p w14:paraId="0323BA79">
            <w:pPr>
              <w:pStyle w:val="39"/>
              <w:spacing w:line="276" w:lineRule="auto"/>
              <w:rPr>
                <w:szCs w:val="21"/>
              </w:rPr>
            </w:pPr>
            <w:r>
              <w:rPr>
                <w:rFonts w:hint="eastAsia"/>
                <w:szCs w:val="21"/>
              </w:rPr>
              <w:t>70.2</w:t>
            </w:r>
            <w:r>
              <w:rPr>
                <w:rFonts w:hint="eastAsia"/>
                <w:szCs w:val="21"/>
                <w:lang w:val="en-US" w:eastAsia="zh-CN"/>
              </w:rPr>
              <w:t>t/a</w:t>
            </w:r>
          </w:p>
        </w:tc>
        <w:tc>
          <w:tcPr>
            <w:tcW w:w="590" w:type="pct"/>
            <w:vAlign w:val="center"/>
          </w:tcPr>
          <w:p w14:paraId="1598310A">
            <w:pPr>
              <w:spacing w:line="276" w:lineRule="auto"/>
              <w:jc w:val="center"/>
              <w:rPr>
                <w:sz w:val="21"/>
                <w:szCs w:val="21"/>
              </w:rPr>
            </w:pPr>
            <w:r>
              <w:rPr>
                <w:rFonts w:hint="eastAsia"/>
                <w:sz w:val="21"/>
                <w:szCs w:val="21"/>
              </w:rPr>
              <w:t>/</w:t>
            </w:r>
          </w:p>
        </w:tc>
        <w:tc>
          <w:tcPr>
            <w:tcW w:w="1675" w:type="dxa"/>
            <w:vAlign w:val="center"/>
          </w:tcPr>
          <w:p w14:paraId="7D8ABF74">
            <w:pPr>
              <w:pStyle w:val="39"/>
              <w:spacing w:line="276" w:lineRule="auto"/>
              <w:rPr>
                <w:szCs w:val="21"/>
              </w:rPr>
            </w:pPr>
            <w:r>
              <w:rPr>
                <w:rFonts w:hint="eastAsia"/>
                <w:szCs w:val="21"/>
              </w:rPr>
              <w:t>70.2</w:t>
            </w:r>
            <w:r>
              <w:rPr>
                <w:rFonts w:hint="eastAsia"/>
                <w:szCs w:val="21"/>
                <w:lang w:val="en-US" w:eastAsia="zh-CN"/>
              </w:rPr>
              <w:t>t/a</w:t>
            </w:r>
          </w:p>
        </w:tc>
        <w:tc>
          <w:tcPr>
            <w:tcW w:w="1623" w:type="dxa"/>
            <w:vAlign w:val="center"/>
          </w:tcPr>
          <w:p w14:paraId="19CF71D7">
            <w:pPr>
              <w:pStyle w:val="39"/>
              <w:spacing w:line="276" w:lineRule="auto"/>
              <w:rPr>
                <w:szCs w:val="21"/>
              </w:rPr>
            </w:pPr>
            <w:r>
              <w:rPr>
                <w:rFonts w:hint="eastAsia"/>
                <w:szCs w:val="21"/>
                <w:lang w:val="en-US" w:eastAsia="zh-CN"/>
              </w:rPr>
              <w:t>+</w:t>
            </w:r>
            <w:r>
              <w:rPr>
                <w:rFonts w:hint="eastAsia"/>
                <w:szCs w:val="21"/>
              </w:rPr>
              <w:t>70.2</w:t>
            </w:r>
            <w:r>
              <w:rPr>
                <w:rFonts w:hint="eastAsia"/>
                <w:szCs w:val="21"/>
                <w:lang w:val="en-US" w:eastAsia="zh-CN"/>
              </w:rPr>
              <w:t>t/a</w:t>
            </w:r>
          </w:p>
        </w:tc>
      </w:tr>
      <w:tr w14:paraId="4BB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5860FAE3">
            <w:pPr>
              <w:spacing w:line="276" w:lineRule="auto"/>
              <w:jc w:val="center"/>
              <w:rPr>
                <w:rFonts w:hAnsi="宋体"/>
                <w:sz w:val="21"/>
                <w:szCs w:val="21"/>
              </w:rPr>
            </w:pPr>
          </w:p>
        </w:tc>
        <w:tc>
          <w:tcPr>
            <w:tcW w:w="620" w:type="pct"/>
            <w:vAlign w:val="center"/>
          </w:tcPr>
          <w:p w14:paraId="7BB48884">
            <w:pPr>
              <w:pStyle w:val="39"/>
              <w:spacing w:line="276" w:lineRule="auto"/>
              <w:rPr>
                <w:szCs w:val="21"/>
              </w:rPr>
            </w:pPr>
            <w:r>
              <w:rPr>
                <w:rFonts w:hint="eastAsia"/>
                <w:szCs w:val="21"/>
              </w:rPr>
              <w:t>橡胶废边角料</w:t>
            </w:r>
          </w:p>
        </w:tc>
        <w:tc>
          <w:tcPr>
            <w:tcW w:w="485" w:type="pct"/>
            <w:vAlign w:val="center"/>
          </w:tcPr>
          <w:p w14:paraId="779AECE8">
            <w:pPr>
              <w:spacing w:line="276" w:lineRule="auto"/>
              <w:jc w:val="center"/>
              <w:rPr>
                <w:sz w:val="21"/>
                <w:szCs w:val="21"/>
              </w:rPr>
            </w:pPr>
            <w:r>
              <w:rPr>
                <w:rFonts w:hint="eastAsia"/>
                <w:sz w:val="21"/>
                <w:szCs w:val="21"/>
              </w:rPr>
              <w:t>0</w:t>
            </w:r>
          </w:p>
        </w:tc>
        <w:tc>
          <w:tcPr>
            <w:tcW w:w="590" w:type="pct"/>
            <w:vAlign w:val="center"/>
          </w:tcPr>
          <w:p w14:paraId="0239BD58">
            <w:pPr>
              <w:spacing w:line="276" w:lineRule="auto"/>
              <w:jc w:val="center"/>
              <w:rPr>
                <w:sz w:val="21"/>
                <w:szCs w:val="21"/>
              </w:rPr>
            </w:pPr>
            <w:r>
              <w:rPr>
                <w:rFonts w:hint="eastAsia"/>
                <w:sz w:val="21"/>
                <w:szCs w:val="21"/>
              </w:rPr>
              <w:t>0</w:t>
            </w:r>
          </w:p>
        </w:tc>
        <w:tc>
          <w:tcPr>
            <w:tcW w:w="590" w:type="pct"/>
            <w:vAlign w:val="center"/>
          </w:tcPr>
          <w:p w14:paraId="71A7FB6C">
            <w:pPr>
              <w:spacing w:line="276" w:lineRule="auto"/>
              <w:jc w:val="center"/>
              <w:rPr>
                <w:sz w:val="21"/>
                <w:szCs w:val="21"/>
              </w:rPr>
            </w:pPr>
            <w:r>
              <w:rPr>
                <w:rFonts w:hint="eastAsia"/>
                <w:sz w:val="21"/>
                <w:szCs w:val="21"/>
              </w:rPr>
              <w:t>/</w:t>
            </w:r>
          </w:p>
        </w:tc>
        <w:tc>
          <w:tcPr>
            <w:tcW w:w="590" w:type="pct"/>
            <w:vAlign w:val="center"/>
          </w:tcPr>
          <w:p w14:paraId="7A9B5FDF">
            <w:pPr>
              <w:pStyle w:val="39"/>
              <w:spacing w:line="276" w:lineRule="auto"/>
              <w:rPr>
                <w:szCs w:val="21"/>
              </w:rPr>
            </w:pPr>
            <w:r>
              <w:rPr>
                <w:rFonts w:hint="eastAsia"/>
                <w:szCs w:val="21"/>
              </w:rPr>
              <w:t>1.0</w:t>
            </w:r>
            <w:r>
              <w:rPr>
                <w:rFonts w:hint="eastAsia"/>
                <w:szCs w:val="21"/>
                <w:lang w:val="en-US" w:eastAsia="zh-CN"/>
              </w:rPr>
              <w:t>t/a</w:t>
            </w:r>
          </w:p>
        </w:tc>
        <w:tc>
          <w:tcPr>
            <w:tcW w:w="590" w:type="pct"/>
            <w:vAlign w:val="center"/>
          </w:tcPr>
          <w:p w14:paraId="63F21063">
            <w:pPr>
              <w:spacing w:line="276" w:lineRule="auto"/>
              <w:jc w:val="center"/>
              <w:rPr>
                <w:sz w:val="21"/>
                <w:szCs w:val="21"/>
              </w:rPr>
            </w:pPr>
            <w:r>
              <w:rPr>
                <w:rFonts w:hint="eastAsia"/>
                <w:sz w:val="21"/>
                <w:szCs w:val="21"/>
              </w:rPr>
              <w:t>/</w:t>
            </w:r>
          </w:p>
        </w:tc>
        <w:tc>
          <w:tcPr>
            <w:tcW w:w="1675" w:type="dxa"/>
            <w:vAlign w:val="center"/>
          </w:tcPr>
          <w:p w14:paraId="4D1411BB">
            <w:pPr>
              <w:pStyle w:val="39"/>
              <w:spacing w:line="276" w:lineRule="auto"/>
              <w:rPr>
                <w:szCs w:val="21"/>
              </w:rPr>
            </w:pPr>
            <w:r>
              <w:rPr>
                <w:rFonts w:hint="eastAsia"/>
                <w:szCs w:val="21"/>
              </w:rPr>
              <w:t>1.0</w:t>
            </w:r>
            <w:r>
              <w:rPr>
                <w:rFonts w:hint="eastAsia"/>
                <w:szCs w:val="21"/>
                <w:lang w:val="en-US" w:eastAsia="zh-CN"/>
              </w:rPr>
              <w:t>t/a</w:t>
            </w:r>
          </w:p>
        </w:tc>
        <w:tc>
          <w:tcPr>
            <w:tcW w:w="1623" w:type="dxa"/>
            <w:vAlign w:val="center"/>
          </w:tcPr>
          <w:p w14:paraId="62664B10">
            <w:pPr>
              <w:pStyle w:val="39"/>
              <w:spacing w:line="276" w:lineRule="auto"/>
              <w:rPr>
                <w:szCs w:val="21"/>
              </w:rPr>
            </w:pPr>
            <w:r>
              <w:rPr>
                <w:rFonts w:hint="eastAsia"/>
                <w:szCs w:val="21"/>
                <w:lang w:val="en-US" w:eastAsia="zh-CN"/>
              </w:rPr>
              <w:t>+</w:t>
            </w:r>
            <w:r>
              <w:rPr>
                <w:rFonts w:hint="eastAsia"/>
                <w:szCs w:val="21"/>
              </w:rPr>
              <w:t>1.0</w:t>
            </w:r>
            <w:r>
              <w:rPr>
                <w:rFonts w:hint="eastAsia"/>
                <w:szCs w:val="21"/>
                <w:lang w:val="en-US" w:eastAsia="zh-CN"/>
              </w:rPr>
              <w:t>t/a</w:t>
            </w:r>
          </w:p>
        </w:tc>
      </w:tr>
      <w:tr w14:paraId="75323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03E70A87">
            <w:pPr>
              <w:spacing w:line="276" w:lineRule="auto"/>
              <w:jc w:val="center"/>
              <w:rPr>
                <w:rFonts w:hAnsi="宋体"/>
                <w:sz w:val="21"/>
                <w:szCs w:val="21"/>
              </w:rPr>
            </w:pPr>
          </w:p>
        </w:tc>
        <w:tc>
          <w:tcPr>
            <w:tcW w:w="620" w:type="pct"/>
            <w:vAlign w:val="center"/>
          </w:tcPr>
          <w:p w14:paraId="16180446">
            <w:pPr>
              <w:pStyle w:val="39"/>
              <w:spacing w:line="276" w:lineRule="auto"/>
              <w:rPr>
                <w:szCs w:val="21"/>
              </w:rPr>
            </w:pPr>
            <w:r>
              <w:rPr>
                <w:rFonts w:hint="eastAsia"/>
                <w:szCs w:val="21"/>
              </w:rPr>
              <w:t>废钢丸</w:t>
            </w:r>
          </w:p>
        </w:tc>
        <w:tc>
          <w:tcPr>
            <w:tcW w:w="485" w:type="pct"/>
            <w:vAlign w:val="center"/>
          </w:tcPr>
          <w:p w14:paraId="2A10EC62">
            <w:pPr>
              <w:spacing w:line="276" w:lineRule="auto"/>
              <w:jc w:val="center"/>
              <w:rPr>
                <w:sz w:val="21"/>
                <w:szCs w:val="21"/>
              </w:rPr>
            </w:pPr>
            <w:r>
              <w:rPr>
                <w:rFonts w:hint="eastAsia"/>
                <w:sz w:val="21"/>
                <w:szCs w:val="21"/>
              </w:rPr>
              <w:t>0</w:t>
            </w:r>
          </w:p>
        </w:tc>
        <w:tc>
          <w:tcPr>
            <w:tcW w:w="590" w:type="pct"/>
            <w:vAlign w:val="center"/>
          </w:tcPr>
          <w:p w14:paraId="2457BB38">
            <w:pPr>
              <w:spacing w:line="276" w:lineRule="auto"/>
              <w:jc w:val="center"/>
              <w:rPr>
                <w:sz w:val="21"/>
                <w:szCs w:val="21"/>
              </w:rPr>
            </w:pPr>
            <w:r>
              <w:rPr>
                <w:rFonts w:hint="eastAsia"/>
                <w:sz w:val="21"/>
                <w:szCs w:val="21"/>
              </w:rPr>
              <w:t>0</w:t>
            </w:r>
          </w:p>
        </w:tc>
        <w:tc>
          <w:tcPr>
            <w:tcW w:w="590" w:type="pct"/>
            <w:vAlign w:val="center"/>
          </w:tcPr>
          <w:p w14:paraId="7C552051">
            <w:pPr>
              <w:spacing w:line="276" w:lineRule="auto"/>
              <w:jc w:val="center"/>
              <w:rPr>
                <w:sz w:val="21"/>
                <w:szCs w:val="21"/>
              </w:rPr>
            </w:pPr>
            <w:r>
              <w:rPr>
                <w:rFonts w:hint="eastAsia"/>
                <w:sz w:val="21"/>
                <w:szCs w:val="21"/>
              </w:rPr>
              <w:t>/</w:t>
            </w:r>
          </w:p>
        </w:tc>
        <w:tc>
          <w:tcPr>
            <w:tcW w:w="590" w:type="pct"/>
            <w:vAlign w:val="center"/>
          </w:tcPr>
          <w:p w14:paraId="2A85F17C">
            <w:pPr>
              <w:pStyle w:val="39"/>
              <w:spacing w:line="276" w:lineRule="auto"/>
              <w:rPr>
                <w:szCs w:val="21"/>
              </w:rPr>
            </w:pPr>
            <w:r>
              <w:rPr>
                <w:rFonts w:hint="eastAsia"/>
                <w:szCs w:val="21"/>
              </w:rPr>
              <w:t>10.0</w:t>
            </w:r>
            <w:r>
              <w:rPr>
                <w:rFonts w:hint="eastAsia"/>
                <w:szCs w:val="21"/>
                <w:lang w:val="en-US" w:eastAsia="zh-CN"/>
              </w:rPr>
              <w:t>t/a</w:t>
            </w:r>
          </w:p>
        </w:tc>
        <w:tc>
          <w:tcPr>
            <w:tcW w:w="590" w:type="pct"/>
            <w:vAlign w:val="center"/>
          </w:tcPr>
          <w:p w14:paraId="3572D2AC">
            <w:pPr>
              <w:spacing w:line="276" w:lineRule="auto"/>
              <w:jc w:val="center"/>
              <w:rPr>
                <w:sz w:val="21"/>
                <w:szCs w:val="21"/>
              </w:rPr>
            </w:pPr>
            <w:r>
              <w:rPr>
                <w:rFonts w:hint="eastAsia"/>
                <w:sz w:val="21"/>
                <w:szCs w:val="21"/>
              </w:rPr>
              <w:t>/</w:t>
            </w:r>
          </w:p>
        </w:tc>
        <w:tc>
          <w:tcPr>
            <w:tcW w:w="1675" w:type="dxa"/>
            <w:vAlign w:val="center"/>
          </w:tcPr>
          <w:p w14:paraId="2F23F31D">
            <w:pPr>
              <w:pStyle w:val="39"/>
              <w:spacing w:line="276" w:lineRule="auto"/>
              <w:rPr>
                <w:szCs w:val="21"/>
              </w:rPr>
            </w:pPr>
            <w:r>
              <w:rPr>
                <w:rFonts w:hint="eastAsia"/>
                <w:szCs w:val="21"/>
              </w:rPr>
              <w:t>10.0</w:t>
            </w:r>
            <w:r>
              <w:rPr>
                <w:rFonts w:hint="eastAsia"/>
                <w:szCs w:val="21"/>
                <w:lang w:val="en-US" w:eastAsia="zh-CN"/>
              </w:rPr>
              <w:t>t/a</w:t>
            </w:r>
          </w:p>
        </w:tc>
        <w:tc>
          <w:tcPr>
            <w:tcW w:w="1623" w:type="dxa"/>
            <w:vAlign w:val="center"/>
          </w:tcPr>
          <w:p w14:paraId="76CBB1F8">
            <w:pPr>
              <w:pStyle w:val="39"/>
              <w:spacing w:line="276" w:lineRule="auto"/>
              <w:rPr>
                <w:szCs w:val="21"/>
              </w:rPr>
            </w:pPr>
            <w:r>
              <w:rPr>
                <w:rFonts w:hint="eastAsia"/>
                <w:szCs w:val="21"/>
                <w:lang w:val="en-US" w:eastAsia="zh-CN"/>
              </w:rPr>
              <w:t>+</w:t>
            </w:r>
            <w:r>
              <w:rPr>
                <w:rFonts w:hint="eastAsia"/>
                <w:szCs w:val="21"/>
              </w:rPr>
              <w:t>10.0</w:t>
            </w:r>
            <w:r>
              <w:rPr>
                <w:rFonts w:hint="eastAsia"/>
                <w:szCs w:val="21"/>
                <w:lang w:val="en-US" w:eastAsia="zh-CN"/>
              </w:rPr>
              <w:t>t/a</w:t>
            </w:r>
          </w:p>
        </w:tc>
      </w:tr>
      <w:tr w14:paraId="283CF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8764D2F">
            <w:pPr>
              <w:spacing w:line="276" w:lineRule="auto"/>
              <w:jc w:val="center"/>
              <w:rPr>
                <w:rFonts w:hAnsi="宋体"/>
                <w:sz w:val="21"/>
                <w:szCs w:val="21"/>
              </w:rPr>
            </w:pPr>
          </w:p>
        </w:tc>
        <w:tc>
          <w:tcPr>
            <w:tcW w:w="620" w:type="pct"/>
            <w:vAlign w:val="center"/>
          </w:tcPr>
          <w:p w14:paraId="6AD41093">
            <w:pPr>
              <w:pStyle w:val="39"/>
              <w:spacing w:line="276" w:lineRule="auto"/>
              <w:rPr>
                <w:rFonts w:hAnsi="宋体"/>
                <w:szCs w:val="21"/>
              </w:rPr>
            </w:pPr>
            <w:r>
              <w:rPr>
                <w:rFonts w:hint="eastAsia" w:hAnsi="宋体"/>
                <w:szCs w:val="21"/>
              </w:rPr>
              <w:t>除尘器收集的粉尘</w:t>
            </w:r>
          </w:p>
        </w:tc>
        <w:tc>
          <w:tcPr>
            <w:tcW w:w="485" w:type="pct"/>
            <w:vAlign w:val="center"/>
          </w:tcPr>
          <w:p w14:paraId="309046F3">
            <w:pPr>
              <w:spacing w:line="276" w:lineRule="auto"/>
              <w:jc w:val="center"/>
              <w:rPr>
                <w:sz w:val="21"/>
                <w:szCs w:val="21"/>
              </w:rPr>
            </w:pPr>
            <w:r>
              <w:rPr>
                <w:rFonts w:hint="eastAsia"/>
                <w:sz w:val="21"/>
                <w:szCs w:val="21"/>
              </w:rPr>
              <w:t>0</w:t>
            </w:r>
          </w:p>
        </w:tc>
        <w:tc>
          <w:tcPr>
            <w:tcW w:w="590" w:type="pct"/>
            <w:vAlign w:val="center"/>
          </w:tcPr>
          <w:p w14:paraId="5C9249D4">
            <w:pPr>
              <w:spacing w:line="276" w:lineRule="auto"/>
              <w:jc w:val="center"/>
              <w:rPr>
                <w:sz w:val="21"/>
                <w:szCs w:val="21"/>
              </w:rPr>
            </w:pPr>
            <w:r>
              <w:rPr>
                <w:rFonts w:hint="eastAsia"/>
                <w:sz w:val="21"/>
                <w:szCs w:val="21"/>
              </w:rPr>
              <w:t>0</w:t>
            </w:r>
          </w:p>
        </w:tc>
        <w:tc>
          <w:tcPr>
            <w:tcW w:w="590" w:type="pct"/>
            <w:vAlign w:val="center"/>
          </w:tcPr>
          <w:p w14:paraId="080590A1">
            <w:pPr>
              <w:spacing w:line="276" w:lineRule="auto"/>
              <w:jc w:val="center"/>
              <w:rPr>
                <w:sz w:val="21"/>
                <w:szCs w:val="21"/>
              </w:rPr>
            </w:pPr>
            <w:r>
              <w:rPr>
                <w:rFonts w:hint="eastAsia"/>
                <w:sz w:val="21"/>
                <w:szCs w:val="21"/>
              </w:rPr>
              <w:t>/</w:t>
            </w:r>
          </w:p>
        </w:tc>
        <w:tc>
          <w:tcPr>
            <w:tcW w:w="590" w:type="pct"/>
            <w:vAlign w:val="center"/>
          </w:tcPr>
          <w:p w14:paraId="783BE928">
            <w:pPr>
              <w:pStyle w:val="39"/>
              <w:spacing w:line="276" w:lineRule="auto"/>
              <w:rPr>
                <w:rFonts w:hint="default" w:eastAsia="宋体"/>
                <w:szCs w:val="21"/>
                <w:lang w:val="en-US" w:eastAsia="zh-CN"/>
              </w:rPr>
            </w:pPr>
            <w:r>
              <w:rPr>
                <w:rFonts w:hint="eastAsia"/>
                <w:szCs w:val="21"/>
                <w:lang w:val="en-US" w:eastAsia="zh-CN"/>
              </w:rPr>
              <w:t>27.682t/a</w:t>
            </w:r>
          </w:p>
        </w:tc>
        <w:tc>
          <w:tcPr>
            <w:tcW w:w="590" w:type="pct"/>
            <w:vAlign w:val="center"/>
          </w:tcPr>
          <w:p w14:paraId="47A79F8A">
            <w:pPr>
              <w:spacing w:line="276" w:lineRule="auto"/>
              <w:jc w:val="center"/>
              <w:rPr>
                <w:sz w:val="21"/>
                <w:szCs w:val="21"/>
              </w:rPr>
            </w:pPr>
            <w:r>
              <w:rPr>
                <w:rFonts w:hint="eastAsia"/>
                <w:sz w:val="21"/>
                <w:szCs w:val="21"/>
              </w:rPr>
              <w:t>/</w:t>
            </w:r>
          </w:p>
        </w:tc>
        <w:tc>
          <w:tcPr>
            <w:tcW w:w="1675" w:type="dxa"/>
            <w:vAlign w:val="center"/>
          </w:tcPr>
          <w:p w14:paraId="4CE703EC">
            <w:pPr>
              <w:pStyle w:val="39"/>
              <w:spacing w:line="276" w:lineRule="auto"/>
              <w:rPr>
                <w:szCs w:val="21"/>
              </w:rPr>
            </w:pPr>
            <w:r>
              <w:rPr>
                <w:rFonts w:hint="eastAsia"/>
                <w:szCs w:val="21"/>
                <w:lang w:val="en-US" w:eastAsia="zh-CN"/>
              </w:rPr>
              <w:t>27.682t/a</w:t>
            </w:r>
          </w:p>
        </w:tc>
        <w:tc>
          <w:tcPr>
            <w:tcW w:w="1623" w:type="dxa"/>
            <w:vAlign w:val="center"/>
          </w:tcPr>
          <w:p w14:paraId="4E29407A">
            <w:pPr>
              <w:pStyle w:val="39"/>
              <w:spacing w:line="276" w:lineRule="auto"/>
              <w:rPr>
                <w:szCs w:val="21"/>
              </w:rPr>
            </w:pPr>
            <w:r>
              <w:rPr>
                <w:rFonts w:hint="eastAsia"/>
                <w:szCs w:val="21"/>
                <w:lang w:val="en-US" w:eastAsia="zh-CN"/>
              </w:rPr>
              <w:t>+27.682t/a</w:t>
            </w:r>
          </w:p>
        </w:tc>
      </w:tr>
      <w:tr w14:paraId="6FFEE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59AB6A81">
            <w:pPr>
              <w:spacing w:line="276" w:lineRule="auto"/>
              <w:jc w:val="center"/>
              <w:rPr>
                <w:sz w:val="21"/>
                <w:szCs w:val="21"/>
              </w:rPr>
            </w:pPr>
            <w:r>
              <w:rPr>
                <w:rFonts w:hAnsi="宋体"/>
                <w:sz w:val="21"/>
                <w:szCs w:val="21"/>
              </w:rPr>
              <w:t>危险废物</w:t>
            </w:r>
          </w:p>
        </w:tc>
        <w:tc>
          <w:tcPr>
            <w:tcW w:w="620" w:type="pct"/>
            <w:vAlign w:val="center"/>
          </w:tcPr>
          <w:p w14:paraId="52CA1262">
            <w:pPr>
              <w:pStyle w:val="39"/>
              <w:spacing w:line="276" w:lineRule="auto"/>
              <w:rPr>
                <w:rFonts w:hAnsi="宋体"/>
                <w:szCs w:val="21"/>
              </w:rPr>
            </w:pPr>
            <w:r>
              <w:rPr>
                <w:rFonts w:hint="eastAsia" w:hAnsi="宋体"/>
                <w:szCs w:val="21"/>
              </w:rPr>
              <w:t>振光废水</w:t>
            </w:r>
          </w:p>
        </w:tc>
        <w:tc>
          <w:tcPr>
            <w:tcW w:w="485" w:type="pct"/>
            <w:vAlign w:val="center"/>
          </w:tcPr>
          <w:p w14:paraId="763AD149">
            <w:pPr>
              <w:spacing w:line="276" w:lineRule="auto"/>
              <w:jc w:val="center"/>
              <w:rPr>
                <w:sz w:val="21"/>
                <w:szCs w:val="21"/>
              </w:rPr>
            </w:pPr>
            <w:r>
              <w:rPr>
                <w:rFonts w:hint="eastAsia"/>
                <w:sz w:val="21"/>
                <w:szCs w:val="21"/>
              </w:rPr>
              <w:t>0</w:t>
            </w:r>
          </w:p>
        </w:tc>
        <w:tc>
          <w:tcPr>
            <w:tcW w:w="590" w:type="pct"/>
            <w:vAlign w:val="center"/>
          </w:tcPr>
          <w:p w14:paraId="57135289">
            <w:pPr>
              <w:spacing w:line="276" w:lineRule="auto"/>
              <w:jc w:val="center"/>
              <w:rPr>
                <w:sz w:val="21"/>
                <w:szCs w:val="21"/>
              </w:rPr>
            </w:pPr>
            <w:r>
              <w:rPr>
                <w:rFonts w:hint="eastAsia"/>
                <w:sz w:val="21"/>
                <w:szCs w:val="21"/>
              </w:rPr>
              <w:t>0</w:t>
            </w:r>
          </w:p>
        </w:tc>
        <w:tc>
          <w:tcPr>
            <w:tcW w:w="590" w:type="pct"/>
            <w:vAlign w:val="center"/>
          </w:tcPr>
          <w:p w14:paraId="2F0871BB">
            <w:pPr>
              <w:spacing w:line="276" w:lineRule="auto"/>
              <w:jc w:val="center"/>
              <w:rPr>
                <w:sz w:val="21"/>
                <w:szCs w:val="21"/>
              </w:rPr>
            </w:pPr>
            <w:r>
              <w:rPr>
                <w:rFonts w:hint="eastAsia"/>
                <w:sz w:val="21"/>
                <w:szCs w:val="21"/>
              </w:rPr>
              <w:t>/</w:t>
            </w:r>
          </w:p>
        </w:tc>
        <w:tc>
          <w:tcPr>
            <w:tcW w:w="590" w:type="pct"/>
            <w:vAlign w:val="center"/>
          </w:tcPr>
          <w:p w14:paraId="0C7463D2">
            <w:pPr>
              <w:pStyle w:val="39"/>
              <w:spacing w:line="276" w:lineRule="auto"/>
              <w:rPr>
                <w:szCs w:val="21"/>
              </w:rPr>
            </w:pPr>
            <w:r>
              <w:rPr>
                <w:rFonts w:hint="eastAsia"/>
                <w:szCs w:val="21"/>
              </w:rPr>
              <w:t>8.609</w:t>
            </w:r>
            <w:r>
              <w:rPr>
                <w:rFonts w:hint="eastAsia"/>
                <w:szCs w:val="21"/>
                <w:lang w:val="en-US" w:eastAsia="zh-CN"/>
              </w:rPr>
              <w:t>t/a</w:t>
            </w:r>
          </w:p>
        </w:tc>
        <w:tc>
          <w:tcPr>
            <w:tcW w:w="590" w:type="pct"/>
            <w:vAlign w:val="center"/>
          </w:tcPr>
          <w:p w14:paraId="7FD95317">
            <w:pPr>
              <w:spacing w:line="276" w:lineRule="auto"/>
              <w:jc w:val="center"/>
              <w:rPr>
                <w:sz w:val="21"/>
                <w:szCs w:val="21"/>
              </w:rPr>
            </w:pPr>
            <w:r>
              <w:rPr>
                <w:rFonts w:hint="eastAsia"/>
                <w:sz w:val="21"/>
                <w:szCs w:val="21"/>
              </w:rPr>
              <w:t>/</w:t>
            </w:r>
          </w:p>
        </w:tc>
        <w:tc>
          <w:tcPr>
            <w:tcW w:w="1675" w:type="dxa"/>
            <w:vAlign w:val="center"/>
          </w:tcPr>
          <w:p w14:paraId="5DD768DC">
            <w:pPr>
              <w:pStyle w:val="39"/>
              <w:spacing w:line="276" w:lineRule="auto"/>
              <w:rPr>
                <w:szCs w:val="21"/>
              </w:rPr>
            </w:pPr>
            <w:r>
              <w:rPr>
                <w:rFonts w:hint="eastAsia"/>
                <w:szCs w:val="21"/>
              </w:rPr>
              <w:t>8.609</w:t>
            </w:r>
            <w:r>
              <w:rPr>
                <w:rFonts w:hint="eastAsia"/>
                <w:szCs w:val="21"/>
                <w:lang w:val="en-US" w:eastAsia="zh-CN"/>
              </w:rPr>
              <w:t>t/a</w:t>
            </w:r>
          </w:p>
        </w:tc>
        <w:tc>
          <w:tcPr>
            <w:tcW w:w="1623" w:type="dxa"/>
            <w:vAlign w:val="center"/>
          </w:tcPr>
          <w:p w14:paraId="1F9B4C84">
            <w:pPr>
              <w:pStyle w:val="39"/>
              <w:spacing w:line="276" w:lineRule="auto"/>
              <w:rPr>
                <w:szCs w:val="21"/>
              </w:rPr>
            </w:pPr>
            <w:r>
              <w:rPr>
                <w:rFonts w:hint="eastAsia"/>
                <w:szCs w:val="21"/>
                <w:lang w:val="en-US" w:eastAsia="zh-CN"/>
              </w:rPr>
              <w:t>+</w:t>
            </w:r>
            <w:r>
              <w:rPr>
                <w:rFonts w:hint="eastAsia"/>
                <w:szCs w:val="21"/>
              </w:rPr>
              <w:t>8.609</w:t>
            </w:r>
            <w:r>
              <w:rPr>
                <w:rFonts w:hint="eastAsia"/>
                <w:szCs w:val="21"/>
                <w:lang w:val="en-US" w:eastAsia="zh-CN"/>
              </w:rPr>
              <w:t>t/a</w:t>
            </w:r>
          </w:p>
        </w:tc>
      </w:tr>
      <w:tr w14:paraId="6FC30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297380DD">
            <w:pPr>
              <w:spacing w:line="276" w:lineRule="auto"/>
              <w:jc w:val="center"/>
              <w:rPr>
                <w:sz w:val="21"/>
                <w:szCs w:val="21"/>
              </w:rPr>
            </w:pPr>
          </w:p>
        </w:tc>
        <w:tc>
          <w:tcPr>
            <w:tcW w:w="620" w:type="pct"/>
            <w:vAlign w:val="center"/>
          </w:tcPr>
          <w:p w14:paraId="3C83747A">
            <w:pPr>
              <w:pStyle w:val="39"/>
              <w:spacing w:line="276" w:lineRule="auto"/>
              <w:rPr>
                <w:szCs w:val="21"/>
              </w:rPr>
            </w:pPr>
            <w:r>
              <w:rPr>
                <w:rFonts w:hint="eastAsia"/>
                <w:szCs w:val="21"/>
              </w:rPr>
              <w:t>清洗废液和废水</w:t>
            </w:r>
          </w:p>
        </w:tc>
        <w:tc>
          <w:tcPr>
            <w:tcW w:w="485" w:type="pct"/>
            <w:vAlign w:val="center"/>
          </w:tcPr>
          <w:p w14:paraId="57C1F8FB">
            <w:pPr>
              <w:spacing w:line="276" w:lineRule="auto"/>
              <w:jc w:val="center"/>
              <w:rPr>
                <w:sz w:val="21"/>
                <w:szCs w:val="21"/>
              </w:rPr>
            </w:pPr>
            <w:r>
              <w:rPr>
                <w:rFonts w:hint="eastAsia"/>
                <w:sz w:val="21"/>
                <w:szCs w:val="21"/>
              </w:rPr>
              <w:t>0</w:t>
            </w:r>
          </w:p>
        </w:tc>
        <w:tc>
          <w:tcPr>
            <w:tcW w:w="590" w:type="pct"/>
            <w:vAlign w:val="center"/>
          </w:tcPr>
          <w:p w14:paraId="2F54A0C9">
            <w:pPr>
              <w:spacing w:line="276" w:lineRule="auto"/>
              <w:jc w:val="center"/>
              <w:rPr>
                <w:sz w:val="21"/>
                <w:szCs w:val="21"/>
              </w:rPr>
            </w:pPr>
            <w:r>
              <w:rPr>
                <w:rFonts w:hint="eastAsia"/>
                <w:sz w:val="21"/>
                <w:szCs w:val="21"/>
              </w:rPr>
              <w:t>0</w:t>
            </w:r>
          </w:p>
        </w:tc>
        <w:tc>
          <w:tcPr>
            <w:tcW w:w="590" w:type="pct"/>
            <w:vAlign w:val="center"/>
          </w:tcPr>
          <w:p w14:paraId="6325783E">
            <w:pPr>
              <w:spacing w:line="276" w:lineRule="auto"/>
              <w:jc w:val="center"/>
              <w:rPr>
                <w:sz w:val="21"/>
                <w:szCs w:val="21"/>
              </w:rPr>
            </w:pPr>
            <w:r>
              <w:rPr>
                <w:rFonts w:hint="eastAsia"/>
                <w:sz w:val="21"/>
                <w:szCs w:val="21"/>
              </w:rPr>
              <w:t>/</w:t>
            </w:r>
          </w:p>
        </w:tc>
        <w:tc>
          <w:tcPr>
            <w:tcW w:w="590" w:type="pct"/>
            <w:vAlign w:val="center"/>
          </w:tcPr>
          <w:p w14:paraId="584D5BF9">
            <w:pPr>
              <w:pStyle w:val="39"/>
              <w:spacing w:line="276" w:lineRule="auto"/>
              <w:rPr>
                <w:rFonts w:hint="default" w:eastAsia="宋体"/>
                <w:szCs w:val="21"/>
                <w:lang w:val="en-US" w:eastAsia="zh-CN"/>
              </w:rPr>
            </w:pPr>
            <w:r>
              <w:rPr>
                <w:rFonts w:hint="eastAsia"/>
                <w:szCs w:val="21"/>
                <w:lang w:val="en-US" w:eastAsia="zh-CN"/>
              </w:rPr>
              <w:t>35.054t/a</w:t>
            </w:r>
          </w:p>
        </w:tc>
        <w:tc>
          <w:tcPr>
            <w:tcW w:w="590" w:type="pct"/>
            <w:vAlign w:val="center"/>
          </w:tcPr>
          <w:p w14:paraId="7F797022">
            <w:pPr>
              <w:spacing w:line="276" w:lineRule="auto"/>
              <w:jc w:val="center"/>
              <w:rPr>
                <w:sz w:val="21"/>
                <w:szCs w:val="21"/>
              </w:rPr>
            </w:pPr>
            <w:r>
              <w:rPr>
                <w:rFonts w:hint="eastAsia"/>
                <w:sz w:val="21"/>
                <w:szCs w:val="21"/>
              </w:rPr>
              <w:t>/</w:t>
            </w:r>
          </w:p>
        </w:tc>
        <w:tc>
          <w:tcPr>
            <w:tcW w:w="1675" w:type="dxa"/>
            <w:vAlign w:val="center"/>
          </w:tcPr>
          <w:p w14:paraId="12A9401A">
            <w:pPr>
              <w:pStyle w:val="39"/>
              <w:spacing w:line="276" w:lineRule="auto"/>
              <w:rPr>
                <w:szCs w:val="21"/>
              </w:rPr>
            </w:pPr>
            <w:r>
              <w:rPr>
                <w:rFonts w:hint="eastAsia"/>
                <w:szCs w:val="21"/>
                <w:lang w:val="en-US" w:eastAsia="zh-CN"/>
              </w:rPr>
              <w:t>35.054t/a</w:t>
            </w:r>
          </w:p>
        </w:tc>
        <w:tc>
          <w:tcPr>
            <w:tcW w:w="1623" w:type="dxa"/>
            <w:vAlign w:val="center"/>
          </w:tcPr>
          <w:p w14:paraId="01658781">
            <w:pPr>
              <w:pStyle w:val="39"/>
              <w:spacing w:line="276" w:lineRule="auto"/>
              <w:rPr>
                <w:szCs w:val="21"/>
              </w:rPr>
            </w:pPr>
            <w:r>
              <w:rPr>
                <w:rFonts w:hint="eastAsia"/>
                <w:szCs w:val="21"/>
                <w:lang w:val="en-US" w:eastAsia="zh-CN"/>
              </w:rPr>
              <w:t>+35.054t/a</w:t>
            </w:r>
          </w:p>
        </w:tc>
      </w:tr>
      <w:tr w14:paraId="0078D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5801D4D9">
            <w:pPr>
              <w:spacing w:line="276" w:lineRule="auto"/>
              <w:jc w:val="center"/>
              <w:rPr>
                <w:sz w:val="21"/>
                <w:szCs w:val="21"/>
              </w:rPr>
            </w:pPr>
          </w:p>
        </w:tc>
        <w:tc>
          <w:tcPr>
            <w:tcW w:w="620" w:type="pct"/>
            <w:vAlign w:val="center"/>
          </w:tcPr>
          <w:p w14:paraId="291396C4">
            <w:pPr>
              <w:pStyle w:val="39"/>
              <w:spacing w:line="276" w:lineRule="auto"/>
              <w:rPr>
                <w:rFonts w:hAnsi="宋体"/>
                <w:szCs w:val="21"/>
              </w:rPr>
            </w:pPr>
            <w:r>
              <w:rPr>
                <w:rFonts w:hint="eastAsia" w:hAnsi="宋体"/>
                <w:szCs w:val="21"/>
              </w:rPr>
              <w:t>废脱模剂</w:t>
            </w:r>
          </w:p>
        </w:tc>
        <w:tc>
          <w:tcPr>
            <w:tcW w:w="485" w:type="pct"/>
            <w:vAlign w:val="center"/>
          </w:tcPr>
          <w:p w14:paraId="023652C6">
            <w:pPr>
              <w:spacing w:line="276" w:lineRule="auto"/>
              <w:jc w:val="center"/>
              <w:rPr>
                <w:sz w:val="21"/>
                <w:szCs w:val="21"/>
              </w:rPr>
            </w:pPr>
            <w:r>
              <w:rPr>
                <w:rFonts w:hint="eastAsia"/>
                <w:sz w:val="21"/>
                <w:szCs w:val="21"/>
              </w:rPr>
              <w:t>0</w:t>
            </w:r>
          </w:p>
        </w:tc>
        <w:tc>
          <w:tcPr>
            <w:tcW w:w="590" w:type="pct"/>
            <w:vAlign w:val="center"/>
          </w:tcPr>
          <w:p w14:paraId="5D5D60A2">
            <w:pPr>
              <w:spacing w:line="276" w:lineRule="auto"/>
              <w:jc w:val="center"/>
              <w:rPr>
                <w:sz w:val="21"/>
                <w:szCs w:val="21"/>
              </w:rPr>
            </w:pPr>
            <w:r>
              <w:rPr>
                <w:rFonts w:hint="eastAsia"/>
                <w:sz w:val="21"/>
                <w:szCs w:val="21"/>
              </w:rPr>
              <w:t>0</w:t>
            </w:r>
          </w:p>
        </w:tc>
        <w:tc>
          <w:tcPr>
            <w:tcW w:w="590" w:type="pct"/>
            <w:vAlign w:val="center"/>
          </w:tcPr>
          <w:p w14:paraId="2A6147E4">
            <w:pPr>
              <w:spacing w:line="276" w:lineRule="auto"/>
              <w:jc w:val="center"/>
              <w:rPr>
                <w:sz w:val="21"/>
                <w:szCs w:val="21"/>
              </w:rPr>
            </w:pPr>
            <w:r>
              <w:rPr>
                <w:rFonts w:hint="eastAsia"/>
                <w:sz w:val="21"/>
                <w:szCs w:val="21"/>
              </w:rPr>
              <w:t>/</w:t>
            </w:r>
          </w:p>
        </w:tc>
        <w:tc>
          <w:tcPr>
            <w:tcW w:w="590" w:type="pct"/>
            <w:vAlign w:val="center"/>
          </w:tcPr>
          <w:p w14:paraId="4553CADC">
            <w:pPr>
              <w:pStyle w:val="39"/>
              <w:spacing w:line="276" w:lineRule="auto"/>
              <w:rPr>
                <w:szCs w:val="21"/>
              </w:rPr>
            </w:pPr>
            <w:r>
              <w:rPr>
                <w:rFonts w:hint="eastAsia"/>
                <w:szCs w:val="21"/>
              </w:rPr>
              <w:t>0.056</w:t>
            </w:r>
            <w:r>
              <w:rPr>
                <w:rFonts w:hint="eastAsia"/>
                <w:szCs w:val="21"/>
                <w:lang w:val="en-US" w:eastAsia="zh-CN"/>
              </w:rPr>
              <w:t>t/a</w:t>
            </w:r>
          </w:p>
        </w:tc>
        <w:tc>
          <w:tcPr>
            <w:tcW w:w="590" w:type="pct"/>
            <w:vAlign w:val="center"/>
          </w:tcPr>
          <w:p w14:paraId="7EA88B4F">
            <w:pPr>
              <w:spacing w:line="276" w:lineRule="auto"/>
              <w:jc w:val="center"/>
              <w:rPr>
                <w:sz w:val="21"/>
                <w:szCs w:val="21"/>
              </w:rPr>
            </w:pPr>
            <w:r>
              <w:rPr>
                <w:rFonts w:hint="eastAsia"/>
                <w:sz w:val="21"/>
                <w:szCs w:val="21"/>
              </w:rPr>
              <w:t>/</w:t>
            </w:r>
          </w:p>
        </w:tc>
        <w:tc>
          <w:tcPr>
            <w:tcW w:w="1675" w:type="dxa"/>
            <w:vAlign w:val="center"/>
          </w:tcPr>
          <w:p w14:paraId="0C1B3DBF">
            <w:pPr>
              <w:pStyle w:val="39"/>
              <w:spacing w:line="276" w:lineRule="auto"/>
              <w:rPr>
                <w:szCs w:val="21"/>
              </w:rPr>
            </w:pPr>
            <w:r>
              <w:rPr>
                <w:rFonts w:hint="eastAsia"/>
                <w:szCs w:val="21"/>
              </w:rPr>
              <w:t>0.056</w:t>
            </w:r>
            <w:r>
              <w:rPr>
                <w:rFonts w:hint="eastAsia"/>
                <w:szCs w:val="21"/>
                <w:lang w:val="en-US" w:eastAsia="zh-CN"/>
              </w:rPr>
              <w:t>t/a</w:t>
            </w:r>
          </w:p>
        </w:tc>
        <w:tc>
          <w:tcPr>
            <w:tcW w:w="1623" w:type="dxa"/>
            <w:vAlign w:val="center"/>
          </w:tcPr>
          <w:p w14:paraId="14BDEFC1">
            <w:pPr>
              <w:pStyle w:val="39"/>
              <w:spacing w:line="276" w:lineRule="auto"/>
              <w:rPr>
                <w:szCs w:val="21"/>
              </w:rPr>
            </w:pPr>
            <w:r>
              <w:rPr>
                <w:rFonts w:hint="eastAsia"/>
                <w:szCs w:val="21"/>
                <w:lang w:val="en-US" w:eastAsia="zh-CN"/>
              </w:rPr>
              <w:t>+</w:t>
            </w:r>
            <w:r>
              <w:rPr>
                <w:rFonts w:hint="eastAsia"/>
                <w:szCs w:val="21"/>
              </w:rPr>
              <w:t>0.056</w:t>
            </w:r>
            <w:r>
              <w:rPr>
                <w:rFonts w:hint="eastAsia"/>
                <w:szCs w:val="21"/>
                <w:lang w:val="en-US" w:eastAsia="zh-CN"/>
              </w:rPr>
              <w:t>t/a</w:t>
            </w:r>
          </w:p>
        </w:tc>
      </w:tr>
      <w:tr w14:paraId="02BD5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B700573">
            <w:pPr>
              <w:spacing w:line="276" w:lineRule="auto"/>
              <w:jc w:val="center"/>
              <w:rPr>
                <w:sz w:val="21"/>
                <w:szCs w:val="21"/>
              </w:rPr>
            </w:pPr>
          </w:p>
        </w:tc>
        <w:tc>
          <w:tcPr>
            <w:tcW w:w="620" w:type="pct"/>
            <w:vAlign w:val="center"/>
          </w:tcPr>
          <w:p w14:paraId="5618A590">
            <w:pPr>
              <w:pStyle w:val="39"/>
              <w:spacing w:line="276" w:lineRule="auto"/>
              <w:rPr>
                <w:rFonts w:hAnsi="宋体"/>
                <w:szCs w:val="21"/>
              </w:rPr>
            </w:pPr>
            <w:r>
              <w:rPr>
                <w:rFonts w:hint="eastAsia" w:hAnsi="宋体"/>
                <w:szCs w:val="21"/>
              </w:rPr>
              <w:t>废胶粘剂</w:t>
            </w:r>
          </w:p>
        </w:tc>
        <w:tc>
          <w:tcPr>
            <w:tcW w:w="485" w:type="pct"/>
            <w:vAlign w:val="center"/>
          </w:tcPr>
          <w:p w14:paraId="5BFFC784">
            <w:pPr>
              <w:spacing w:line="276" w:lineRule="auto"/>
              <w:jc w:val="center"/>
              <w:rPr>
                <w:sz w:val="21"/>
                <w:szCs w:val="21"/>
              </w:rPr>
            </w:pPr>
            <w:r>
              <w:rPr>
                <w:rFonts w:hint="eastAsia"/>
                <w:sz w:val="21"/>
                <w:szCs w:val="21"/>
              </w:rPr>
              <w:t>0</w:t>
            </w:r>
          </w:p>
        </w:tc>
        <w:tc>
          <w:tcPr>
            <w:tcW w:w="590" w:type="pct"/>
            <w:vAlign w:val="center"/>
          </w:tcPr>
          <w:p w14:paraId="4B990D9E">
            <w:pPr>
              <w:spacing w:line="276" w:lineRule="auto"/>
              <w:jc w:val="center"/>
              <w:rPr>
                <w:sz w:val="21"/>
                <w:szCs w:val="21"/>
              </w:rPr>
            </w:pPr>
            <w:r>
              <w:rPr>
                <w:rFonts w:hint="eastAsia"/>
                <w:sz w:val="21"/>
                <w:szCs w:val="21"/>
              </w:rPr>
              <w:t>0</w:t>
            </w:r>
          </w:p>
        </w:tc>
        <w:tc>
          <w:tcPr>
            <w:tcW w:w="590" w:type="pct"/>
            <w:vAlign w:val="center"/>
          </w:tcPr>
          <w:p w14:paraId="0463A0D9">
            <w:pPr>
              <w:spacing w:line="276" w:lineRule="auto"/>
              <w:jc w:val="center"/>
              <w:rPr>
                <w:sz w:val="21"/>
                <w:szCs w:val="21"/>
              </w:rPr>
            </w:pPr>
            <w:r>
              <w:rPr>
                <w:rFonts w:hint="eastAsia"/>
                <w:sz w:val="21"/>
                <w:szCs w:val="21"/>
              </w:rPr>
              <w:t>/</w:t>
            </w:r>
          </w:p>
        </w:tc>
        <w:tc>
          <w:tcPr>
            <w:tcW w:w="590" w:type="pct"/>
            <w:vAlign w:val="center"/>
          </w:tcPr>
          <w:p w14:paraId="6AE6BAB7">
            <w:pPr>
              <w:pStyle w:val="39"/>
              <w:spacing w:line="276" w:lineRule="auto"/>
              <w:rPr>
                <w:szCs w:val="21"/>
              </w:rPr>
            </w:pPr>
            <w:r>
              <w:rPr>
                <w:rFonts w:hint="eastAsia"/>
                <w:szCs w:val="21"/>
              </w:rPr>
              <w:t>0.08</w:t>
            </w:r>
            <w:r>
              <w:rPr>
                <w:rFonts w:hint="eastAsia"/>
                <w:szCs w:val="21"/>
                <w:lang w:val="en-US" w:eastAsia="zh-CN"/>
              </w:rPr>
              <w:t>t/a</w:t>
            </w:r>
          </w:p>
        </w:tc>
        <w:tc>
          <w:tcPr>
            <w:tcW w:w="590" w:type="pct"/>
            <w:vAlign w:val="center"/>
          </w:tcPr>
          <w:p w14:paraId="2D1D26A7">
            <w:pPr>
              <w:spacing w:line="276" w:lineRule="auto"/>
              <w:jc w:val="center"/>
              <w:rPr>
                <w:sz w:val="21"/>
                <w:szCs w:val="21"/>
              </w:rPr>
            </w:pPr>
          </w:p>
        </w:tc>
        <w:tc>
          <w:tcPr>
            <w:tcW w:w="1675" w:type="dxa"/>
            <w:vAlign w:val="center"/>
          </w:tcPr>
          <w:p w14:paraId="45455F1C">
            <w:pPr>
              <w:pStyle w:val="39"/>
              <w:spacing w:line="276" w:lineRule="auto"/>
              <w:rPr>
                <w:szCs w:val="21"/>
              </w:rPr>
            </w:pPr>
            <w:r>
              <w:rPr>
                <w:rFonts w:hint="eastAsia"/>
                <w:szCs w:val="21"/>
              </w:rPr>
              <w:t>0.08</w:t>
            </w:r>
            <w:r>
              <w:rPr>
                <w:rFonts w:hint="eastAsia"/>
                <w:szCs w:val="21"/>
                <w:lang w:val="en-US" w:eastAsia="zh-CN"/>
              </w:rPr>
              <w:t>t/a</w:t>
            </w:r>
          </w:p>
        </w:tc>
        <w:tc>
          <w:tcPr>
            <w:tcW w:w="1623" w:type="dxa"/>
            <w:vAlign w:val="center"/>
          </w:tcPr>
          <w:p w14:paraId="605C54A7">
            <w:pPr>
              <w:pStyle w:val="39"/>
              <w:spacing w:line="276" w:lineRule="auto"/>
              <w:rPr>
                <w:szCs w:val="21"/>
              </w:rPr>
            </w:pPr>
            <w:r>
              <w:rPr>
                <w:rFonts w:hint="eastAsia"/>
                <w:szCs w:val="21"/>
                <w:lang w:val="en-US" w:eastAsia="zh-CN"/>
              </w:rPr>
              <w:t>+</w:t>
            </w:r>
            <w:r>
              <w:rPr>
                <w:rFonts w:hint="eastAsia"/>
                <w:szCs w:val="21"/>
              </w:rPr>
              <w:t>0.08</w:t>
            </w:r>
            <w:r>
              <w:rPr>
                <w:rFonts w:hint="eastAsia"/>
                <w:szCs w:val="21"/>
                <w:lang w:val="en-US" w:eastAsia="zh-CN"/>
              </w:rPr>
              <w:t>t/a</w:t>
            </w:r>
          </w:p>
        </w:tc>
      </w:tr>
      <w:tr w14:paraId="10E9D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61312A93">
            <w:pPr>
              <w:spacing w:line="276" w:lineRule="auto"/>
              <w:jc w:val="center"/>
              <w:rPr>
                <w:sz w:val="21"/>
                <w:szCs w:val="21"/>
              </w:rPr>
            </w:pPr>
          </w:p>
        </w:tc>
        <w:tc>
          <w:tcPr>
            <w:tcW w:w="620" w:type="pct"/>
            <w:vAlign w:val="center"/>
          </w:tcPr>
          <w:p w14:paraId="77275DD0">
            <w:pPr>
              <w:pStyle w:val="39"/>
              <w:spacing w:line="276" w:lineRule="auto"/>
              <w:rPr>
                <w:szCs w:val="21"/>
              </w:rPr>
            </w:pPr>
            <w:r>
              <w:rPr>
                <w:rFonts w:hint="eastAsia" w:hAnsi="宋体"/>
                <w:szCs w:val="21"/>
              </w:rPr>
              <w:t>废包装桶</w:t>
            </w:r>
          </w:p>
        </w:tc>
        <w:tc>
          <w:tcPr>
            <w:tcW w:w="485" w:type="pct"/>
            <w:vAlign w:val="center"/>
          </w:tcPr>
          <w:p w14:paraId="7A24F0B4">
            <w:pPr>
              <w:spacing w:line="276" w:lineRule="auto"/>
              <w:jc w:val="center"/>
              <w:rPr>
                <w:sz w:val="21"/>
                <w:szCs w:val="21"/>
              </w:rPr>
            </w:pPr>
            <w:r>
              <w:rPr>
                <w:rFonts w:hint="eastAsia"/>
                <w:sz w:val="21"/>
                <w:szCs w:val="21"/>
              </w:rPr>
              <w:t>0</w:t>
            </w:r>
          </w:p>
        </w:tc>
        <w:tc>
          <w:tcPr>
            <w:tcW w:w="590" w:type="pct"/>
            <w:vAlign w:val="center"/>
          </w:tcPr>
          <w:p w14:paraId="2A49AA3C">
            <w:pPr>
              <w:spacing w:line="276" w:lineRule="auto"/>
              <w:jc w:val="center"/>
              <w:rPr>
                <w:sz w:val="21"/>
                <w:szCs w:val="21"/>
              </w:rPr>
            </w:pPr>
            <w:r>
              <w:rPr>
                <w:rFonts w:hint="eastAsia"/>
                <w:sz w:val="21"/>
                <w:szCs w:val="21"/>
              </w:rPr>
              <w:t>0</w:t>
            </w:r>
          </w:p>
        </w:tc>
        <w:tc>
          <w:tcPr>
            <w:tcW w:w="590" w:type="pct"/>
            <w:vAlign w:val="center"/>
          </w:tcPr>
          <w:p w14:paraId="57CB45A7">
            <w:pPr>
              <w:spacing w:line="276" w:lineRule="auto"/>
              <w:jc w:val="center"/>
              <w:rPr>
                <w:sz w:val="21"/>
                <w:szCs w:val="21"/>
              </w:rPr>
            </w:pPr>
            <w:r>
              <w:rPr>
                <w:rFonts w:hint="eastAsia"/>
                <w:sz w:val="21"/>
                <w:szCs w:val="21"/>
              </w:rPr>
              <w:t>/</w:t>
            </w:r>
          </w:p>
        </w:tc>
        <w:tc>
          <w:tcPr>
            <w:tcW w:w="590" w:type="pct"/>
            <w:vAlign w:val="center"/>
          </w:tcPr>
          <w:p w14:paraId="1761E58C">
            <w:pPr>
              <w:pStyle w:val="39"/>
              <w:spacing w:line="276" w:lineRule="auto"/>
              <w:rPr>
                <w:szCs w:val="21"/>
              </w:rPr>
            </w:pPr>
            <w:r>
              <w:rPr>
                <w:rFonts w:hint="eastAsia"/>
                <w:szCs w:val="21"/>
              </w:rPr>
              <w:t>5.578</w:t>
            </w:r>
            <w:r>
              <w:rPr>
                <w:rFonts w:hint="eastAsia"/>
                <w:szCs w:val="21"/>
                <w:lang w:val="en-US" w:eastAsia="zh-CN"/>
              </w:rPr>
              <w:t>t/a</w:t>
            </w:r>
          </w:p>
        </w:tc>
        <w:tc>
          <w:tcPr>
            <w:tcW w:w="590" w:type="pct"/>
            <w:vAlign w:val="center"/>
          </w:tcPr>
          <w:p w14:paraId="6ED9368D">
            <w:pPr>
              <w:spacing w:line="276" w:lineRule="auto"/>
              <w:jc w:val="center"/>
              <w:rPr>
                <w:sz w:val="21"/>
                <w:szCs w:val="21"/>
              </w:rPr>
            </w:pPr>
            <w:r>
              <w:rPr>
                <w:rFonts w:hint="eastAsia"/>
                <w:sz w:val="21"/>
                <w:szCs w:val="21"/>
              </w:rPr>
              <w:t>/</w:t>
            </w:r>
          </w:p>
        </w:tc>
        <w:tc>
          <w:tcPr>
            <w:tcW w:w="1675" w:type="dxa"/>
            <w:vAlign w:val="center"/>
          </w:tcPr>
          <w:p w14:paraId="31D14AEA">
            <w:pPr>
              <w:pStyle w:val="39"/>
              <w:spacing w:line="276" w:lineRule="auto"/>
              <w:rPr>
                <w:szCs w:val="21"/>
              </w:rPr>
            </w:pPr>
            <w:r>
              <w:rPr>
                <w:rFonts w:hint="eastAsia"/>
                <w:szCs w:val="21"/>
              </w:rPr>
              <w:t>5.578</w:t>
            </w:r>
            <w:r>
              <w:rPr>
                <w:rFonts w:hint="eastAsia"/>
                <w:szCs w:val="21"/>
                <w:lang w:val="en-US" w:eastAsia="zh-CN"/>
              </w:rPr>
              <w:t>t/a</w:t>
            </w:r>
          </w:p>
        </w:tc>
        <w:tc>
          <w:tcPr>
            <w:tcW w:w="1623" w:type="dxa"/>
            <w:vAlign w:val="center"/>
          </w:tcPr>
          <w:p w14:paraId="632A65DF">
            <w:pPr>
              <w:pStyle w:val="39"/>
              <w:spacing w:line="276" w:lineRule="auto"/>
              <w:rPr>
                <w:szCs w:val="21"/>
              </w:rPr>
            </w:pPr>
            <w:r>
              <w:rPr>
                <w:rFonts w:hint="eastAsia"/>
                <w:szCs w:val="21"/>
                <w:lang w:val="en-US" w:eastAsia="zh-CN"/>
              </w:rPr>
              <w:t>+</w:t>
            </w:r>
            <w:r>
              <w:rPr>
                <w:rFonts w:hint="eastAsia"/>
                <w:szCs w:val="21"/>
              </w:rPr>
              <w:t>5.578</w:t>
            </w:r>
            <w:r>
              <w:rPr>
                <w:rFonts w:hint="eastAsia"/>
                <w:szCs w:val="21"/>
                <w:lang w:val="en-US" w:eastAsia="zh-CN"/>
              </w:rPr>
              <w:t>t/a</w:t>
            </w:r>
          </w:p>
        </w:tc>
      </w:tr>
      <w:tr w14:paraId="4E397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5ABDC9C3">
            <w:pPr>
              <w:spacing w:line="276" w:lineRule="auto"/>
              <w:jc w:val="center"/>
              <w:rPr>
                <w:sz w:val="21"/>
                <w:szCs w:val="21"/>
              </w:rPr>
            </w:pPr>
          </w:p>
        </w:tc>
        <w:tc>
          <w:tcPr>
            <w:tcW w:w="620" w:type="pct"/>
            <w:vAlign w:val="center"/>
          </w:tcPr>
          <w:p w14:paraId="742D31D5">
            <w:pPr>
              <w:pStyle w:val="39"/>
              <w:spacing w:line="276" w:lineRule="auto"/>
              <w:rPr>
                <w:szCs w:val="21"/>
              </w:rPr>
            </w:pPr>
            <w:r>
              <w:rPr>
                <w:rFonts w:hint="eastAsia" w:hAnsi="宋体"/>
                <w:szCs w:val="21"/>
              </w:rPr>
              <w:t>槽渣</w:t>
            </w:r>
          </w:p>
        </w:tc>
        <w:tc>
          <w:tcPr>
            <w:tcW w:w="485" w:type="pct"/>
            <w:vAlign w:val="center"/>
          </w:tcPr>
          <w:p w14:paraId="3F4ED034">
            <w:pPr>
              <w:spacing w:line="276" w:lineRule="auto"/>
              <w:jc w:val="center"/>
              <w:rPr>
                <w:sz w:val="21"/>
                <w:szCs w:val="21"/>
              </w:rPr>
            </w:pPr>
            <w:r>
              <w:rPr>
                <w:rFonts w:hint="eastAsia"/>
                <w:sz w:val="21"/>
                <w:szCs w:val="21"/>
              </w:rPr>
              <w:t>0</w:t>
            </w:r>
          </w:p>
        </w:tc>
        <w:tc>
          <w:tcPr>
            <w:tcW w:w="590" w:type="pct"/>
            <w:vAlign w:val="center"/>
          </w:tcPr>
          <w:p w14:paraId="6D6D0C19">
            <w:pPr>
              <w:spacing w:line="276" w:lineRule="auto"/>
              <w:jc w:val="center"/>
              <w:rPr>
                <w:sz w:val="21"/>
                <w:szCs w:val="21"/>
              </w:rPr>
            </w:pPr>
            <w:r>
              <w:rPr>
                <w:rFonts w:hint="eastAsia"/>
                <w:sz w:val="21"/>
                <w:szCs w:val="21"/>
              </w:rPr>
              <w:t>0</w:t>
            </w:r>
          </w:p>
        </w:tc>
        <w:tc>
          <w:tcPr>
            <w:tcW w:w="590" w:type="pct"/>
            <w:vAlign w:val="center"/>
          </w:tcPr>
          <w:p w14:paraId="6AEC29AF">
            <w:pPr>
              <w:spacing w:line="276" w:lineRule="auto"/>
              <w:jc w:val="center"/>
              <w:rPr>
                <w:sz w:val="21"/>
                <w:szCs w:val="21"/>
              </w:rPr>
            </w:pPr>
            <w:r>
              <w:rPr>
                <w:rFonts w:hint="eastAsia"/>
                <w:sz w:val="21"/>
                <w:szCs w:val="21"/>
              </w:rPr>
              <w:t>/</w:t>
            </w:r>
          </w:p>
        </w:tc>
        <w:tc>
          <w:tcPr>
            <w:tcW w:w="590" w:type="pct"/>
            <w:vAlign w:val="center"/>
          </w:tcPr>
          <w:p w14:paraId="48283F70">
            <w:pPr>
              <w:pStyle w:val="39"/>
              <w:spacing w:line="276" w:lineRule="auto"/>
              <w:rPr>
                <w:szCs w:val="21"/>
              </w:rPr>
            </w:pPr>
            <w:r>
              <w:rPr>
                <w:rFonts w:hint="eastAsia"/>
                <w:szCs w:val="21"/>
              </w:rPr>
              <w:t>1.5</w:t>
            </w:r>
            <w:r>
              <w:rPr>
                <w:rFonts w:hint="eastAsia"/>
                <w:szCs w:val="21"/>
                <w:lang w:val="en-US" w:eastAsia="zh-CN"/>
              </w:rPr>
              <w:t>t/a</w:t>
            </w:r>
          </w:p>
        </w:tc>
        <w:tc>
          <w:tcPr>
            <w:tcW w:w="590" w:type="pct"/>
            <w:vAlign w:val="center"/>
          </w:tcPr>
          <w:p w14:paraId="017C1DCA">
            <w:pPr>
              <w:spacing w:line="276" w:lineRule="auto"/>
              <w:jc w:val="center"/>
              <w:rPr>
                <w:sz w:val="21"/>
                <w:szCs w:val="21"/>
              </w:rPr>
            </w:pPr>
            <w:r>
              <w:rPr>
                <w:rFonts w:hint="eastAsia"/>
                <w:sz w:val="21"/>
                <w:szCs w:val="21"/>
              </w:rPr>
              <w:t>/</w:t>
            </w:r>
          </w:p>
        </w:tc>
        <w:tc>
          <w:tcPr>
            <w:tcW w:w="1675" w:type="dxa"/>
            <w:vAlign w:val="center"/>
          </w:tcPr>
          <w:p w14:paraId="2CE314FD">
            <w:pPr>
              <w:pStyle w:val="39"/>
              <w:spacing w:line="276" w:lineRule="auto"/>
              <w:rPr>
                <w:szCs w:val="21"/>
              </w:rPr>
            </w:pPr>
            <w:r>
              <w:rPr>
                <w:rFonts w:hint="eastAsia"/>
                <w:szCs w:val="21"/>
              </w:rPr>
              <w:t>1.5</w:t>
            </w:r>
            <w:r>
              <w:rPr>
                <w:rFonts w:hint="eastAsia"/>
                <w:szCs w:val="21"/>
                <w:lang w:val="en-US" w:eastAsia="zh-CN"/>
              </w:rPr>
              <w:t>t/a</w:t>
            </w:r>
          </w:p>
        </w:tc>
        <w:tc>
          <w:tcPr>
            <w:tcW w:w="1623" w:type="dxa"/>
            <w:vAlign w:val="center"/>
          </w:tcPr>
          <w:p w14:paraId="7479172F">
            <w:pPr>
              <w:pStyle w:val="39"/>
              <w:spacing w:line="276" w:lineRule="auto"/>
              <w:rPr>
                <w:szCs w:val="21"/>
              </w:rPr>
            </w:pPr>
            <w:r>
              <w:rPr>
                <w:rFonts w:hint="eastAsia"/>
                <w:szCs w:val="21"/>
                <w:lang w:val="en-US" w:eastAsia="zh-CN"/>
              </w:rPr>
              <w:t>+</w:t>
            </w:r>
            <w:r>
              <w:rPr>
                <w:rFonts w:hint="eastAsia"/>
                <w:szCs w:val="21"/>
              </w:rPr>
              <w:t>1.5</w:t>
            </w:r>
            <w:r>
              <w:rPr>
                <w:rFonts w:hint="eastAsia"/>
                <w:szCs w:val="21"/>
                <w:lang w:val="en-US" w:eastAsia="zh-CN"/>
              </w:rPr>
              <w:t>t/a</w:t>
            </w:r>
          </w:p>
        </w:tc>
      </w:tr>
      <w:tr w14:paraId="39A17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651AA0A5">
            <w:pPr>
              <w:spacing w:line="276" w:lineRule="auto"/>
              <w:jc w:val="center"/>
              <w:rPr>
                <w:sz w:val="21"/>
                <w:szCs w:val="21"/>
              </w:rPr>
            </w:pPr>
          </w:p>
        </w:tc>
        <w:tc>
          <w:tcPr>
            <w:tcW w:w="620" w:type="pct"/>
            <w:vAlign w:val="center"/>
          </w:tcPr>
          <w:p w14:paraId="2E042193">
            <w:pPr>
              <w:pStyle w:val="39"/>
              <w:spacing w:line="276" w:lineRule="auto"/>
              <w:rPr>
                <w:szCs w:val="21"/>
              </w:rPr>
            </w:pPr>
            <w:r>
              <w:rPr>
                <w:rFonts w:hint="eastAsia" w:hAnsi="宋体"/>
                <w:szCs w:val="21"/>
              </w:rPr>
              <w:t>废机油</w:t>
            </w:r>
          </w:p>
        </w:tc>
        <w:tc>
          <w:tcPr>
            <w:tcW w:w="485" w:type="pct"/>
            <w:vAlign w:val="center"/>
          </w:tcPr>
          <w:p w14:paraId="6C8DAF98">
            <w:pPr>
              <w:spacing w:line="276" w:lineRule="auto"/>
              <w:jc w:val="center"/>
              <w:rPr>
                <w:sz w:val="21"/>
                <w:szCs w:val="21"/>
              </w:rPr>
            </w:pPr>
            <w:r>
              <w:rPr>
                <w:rFonts w:hint="eastAsia"/>
                <w:sz w:val="21"/>
                <w:szCs w:val="21"/>
              </w:rPr>
              <w:t>0</w:t>
            </w:r>
          </w:p>
        </w:tc>
        <w:tc>
          <w:tcPr>
            <w:tcW w:w="590" w:type="pct"/>
            <w:vAlign w:val="center"/>
          </w:tcPr>
          <w:p w14:paraId="65C6C733">
            <w:pPr>
              <w:spacing w:line="276" w:lineRule="auto"/>
              <w:jc w:val="center"/>
              <w:rPr>
                <w:sz w:val="21"/>
                <w:szCs w:val="21"/>
              </w:rPr>
            </w:pPr>
            <w:r>
              <w:rPr>
                <w:rFonts w:hint="eastAsia"/>
                <w:sz w:val="21"/>
                <w:szCs w:val="21"/>
              </w:rPr>
              <w:t>0</w:t>
            </w:r>
          </w:p>
        </w:tc>
        <w:tc>
          <w:tcPr>
            <w:tcW w:w="590" w:type="pct"/>
            <w:vAlign w:val="center"/>
          </w:tcPr>
          <w:p w14:paraId="08E71DBD">
            <w:pPr>
              <w:spacing w:line="276" w:lineRule="auto"/>
              <w:jc w:val="center"/>
              <w:rPr>
                <w:sz w:val="21"/>
                <w:szCs w:val="21"/>
              </w:rPr>
            </w:pPr>
            <w:r>
              <w:rPr>
                <w:rFonts w:hint="eastAsia"/>
                <w:sz w:val="21"/>
                <w:szCs w:val="21"/>
              </w:rPr>
              <w:t>/</w:t>
            </w:r>
          </w:p>
        </w:tc>
        <w:tc>
          <w:tcPr>
            <w:tcW w:w="590" w:type="pct"/>
            <w:vAlign w:val="center"/>
          </w:tcPr>
          <w:p w14:paraId="70B2A231">
            <w:pPr>
              <w:pStyle w:val="39"/>
              <w:spacing w:line="276" w:lineRule="auto"/>
              <w:rPr>
                <w:szCs w:val="21"/>
              </w:rPr>
            </w:pPr>
            <w:r>
              <w:rPr>
                <w:rFonts w:hint="eastAsia"/>
                <w:szCs w:val="21"/>
              </w:rPr>
              <w:t>0.5</w:t>
            </w:r>
            <w:r>
              <w:rPr>
                <w:rFonts w:hint="eastAsia"/>
                <w:szCs w:val="21"/>
                <w:lang w:val="en-US" w:eastAsia="zh-CN"/>
              </w:rPr>
              <w:t>t/a</w:t>
            </w:r>
          </w:p>
        </w:tc>
        <w:tc>
          <w:tcPr>
            <w:tcW w:w="590" w:type="pct"/>
            <w:vAlign w:val="center"/>
          </w:tcPr>
          <w:p w14:paraId="7B5034FF">
            <w:pPr>
              <w:spacing w:line="276" w:lineRule="auto"/>
              <w:jc w:val="center"/>
              <w:rPr>
                <w:sz w:val="21"/>
                <w:szCs w:val="21"/>
              </w:rPr>
            </w:pPr>
            <w:r>
              <w:rPr>
                <w:rFonts w:hint="eastAsia"/>
                <w:sz w:val="21"/>
                <w:szCs w:val="21"/>
              </w:rPr>
              <w:t>/</w:t>
            </w:r>
          </w:p>
        </w:tc>
        <w:tc>
          <w:tcPr>
            <w:tcW w:w="1675" w:type="dxa"/>
            <w:vAlign w:val="center"/>
          </w:tcPr>
          <w:p w14:paraId="79E4C7C9">
            <w:pPr>
              <w:pStyle w:val="39"/>
              <w:spacing w:line="276" w:lineRule="auto"/>
              <w:rPr>
                <w:szCs w:val="21"/>
              </w:rPr>
            </w:pPr>
            <w:r>
              <w:rPr>
                <w:rFonts w:hint="eastAsia"/>
                <w:szCs w:val="21"/>
              </w:rPr>
              <w:t>0.5</w:t>
            </w:r>
            <w:r>
              <w:rPr>
                <w:rFonts w:hint="eastAsia"/>
                <w:szCs w:val="21"/>
                <w:lang w:val="en-US" w:eastAsia="zh-CN"/>
              </w:rPr>
              <w:t>t/a</w:t>
            </w:r>
          </w:p>
        </w:tc>
        <w:tc>
          <w:tcPr>
            <w:tcW w:w="1623" w:type="dxa"/>
            <w:vAlign w:val="center"/>
          </w:tcPr>
          <w:p w14:paraId="70A03332">
            <w:pPr>
              <w:pStyle w:val="39"/>
              <w:spacing w:line="276" w:lineRule="auto"/>
              <w:rPr>
                <w:szCs w:val="21"/>
              </w:rPr>
            </w:pPr>
            <w:r>
              <w:rPr>
                <w:rFonts w:hint="eastAsia"/>
                <w:szCs w:val="21"/>
                <w:lang w:val="en-US" w:eastAsia="zh-CN"/>
              </w:rPr>
              <w:t>+</w:t>
            </w:r>
            <w:r>
              <w:rPr>
                <w:rFonts w:hint="eastAsia"/>
                <w:szCs w:val="21"/>
              </w:rPr>
              <w:t>0.5</w:t>
            </w:r>
            <w:r>
              <w:rPr>
                <w:rFonts w:hint="eastAsia"/>
                <w:szCs w:val="21"/>
                <w:lang w:val="en-US" w:eastAsia="zh-CN"/>
              </w:rPr>
              <w:t>t/a</w:t>
            </w:r>
          </w:p>
        </w:tc>
      </w:tr>
      <w:tr w14:paraId="015D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30881BC7">
            <w:pPr>
              <w:spacing w:line="276" w:lineRule="auto"/>
              <w:jc w:val="center"/>
              <w:rPr>
                <w:sz w:val="21"/>
                <w:szCs w:val="21"/>
              </w:rPr>
            </w:pPr>
          </w:p>
        </w:tc>
        <w:tc>
          <w:tcPr>
            <w:tcW w:w="620" w:type="pct"/>
            <w:vAlign w:val="center"/>
          </w:tcPr>
          <w:p w14:paraId="24F28D24">
            <w:pPr>
              <w:pStyle w:val="39"/>
              <w:spacing w:line="276" w:lineRule="auto"/>
              <w:rPr>
                <w:szCs w:val="21"/>
              </w:rPr>
            </w:pPr>
            <w:r>
              <w:rPr>
                <w:rFonts w:hint="eastAsia" w:hAnsi="宋体"/>
                <w:szCs w:val="21"/>
              </w:rPr>
              <w:t>废机油桶</w:t>
            </w:r>
          </w:p>
        </w:tc>
        <w:tc>
          <w:tcPr>
            <w:tcW w:w="485" w:type="pct"/>
            <w:vAlign w:val="center"/>
          </w:tcPr>
          <w:p w14:paraId="2539BD42">
            <w:pPr>
              <w:spacing w:line="276" w:lineRule="auto"/>
              <w:jc w:val="center"/>
              <w:rPr>
                <w:sz w:val="21"/>
                <w:szCs w:val="21"/>
              </w:rPr>
            </w:pPr>
            <w:r>
              <w:rPr>
                <w:rFonts w:hint="eastAsia"/>
                <w:sz w:val="21"/>
                <w:szCs w:val="21"/>
              </w:rPr>
              <w:t>0</w:t>
            </w:r>
          </w:p>
        </w:tc>
        <w:tc>
          <w:tcPr>
            <w:tcW w:w="590" w:type="pct"/>
            <w:vAlign w:val="center"/>
          </w:tcPr>
          <w:p w14:paraId="20C578B3">
            <w:pPr>
              <w:spacing w:line="276" w:lineRule="auto"/>
              <w:jc w:val="center"/>
              <w:rPr>
                <w:sz w:val="21"/>
                <w:szCs w:val="21"/>
              </w:rPr>
            </w:pPr>
            <w:r>
              <w:rPr>
                <w:rFonts w:hint="eastAsia"/>
                <w:sz w:val="21"/>
                <w:szCs w:val="21"/>
              </w:rPr>
              <w:t>0</w:t>
            </w:r>
          </w:p>
        </w:tc>
        <w:tc>
          <w:tcPr>
            <w:tcW w:w="590" w:type="pct"/>
            <w:vAlign w:val="center"/>
          </w:tcPr>
          <w:p w14:paraId="29D5E465">
            <w:pPr>
              <w:spacing w:line="276" w:lineRule="auto"/>
              <w:jc w:val="center"/>
              <w:rPr>
                <w:sz w:val="21"/>
                <w:szCs w:val="21"/>
              </w:rPr>
            </w:pPr>
            <w:r>
              <w:rPr>
                <w:rFonts w:hint="eastAsia"/>
                <w:sz w:val="21"/>
                <w:szCs w:val="21"/>
              </w:rPr>
              <w:t>/</w:t>
            </w:r>
          </w:p>
        </w:tc>
        <w:tc>
          <w:tcPr>
            <w:tcW w:w="590" w:type="pct"/>
            <w:vAlign w:val="center"/>
          </w:tcPr>
          <w:p w14:paraId="2C44C742">
            <w:pPr>
              <w:pStyle w:val="39"/>
              <w:spacing w:line="276" w:lineRule="auto"/>
              <w:rPr>
                <w:szCs w:val="21"/>
              </w:rPr>
            </w:pPr>
            <w:r>
              <w:rPr>
                <w:rFonts w:hint="eastAsia"/>
                <w:szCs w:val="21"/>
              </w:rPr>
              <w:t>0.06</w:t>
            </w:r>
            <w:r>
              <w:rPr>
                <w:rFonts w:hint="eastAsia"/>
                <w:szCs w:val="21"/>
                <w:lang w:val="en-US" w:eastAsia="zh-CN"/>
              </w:rPr>
              <w:t>t/a</w:t>
            </w:r>
          </w:p>
        </w:tc>
        <w:tc>
          <w:tcPr>
            <w:tcW w:w="590" w:type="pct"/>
            <w:vAlign w:val="center"/>
          </w:tcPr>
          <w:p w14:paraId="7685C00E">
            <w:pPr>
              <w:spacing w:line="276" w:lineRule="auto"/>
              <w:jc w:val="center"/>
              <w:rPr>
                <w:sz w:val="21"/>
                <w:szCs w:val="21"/>
              </w:rPr>
            </w:pPr>
            <w:r>
              <w:rPr>
                <w:rFonts w:hint="eastAsia"/>
                <w:sz w:val="21"/>
                <w:szCs w:val="21"/>
              </w:rPr>
              <w:t>/</w:t>
            </w:r>
          </w:p>
        </w:tc>
        <w:tc>
          <w:tcPr>
            <w:tcW w:w="1675" w:type="dxa"/>
            <w:vAlign w:val="center"/>
          </w:tcPr>
          <w:p w14:paraId="01B0A605">
            <w:pPr>
              <w:pStyle w:val="39"/>
              <w:spacing w:line="276" w:lineRule="auto"/>
              <w:rPr>
                <w:szCs w:val="21"/>
              </w:rPr>
            </w:pPr>
            <w:r>
              <w:rPr>
                <w:rFonts w:hint="eastAsia"/>
                <w:szCs w:val="21"/>
              </w:rPr>
              <w:t>0.06</w:t>
            </w:r>
            <w:r>
              <w:rPr>
                <w:rFonts w:hint="eastAsia"/>
                <w:szCs w:val="21"/>
                <w:lang w:val="en-US" w:eastAsia="zh-CN"/>
              </w:rPr>
              <w:t>t/a</w:t>
            </w:r>
          </w:p>
        </w:tc>
        <w:tc>
          <w:tcPr>
            <w:tcW w:w="1623" w:type="dxa"/>
            <w:vAlign w:val="center"/>
          </w:tcPr>
          <w:p w14:paraId="6CB2BCC7">
            <w:pPr>
              <w:pStyle w:val="39"/>
              <w:spacing w:line="276" w:lineRule="auto"/>
              <w:rPr>
                <w:szCs w:val="21"/>
              </w:rPr>
            </w:pPr>
            <w:r>
              <w:rPr>
                <w:rFonts w:hint="eastAsia"/>
                <w:szCs w:val="21"/>
                <w:lang w:val="en-US" w:eastAsia="zh-CN"/>
              </w:rPr>
              <w:t>+</w:t>
            </w:r>
            <w:r>
              <w:rPr>
                <w:rFonts w:hint="eastAsia"/>
                <w:szCs w:val="21"/>
              </w:rPr>
              <w:t>0.06</w:t>
            </w:r>
            <w:r>
              <w:rPr>
                <w:rFonts w:hint="eastAsia"/>
                <w:szCs w:val="21"/>
                <w:lang w:val="en-US" w:eastAsia="zh-CN"/>
              </w:rPr>
              <w:t>t/a</w:t>
            </w:r>
          </w:p>
        </w:tc>
      </w:tr>
      <w:tr w14:paraId="4F250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41F1F648">
            <w:pPr>
              <w:spacing w:line="276" w:lineRule="auto"/>
              <w:jc w:val="center"/>
              <w:rPr>
                <w:sz w:val="21"/>
                <w:szCs w:val="21"/>
              </w:rPr>
            </w:pPr>
          </w:p>
        </w:tc>
        <w:tc>
          <w:tcPr>
            <w:tcW w:w="620" w:type="pct"/>
            <w:vAlign w:val="center"/>
          </w:tcPr>
          <w:p w14:paraId="3DB2C3AC">
            <w:pPr>
              <w:pStyle w:val="39"/>
              <w:spacing w:line="276" w:lineRule="auto"/>
              <w:rPr>
                <w:szCs w:val="21"/>
              </w:rPr>
            </w:pPr>
            <w:r>
              <w:rPr>
                <w:rFonts w:hint="eastAsia" w:hAnsi="宋体"/>
                <w:szCs w:val="21"/>
              </w:rPr>
              <w:t>含油抹布</w:t>
            </w:r>
          </w:p>
        </w:tc>
        <w:tc>
          <w:tcPr>
            <w:tcW w:w="485" w:type="pct"/>
            <w:vAlign w:val="center"/>
          </w:tcPr>
          <w:p w14:paraId="02956FBD">
            <w:pPr>
              <w:spacing w:line="276" w:lineRule="auto"/>
              <w:jc w:val="center"/>
              <w:rPr>
                <w:sz w:val="21"/>
                <w:szCs w:val="21"/>
              </w:rPr>
            </w:pPr>
            <w:r>
              <w:rPr>
                <w:rFonts w:hint="eastAsia"/>
                <w:sz w:val="21"/>
                <w:szCs w:val="21"/>
              </w:rPr>
              <w:t>0</w:t>
            </w:r>
          </w:p>
        </w:tc>
        <w:tc>
          <w:tcPr>
            <w:tcW w:w="590" w:type="pct"/>
            <w:vAlign w:val="center"/>
          </w:tcPr>
          <w:p w14:paraId="614C7A72">
            <w:pPr>
              <w:spacing w:line="276" w:lineRule="auto"/>
              <w:jc w:val="center"/>
              <w:rPr>
                <w:sz w:val="21"/>
                <w:szCs w:val="21"/>
              </w:rPr>
            </w:pPr>
            <w:r>
              <w:rPr>
                <w:rFonts w:hint="eastAsia"/>
                <w:sz w:val="21"/>
                <w:szCs w:val="21"/>
              </w:rPr>
              <w:t>0</w:t>
            </w:r>
          </w:p>
        </w:tc>
        <w:tc>
          <w:tcPr>
            <w:tcW w:w="590" w:type="pct"/>
            <w:vAlign w:val="center"/>
          </w:tcPr>
          <w:p w14:paraId="6B3ECF60">
            <w:pPr>
              <w:spacing w:line="276" w:lineRule="auto"/>
              <w:jc w:val="center"/>
              <w:rPr>
                <w:sz w:val="21"/>
                <w:szCs w:val="21"/>
              </w:rPr>
            </w:pPr>
            <w:r>
              <w:rPr>
                <w:rFonts w:hint="eastAsia"/>
                <w:sz w:val="21"/>
                <w:szCs w:val="21"/>
              </w:rPr>
              <w:t>/</w:t>
            </w:r>
          </w:p>
        </w:tc>
        <w:tc>
          <w:tcPr>
            <w:tcW w:w="590" w:type="pct"/>
            <w:vAlign w:val="center"/>
          </w:tcPr>
          <w:p w14:paraId="3012463D">
            <w:pPr>
              <w:pStyle w:val="39"/>
              <w:spacing w:line="276" w:lineRule="auto"/>
              <w:rPr>
                <w:szCs w:val="21"/>
              </w:rPr>
            </w:pPr>
            <w:r>
              <w:rPr>
                <w:rFonts w:hint="eastAsia"/>
                <w:szCs w:val="21"/>
              </w:rPr>
              <w:t>0.05</w:t>
            </w:r>
            <w:r>
              <w:rPr>
                <w:rFonts w:hint="eastAsia"/>
                <w:szCs w:val="21"/>
                <w:lang w:val="en-US" w:eastAsia="zh-CN"/>
              </w:rPr>
              <w:t>t/a</w:t>
            </w:r>
          </w:p>
        </w:tc>
        <w:tc>
          <w:tcPr>
            <w:tcW w:w="590" w:type="pct"/>
            <w:vAlign w:val="center"/>
          </w:tcPr>
          <w:p w14:paraId="550BF332">
            <w:pPr>
              <w:spacing w:line="276" w:lineRule="auto"/>
              <w:jc w:val="center"/>
              <w:rPr>
                <w:sz w:val="21"/>
                <w:szCs w:val="21"/>
              </w:rPr>
            </w:pPr>
            <w:r>
              <w:rPr>
                <w:rFonts w:hint="eastAsia"/>
                <w:sz w:val="21"/>
                <w:szCs w:val="21"/>
              </w:rPr>
              <w:t>/</w:t>
            </w:r>
          </w:p>
        </w:tc>
        <w:tc>
          <w:tcPr>
            <w:tcW w:w="1675" w:type="dxa"/>
            <w:vAlign w:val="center"/>
          </w:tcPr>
          <w:p w14:paraId="10A6EF0E">
            <w:pPr>
              <w:pStyle w:val="39"/>
              <w:spacing w:line="276" w:lineRule="auto"/>
              <w:rPr>
                <w:szCs w:val="21"/>
              </w:rPr>
            </w:pPr>
            <w:r>
              <w:rPr>
                <w:rFonts w:hint="eastAsia"/>
                <w:szCs w:val="21"/>
              </w:rPr>
              <w:t>0.05</w:t>
            </w:r>
            <w:r>
              <w:rPr>
                <w:rFonts w:hint="eastAsia"/>
                <w:szCs w:val="21"/>
                <w:lang w:val="en-US" w:eastAsia="zh-CN"/>
              </w:rPr>
              <w:t>t/a</w:t>
            </w:r>
          </w:p>
        </w:tc>
        <w:tc>
          <w:tcPr>
            <w:tcW w:w="1623" w:type="dxa"/>
            <w:vAlign w:val="center"/>
          </w:tcPr>
          <w:p w14:paraId="68CF1E52">
            <w:pPr>
              <w:pStyle w:val="39"/>
              <w:spacing w:line="276" w:lineRule="auto"/>
              <w:rPr>
                <w:szCs w:val="21"/>
              </w:rPr>
            </w:pPr>
            <w:r>
              <w:rPr>
                <w:rFonts w:hint="eastAsia"/>
                <w:szCs w:val="21"/>
                <w:lang w:val="en-US" w:eastAsia="zh-CN"/>
              </w:rPr>
              <w:t>+</w:t>
            </w:r>
            <w:r>
              <w:rPr>
                <w:rFonts w:hint="eastAsia"/>
                <w:szCs w:val="21"/>
              </w:rPr>
              <w:t>0.05</w:t>
            </w:r>
            <w:r>
              <w:rPr>
                <w:rFonts w:hint="eastAsia"/>
                <w:szCs w:val="21"/>
                <w:lang w:val="en-US" w:eastAsia="zh-CN"/>
              </w:rPr>
              <w:t>t/a</w:t>
            </w:r>
          </w:p>
        </w:tc>
      </w:tr>
      <w:tr w14:paraId="48113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25C413BA">
            <w:pPr>
              <w:spacing w:line="276" w:lineRule="auto"/>
              <w:jc w:val="center"/>
              <w:rPr>
                <w:sz w:val="21"/>
                <w:szCs w:val="21"/>
              </w:rPr>
            </w:pPr>
          </w:p>
        </w:tc>
        <w:tc>
          <w:tcPr>
            <w:tcW w:w="620" w:type="pct"/>
            <w:vAlign w:val="center"/>
          </w:tcPr>
          <w:p w14:paraId="35D9451D">
            <w:pPr>
              <w:pStyle w:val="39"/>
              <w:spacing w:line="276" w:lineRule="auto"/>
              <w:rPr>
                <w:szCs w:val="21"/>
              </w:rPr>
            </w:pPr>
            <w:r>
              <w:rPr>
                <w:rFonts w:hint="eastAsia" w:hAnsi="宋体"/>
                <w:szCs w:val="21"/>
              </w:rPr>
              <w:t>废活性炭</w:t>
            </w:r>
          </w:p>
        </w:tc>
        <w:tc>
          <w:tcPr>
            <w:tcW w:w="485" w:type="pct"/>
            <w:vAlign w:val="center"/>
          </w:tcPr>
          <w:p w14:paraId="061DEDEC">
            <w:pPr>
              <w:spacing w:line="276" w:lineRule="auto"/>
              <w:jc w:val="center"/>
              <w:rPr>
                <w:sz w:val="21"/>
                <w:szCs w:val="21"/>
              </w:rPr>
            </w:pPr>
            <w:r>
              <w:rPr>
                <w:rFonts w:hint="eastAsia"/>
                <w:sz w:val="21"/>
                <w:szCs w:val="21"/>
              </w:rPr>
              <w:t>0</w:t>
            </w:r>
          </w:p>
        </w:tc>
        <w:tc>
          <w:tcPr>
            <w:tcW w:w="590" w:type="pct"/>
            <w:vAlign w:val="center"/>
          </w:tcPr>
          <w:p w14:paraId="16689547">
            <w:pPr>
              <w:spacing w:line="276" w:lineRule="auto"/>
              <w:jc w:val="center"/>
              <w:rPr>
                <w:sz w:val="21"/>
                <w:szCs w:val="21"/>
              </w:rPr>
            </w:pPr>
            <w:r>
              <w:rPr>
                <w:rFonts w:hint="eastAsia"/>
                <w:sz w:val="21"/>
                <w:szCs w:val="21"/>
              </w:rPr>
              <w:t>0</w:t>
            </w:r>
          </w:p>
        </w:tc>
        <w:tc>
          <w:tcPr>
            <w:tcW w:w="590" w:type="pct"/>
            <w:vAlign w:val="center"/>
          </w:tcPr>
          <w:p w14:paraId="42E572D6">
            <w:pPr>
              <w:spacing w:line="276" w:lineRule="auto"/>
              <w:jc w:val="center"/>
              <w:rPr>
                <w:sz w:val="21"/>
                <w:szCs w:val="21"/>
              </w:rPr>
            </w:pPr>
            <w:r>
              <w:rPr>
                <w:rFonts w:hint="eastAsia"/>
                <w:sz w:val="21"/>
                <w:szCs w:val="21"/>
              </w:rPr>
              <w:t>/</w:t>
            </w:r>
          </w:p>
        </w:tc>
        <w:tc>
          <w:tcPr>
            <w:tcW w:w="590" w:type="pct"/>
            <w:vAlign w:val="center"/>
          </w:tcPr>
          <w:p w14:paraId="3A938C7C">
            <w:pPr>
              <w:pStyle w:val="39"/>
              <w:spacing w:line="276" w:lineRule="auto"/>
              <w:rPr>
                <w:rFonts w:hint="default" w:eastAsia="宋体"/>
                <w:szCs w:val="21"/>
                <w:lang w:val="en-US" w:eastAsia="zh-CN"/>
              </w:rPr>
            </w:pPr>
            <w:r>
              <w:rPr>
                <w:rFonts w:hint="eastAsia"/>
                <w:szCs w:val="21"/>
                <w:lang w:val="en-US" w:eastAsia="zh-CN"/>
              </w:rPr>
              <w:t>31.495t/a</w:t>
            </w:r>
          </w:p>
        </w:tc>
        <w:tc>
          <w:tcPr>
            <w:tcW w:w="590" w:type="pct"/>
            <w:vAlign w:val="center"/>
          </w:tcPr>
          <w:p w14:paraId="50B86EAF">
            <w:pPr>
              <w:spacing w:line="276" w:lineRule="auto"/>
              <w:jc w:val="center"/>
              <w:rPr>
                <w:sz w:val="21"/>
                <w:szCs w:val="21"/>
              </w:rPr>
            </w:pPr>
            <w:r>
              <w:rPr>
                <w:rFonts w:hint="eastAsia"/>
                <w:sz w:val="21"/>
                <w:szCs w:val="21"/>
              </w:rPr>
              <w:t>/</w:t>
            </w:r>
          </w:p>
        </w:tc>
        <w:tc>
          <w:tcPr>
            <w:tcW w:w="1675" w:type="dxa"/>
            <w:vAlign w:val="center"/>
          </w:tcPr>
          <w:p w14:paraId="39AA416D">
            <w:pPr>
              <w:pStyle w:val="39"/>
              <w:spacing w:line="276" w:lineRule="auto"/>
              <w:rPr>
                <w:szCs w:val="21"/>
              </w:rPr>
            </w:pPr>
            <w:r>
              <w:rPr>
                <w:rFonts w:hint="eastAsia"/>
                <w:szCs w:val="21"/>
                <w:lang w:val="en-US" w:eastAsia="zh-CN"/>
              </w:rPr>
              <w:t>31.495t/a</w:t>
            </w:r>
          </w:p>
        </w:tc>
        <w:tc>
          <w:tcPr>
            <w:tcW w:w="1623" w:type="dxa"/>
            <w:vAlign w:val="center"/>
          </w:tcPr>
          <w:p w14:paraId="4ABC19E6">
            <w:pPr>
              <w:pStyle w:val="39"/>
              <w:spacing w:line="276" w:lineRule="auto"/>
              <w:rPr>
                <w:szCs w:val="21"/>
              </w:rPr>
            </w:pPr>
            <w:r>
              <w:rPr>
                <w:rFonts w:hint="eastAsia"/>
                <w:szCs w:val="21"/>
                <w:lang w:val="en-US" w:eastAsia="zh-CN"/>
              </w:rPr>
              <w:t>+31.495t/a</w:t>
            </w:r>
          </w:p>
        </w:tc>
      </w:tr>
      <w:tr w14:paraId="69E17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7" w:type="pct"/>
            <w:gridSpan w:val="2"/>
            <w:vAlign w:val="center"/>
          </w:tcPr>
          <w:p w14:paraId="75E1B593">
            <w:pPr>
              <w:spacing w:line="276" w:lineRule="auto"/>
              <w:jc w:val="center"/>
              <w:rPr>
                <w:rFonts w:hAnsi="宋体"/>
                <w:szCs w:val="21"/>
              </w:rPr>
            </w:pPr>
            <w:r>
              <w:rPr>
                <w:sz w:val="21"/>
                <w:szCs w:val="21"/>
              </w:rPr>
              <w:t>生活垃圾</w:t>
            </w:r>
          </w:p>
        </w:tc>
        <w:tc>
          <w:tcPr>
            <w:tcW w:w="485" w:type="pct"/>
            <w:vAlign w:val="center"/>
          </w:tcPr>
          <w:p w14:paraId="5D756B81">
            <w:pPr>
              <w:spacing w:line="276" w:lineRule="auto"/>
              <w:jc w:val="center"/>
              <w:rPr>
                <w:sz w:val="21"/>
                <w:szCs w:val="21"/>
              </w:rPr>
            </w:pPr>
            <w:r>
              <w:rPr>
                <w:rFonts w:hint="eastAsia"/>
                <w:sz w:val="21"/>
                <w:szCs w:val="21"/>
              </w:rPr>
              <w:t>0</w:t>
            </w:r>
          </w:p>
        </w:tc>
        <w:tc>
          <w:tcPr>
            <w:tcW w:w="590" w:type="pct"/>
            <w:vAlign w:val="center"/>
          </w:tcPr>
          <w:p w14:paraId="7D97EF1D">
            <w:pPr>
              <w:spacing w:line="276" w:lineRule="auto"/>
              <w:jc w:val="center"/>
              <w:rPr>
                <w:sz w:val="21"/>
                <w:szCs w:val="21"/>
              </w:rPr>
            </w:pPr>
            <w:r>
              <w:rPr>
                <w:rFonts w:hint="eastAsia"/>
                <w:sz w:val="21"/>
                <w:szCs w:val="21"/>
              </w:rPr>
              <w:t>0</w:t>
            </w:r>
          </w:p>
        </w:tc>
        <w:tc>
          <w:tcPr>
            <w:tcW w:w="590" w:type="pct"/>
            <w:vAlign w:val="center"/>
          </w:tcPr>
          <w:p w14:paraId="2C1D1AB1">
            <w:pPr>
              <w:spacing w:line="276" w:lineRule="auto"/>
              <w:jc w:val="center"/>
              <w:rPr>
                <w:sz w:val="21"/>
                <w:szCs w:val="21"/>
              </w:rPr>
            </w:pPr>
            <w:r>
              <w:rPr>
                <w:rFonts w:hint="eastAsia"/>
                <w:sz w:val="21"/>
                <w:szCs w:val="21"/>
              </w:rPr>
              <w:t>/</w:t>
            </w:r>
          </w:p>
        </w:tc>
        <w:tc>
          <w:tcPr>
            <w:tcW w:w="590" w:type="pct"/>
            <w:vAlign w:val="center"/>
          </w:tcPr>
          <w:p w14:paraId="008F46EA">
            <w:pPr>
              <w:spacing w:line="276" w:lineRule="auto"/>
              <w:jc w:val="center"/>
              <w:rPr>
                <w:szCs w:val="21"/>
              </w:rPr>
            </w:pPr>
            <w:r>
              <w:rPr>
                <w:rFonts w:hint="eastAsia"/>
                <w:sz w:val="21"/>
                <w:szCs w:val="21"/>
              </w:rPr>
              <w:t>18.72</w:t>
            </w:r>
            <w:r>
              <w:rPr>
                <w:rFonts w:hint="eastAsia"/>
                <w:sz w:val="21"/>
                <w:szCs w:val="21"/>
                <w:lang w:val="en-US" w:eastAsia="zh-CN"/>
              </w:rPr>
              <w:t>t/a</w:t>
            </w:r>
          </w:p>
        </w:tc>
        <w:tc>
          <w:tcPr>
            <w:tcW w:w="590" w:type="pct"/>
            <w:vAlign w:val="center"/>
          </w:tcPr>
          <w:p w14:paraId="358B28E8">
            <w:pPr>
              <w:spacing w:line="276" w:lineRule="auto"/>
              <w:jc w:val="center"/>
              <w:rPr>
                <w:sz w:val="21"/>
                <w:szCs w:val="21"/>
              </w:rPr>
            </w:pPr>
            <w:r>
              <w:rPr>
                <w:rFonts w:hint="eastAsia"/>
                <w:sz w:val="21"/>
                <w:szCs w:val="21"/>
              </w:rPr>
              <w:t>/</w:t>
            </w:r>
          </w:p>
        </w:tc>
        <w:tc>
          <w:tcPr>
            <w:tcW w:w="1675" w:type="dxa"/>
            <w:vAlign w:val="center"/>
          </w:tcPr>
          <w:p w14:paraId="3E4EC65E">
            <w:pPr>
              <w:spacing w:line="276" w:lineRule="auto"/>
              <w:jc w:val="center"/>
              <w:rPr>
                <w:szCs w:val="21"/>
              </w:rPr>
            </w:pPr>
            <w:r>
              <w:rPr>
                <w:rFonts w:hint="eastAsia"/>
                <w:sz w:val="21"/>
                <w:szCs w:val="21"/>
              </w:rPr>
              <w:t>18.72</w:t>
            </w:r>
            <w:r>
              <w:rPr>
                <w:rFonts w:hint="eastAsia"/>
                <w:sz w:val="21"/>
                <w:szCs w:val="21"/>
                <w:lang w:val="en-US" w:eastAsia="zh-CN"/>
              </w:rPr>
              <w:t>t/a</w:t>
            </w:r>
          </w:p>
        </w:tc>
        <w:tc>
          <w:tcPr>
            <w:tcW w:w="1623" w:type="dxa"/>
            <w:vAlign w:val="center"/>
          </w:tcPr>
          <w:p w14:paraId="412498DD">
            <w:pPr>
              <w:spacing w:line="276" w:lineRule="auto"/>
              <w:jc w:val="center"/>
              <w:rPr>
                <w:szCs w:val="21"/>
              </w:rPr>
            </w:pPr>
            <w:r>
              <w:rPr>
                <w:rFonts w:hint="eastAsia"/>
                <w:sz w:val="21"/>
                <w:szCs w:val="21"/>
                <w:lang w:val="en-US" w:eastAsia="zh-CN"/>
              </w:rPr>
              <w:t>+</w:t>
            </w:r>
            <w:r>
              <w:rPr>
                <w:rFonts w:hint="eastAsia"/>
                <w:sz w:val="21"/>
                <w:szCs w:val="21"/>
              </w:rPr>
              <w:t>18.72</w:t>
            </w:r>
            <w:r>
              <w:rPr>
                <w:rFonts w:hint="eastAsia"/>
                <w:sz w:val="21"/>
                <w:szCs w:val="21"/>
                <w:lang w:val="en-US" w:eastAsia="zh-CN"/>
              </w:rPr>
              <w:t>t/a</w:t>
            </w:r>
          </w:p>
        </w:tc>
      </w:tr>
    </w:tbl>
    <w:p w14:paraId="2076A059">
      <w:pPr>
        <w:rPr>
          <w:color w:val="FF0000"/>
        </w:rPr>
      </w:pPr>
      <w:r>
        <w:rPr>
          <w:rFonts w:hAnsi="黑体" w:eastAsia="黑体"/>
          <w:sz w:val="21"/>
          <w:szCs w:val="21"/>
        </w:rPr>
        <w:t>注：</w:t>
      </w:r>
      <w:r>
        <w:rPr>
          <w:rFonts w:ascii="黑体" w:hAnsi="黑体" w:eastAsia="黑体"/>
          <w:sz w:val="21"/>
          <w:szCs w:val="21"/>
        </w:rPr>
        <w:t>⑥</w:t>
      </w:r>
      <w:r>
        <w:rPr>
          <w:rFonts w:eastAsia="黑体"/>
          <w:sz w:val="21"/>
          <w:szCs w:val="21"/>
        </w:rPr>
        <w:t>=</w:t>
      </w:r>
      <w:r>
        <w:rPr>
          <w:rFonts w:ascii="黑体" w:hAnsi="黑体" w:eastAsia="黑体"/>
          <w:sz w:val="21"/>
          <w:szCs w:val="21"/>
        </w:rPr>
        <w:t>①</w:t>
      </w:r>
      <w:r>
        <w:rPr>
          <w:rFonts w:eastAsia="黑体"/>
          <w:sz w:val="21"/>
          <w:szCs w:val="21"/>
        </w:rPr>
        <w:t>+</w:t>
      </w:r>
      <w:r>
        <w:rPr>
          <w:rFonts w:ascii="黑体" w:hAnsi="黑体" w:eastAsia="黑体"/>
          <w:sz w:val="21"/>
          <w:szCs w:val="21"/>
        </w:rPr>
        <w:t>③</w:t>
      </w:r>
      <w:r>
        <w:rPr>
          <w:rFonts w:eastAsia="黑体"/>
          <w:sz w:val="21"/>
          <w:szCs w:val="21"/>
        </w:rPr>
        <w:t>+</w:t>
      </w:r>
      <w:r>
        <w:rPr>
          <w:rFonts w:ascii="黑体" w:hAnsi="黑体" w:eastAsia="黑体"/>
          <w:sz w:val="21"/>
          <w:szCs w:val="21"/>
        </w:rPr>
        <w:t>④</w:t>
      </w:r>
      <w:r>
        <w:rPr>
          <w:rFonts w:eastAsia="黑体"/>
          <w:sz w:val="21"/>
          <w:szCs w:val="21"/>
        </w:rPr>
        <w:t>-</w:t>
      </w:r>
      <w:r>
        <w:rPr>
          <w:rFonts w:ascii="黑体" w:hAnsi="黑体" w:eastAsia="黑体"/>
          <w:sz w:val="21"/>
          <w:szCs w:val="21"/>
        </w:rPr>
        <w:t>⑤</w:t>
      </w:r>
      <w:r>
        <w:rPr>
          <w:rFonts w:hAnsi="黑体" w:eastAsia="黑体"/>
          <w:sz w:val="21"/>
          <w:szCs w:val="21"/>
        </w:rPr>
        <w:t>；</w:t>
      </w:r>
      <w:r>
        <w:rPr>
          <w:rFonts w:ascii="黑体" w:hAnsi="黑体" w:eastAsia="黑体"/>
          <w:sz w:val="21"/>
          <w:szCs w:val="21"/>
        </w:rPr>
        <w:t>⑦</w:t>
      </w:r>
      <w:r>
        <w:rPr>
          <w:rFonts w:eastAsia="黑体"/>
          <w:sz w:val="21"/>
          <w:szCs w:val="21"/>
        </w:rPr>
        <w:t>=</w:t>
      </w:r>
      <w:r>
        <w:rPr>
          <w:rFonts w:ascii="黑体" w:hAnsi="黑体" w:eastAsia="黑体"/>
          <w:sz w:val="21"/>
          <w:szCs w:val="21"/>
        </w:rPr>
        <w:t>⑥</w:t>
      </w:r>
      <w:r>
        <w:rPr>
          <w:rFonts w:eastAsia="黑体"/>
          <w:sz w:val="21"/>
          <w:szCs w:val="21"/>
        </w:rPr>
        <w:t>-</w:t>
      </w:r>
      <w:r>
        <w:rPr>
          <w:rFonts w:ascii="黑体" w:hAnsi="黑体" w:eastAsia="黑体"/>
          <w:sz w:val="21"/>
          <w:szCs w:val="21"/>
        </w:rPr>
        <w:t>①</w:t>
      </w:r>
      <w:r>
        <w:rPr>
          <w:rFonts w:hAnsi="黑体" w:eastAsia="黑体"/>
          <w:sz w:val="21"/>
          <w:szCs w:val="21"/>
        </w:rPr>
        <w:t>，本项目废水排放量填写的均为尾水排放至外环境的总量。</w:t>
      </w:r>
    </w:p>
    <w:p w14:paraId="35F27605">
      <w:pPr>
        <w:spacing w:line="360" w:lineRule="auto"/>
        <w:rPr>
          <w:color w:val="FF000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289155"/>
    </w:sdtPr>
    <w:sdtContent>
      <w:p w14:paraId="2E36EBDD">
        <w:pPr>
          <w:pStyle w:val="12"/>
          <w:jc w:val="center"/>
        </w:pPr>
        <w:r>
          <w:fldChar w:fldCharType="begin"/>
        </w:r>
        <w:r>
          <w:instrText xml:space="preserve"> PAGE   \* MERGEFORMAT </w:instrText>
        </w:r>
        <w:r>
          <w:fldChar w:fldCharType="separate"/>
        </w:r>
        <w:r>
          <w:rPr>
            <w:lang w:val="zh-CN"/>
          </w:rPr>
          <w:t>99</w:t>
        </w:r>
        <w:r>
          <w:rPr>
            <w:lang w:val="zh-CN"/>
          </w:rPr>
          <w:fldChar w:fldCharType="end"/>
        </w:r>
      </w:p>
    </w:sdtContent>
  </w:sdt>
  <w:p w14:paraId="117526F8">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0D14F"/>
    <w:multiLevelType w:val="singleLevel"/>
    <w:tmpl w:val="50E0D14F"/>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zhj">
    <w15:presenceInfo w15:providerId="None" w15:userId="hz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c4NjhmYzM4MDM5OWE3OTM0YjU1NzIxMWIwYTBiN2MifQ=="/>
  </w:docVars>
  <w:rsids>
    <w:rsidRoot w:val="008D4B87"/>
    <w:rsid w:val="00001406"/>
    <w:rsid w:val="00002438"/>
    <w:rsid w:val="00002484"/>
    <w:rsid w:val="000037A4"/>
    <w:rsid w:val="000042A6"/>
    <w:rsid w:val="00006F3F"/>
    <w:rsid w:val="000078B5"/>
    <w:rsid w:val="00007D09"/>
    <w:rsid w:val="000103FA"/>
    <w:rsid w:val="000117B9"/>
    <w:rsid w:val="00012D95"/>
    <w:rsid w:val="00013A2F"/>
    <w:rsid w:val="00013F6B"/>
    <w:rsid w:val="000149C7"/>
    <w:rsid w:val="00014D8F"/>
    <w:rsid w:val="0001545A"/>
    <w:rsid w:val="00016B3C"/>
    <w:rsid w:val="00017336"/>
    <w:rsid w:val="000174F9"/>
    <w:rsid w:val="00017B23"/>
    <w:rsid w:val="00017DC9"/>
    <w:rsid w:val="00020D71"/>
    <w:rsid w:val="00021019"/>
    <w:rsid w:val="00021306"/>
    <w:rsid w:val="00021509"/>
    <w:rsid w:val="000231BC"/>
    <w:rsid w:val="000267B6"/>
    <w:rsid w:val="00032FB2"/>
    <w:rsid w:val="000332DD"/>
    <w:rsid w:val="000338E0"/>
    <w:rsid w:val="0003450D"/>
    <w:rsid w:val="00034571"/>
    <w:rsid w:val="00034A7B"/>
    <w:rsid w:val="000356A1"/>
    <w:rsid w:val="0003600A"/>
    <w:rsid w:val="00036178"/>
    <w:rsid w:val="000366A0"/>
    <w:rsid w:val="00043565"/>
    <w:rsid w:val="00046663"/>
    <w:rsid w:val="000474EC"/>
    <w:rsid w:val="00054571"/>
    <w:rsid w:val="00054C8C"/>
    <w:rsid w:val="00054FE1"/>
    <w:rsid w:val="00055AFD"/>
    <w:rsid w:val="000622A4"/>
    <w:rsid w:val="00062BEE"/>
    <w:rsid w:val="00063734"/>
    <w:rsid w:val="00063D39"/>
    <w:rsid w:val="00064A66"/>
    <w:rsid w:val="00065CB2"/>
    <w:rsid w:val="00066D8E"/>
    <w:rsid w:val="00071F36"/>
    <w:rsid w:val="00071FEF"/>
    <w:rsid w:val="00072EBE"/>
    <w:rsid w:val="00074DC4"/>
    <w:rsid w:val="000761FC"/>
    <w:rsid w:val="00076A88"/>
    <w:rsid w:val="000773E2"/>
    <w:rsid w:val="00077460"/>
    <w:rsid w:val="00080C3C"/>
    <w:rsid w:val="00081D53"/>
    <w:rsid w:val="00082285"/>
    <w:rsid w:val="00083501"/>
    <w:rsid w:val="000835AD"/>
    <w:rsid w:val="00083D24"/>
    <w:rsid w:val="000858C6"/>
    <w:rsid w:val="000865E3"/>
    <w:rsid w:val="0008697C"/>
    <w:rsid w:val="000873A2"/>
    <w:rsid w:val="00087F2C"/>
    <w:rsid w:val="00091053"/>
    <w:rsid w:val="00091266"/>
    <w:rsid w:val="00091880"/>
    <w:rsid w:val="00092AF8"/>
    <w:rsid w:val="000943A9"/>
    <w:rsid w:val="00094D88"/>
    <w:rsid w:val="000978C7"/>
    <w:rsid w:val="000A06CA"/>
    <w:rsid w:val="000A0AFC"/>
    <w:rsid w:val="000A19D7"/>
    <w:rsid w:val="000A4A0E"/>
    <w:rsid w:val="000A5434"/>
    <w:rsid w:val="000A7B7B"/>
    <w:rsid w:val="000B0396"/>
    <w:rsid w:val="000B0D16"/>
    <w:rsid w:val="000B0E36"/>
    <w:rsid w:val="000B14C0"/>
    <w:rsid w:val="000B2599"/>
    <w:rsid w:val="000B2FE8"/>
    <w:rsid w:val="000B5791"/>
    <w:rsid w:val="000C044C"/>
    <w:rsid w:val="000C1ED0"/>
    <w:rsid w:val="000C2CEC"/>
    <w:rsid w:val="000C2DB5"/>
    <w:rsid w:val="000C5596"/>
    <w:rsid w:val="000C7661"/>
    <w:rsid w:val="000D0104"/>
    <w:rsid w:val="000D037A"/>
    <w:rsid w:val="000D1742"/>
    <w:rsid w:val="000D2A34"/>
    <w:rsid w:val="000D433F"/>
    <w:rsid w:val="000D4385"/>
    <w:rsid w:val="000D522D"/>
    <w:rsid w:val="000D56F9"/>
    <w:rsid w:val="000E1E14"/>
    <w:rsid w:val="000E2506"/>
    <w:rsid w:val="000E2E21"/>
    <w:rsid w:val="000E3D4D"/>
    <w:rsid w:val="000E4118"/>
    <w:rsid w:val="000E55B2"/>
    <w:rsid w:val="000E6D0C"/>
    <w:rsid w:val="000E7AB7"/>
    <w:rsid w:val="000E7E52"/>
    <w:rsid w:val="000E7EB5"/>
    <w:rsid w:val="000F05B3"/>
    <w:rsid w:val="000F07EC"/>
    <w:rsid w:val="000F0EE4"/>
    <w:rsid w:val="000F1148"/>
    <w:rsid w:val="000F12D9"/>
    <w:rsid w:val="000F2486"/>
    <w:rsid w:val="000F4DA0"/>
    <w:rsid w:val="000F67F3"/>
    <w:rsid w:val="000F7E67"/>
    <w:rsid w:val="000F7EAE"/>
    <w:rsid w:val="00100B18"/>
    <w:rsid w:val="00101355"/>
    <w:rsid w:val="00102061"/>
    <w:rsid w:val="0010287C"/>
    <w:rsid w:val="001032E9"/>
    <w:rsid w:val="00103E74"/>
    <w:rsid w:val="0010424F"/>
    <w:rsid w:val="00104843"/>
    <w:rsid w:val="001059C8"/>
    <w:rsid w:val="00106E89"/>
    <w:rsid w:val="00107315"/>
    <w:rsid w:val="00107763"/>
    <w:rsid w:val="00110511"/>
    <w:rsid w:val="00110FF3"/>
    <w:rsid w:val="0011102B"/>
    <w:rsid w:val="0011147B"/>
    <w:rsid w:val="00111B44"/>
    <w:rsid w:val="00112C28"/>
    <w:rsid w:val="00115038"/>
    <w:rsid w:val="0011566D"/>
    <w:rsid w:val="001208EB"/>
    <w:rsid w:val="00120C7D"/>
    <w:rsid w:val="00121664"/>
    <w:rsid w:val="00121A29"/>
    <w:rsid w:val="00122D8C"/>
    <w:rsid w:val="00122DD6"/>
    <w:rsid w:val="0012425C"/>
    <w:rsid w:val="001247F1"/>
    <w:rsid w:val="00124E48"/>
    <w:rsid w:val="001257A3"/>
    <w:rsid w:val="00126C61"/>
    <w:rsid w:val="00126D3B"/>
    <w:rsid w:val="00126FA3"/>
    <w:rsid w:val="0012704D"/>
    <w:rsid w:val="001270D0"/>
    <w:rsid w:val="001273C1"/>
    <w:rsid w:val="00130A69"/>
    <w:rsid w:val="00132E05"/>
    <w:rsid w:val="0013305F"/>
    <w:rsid w:val="00134299"/>
    <w:rsid w:val="0013635D"/>
    <w:rsid w:val="001375D7"/>
    <w:rsid w:val="001401A0"/>
    <w:rsid w:val="001406E4"/>
    <w:rsid w:val="00141351"/>
    <w:rsid w:val="001419AE"/>
    <w:rsid w:val="0014240B"/>
    <w:rsid w:val="001435FE"/>
    <w:rsid w:val="001445D4"/>
    <w:rsid w:val="001446C8"/>
    <w:rsid w:val="00145955"/>
    <w:rsid w:val="00146086"/>
    <w:rsid w:val="001463E6"/>
    <w:rsid w:val="001468FA"/>
    <w:rsid w:val="0014703C"/>
    <w:rsid w:val="0014747A"/>
    <w:rsid w:val="00150337"/>
    <w:rsid w:val="00151945"/>
    <w:rsid w:val="00153BF5"/>
    <w:rsid w:val="001548C8"/>
    <w:rsid w:val="00156AB3"/>
    <w:rsid w:val="00157D8D"/>
    <w:rsid w:val="001617F0"/>
    <w:rsid w:val="00162C30"/>
    <w:rsid w:val="00162F07"/>
    <w:rsid w:val="00164377"/>
    <w:rsid w:val="0016462F"/>
    <w:rsid w:val="00164D87"/>
    <w:rsid w:val="00165510"/>
    <w:rsid w:val="00166E09"/>
    <w:rsid w:val="00167054"/>
    <w:rsid w:val="00167527"/>
    <w:rsid w:val="001709ED"/>
    <w:rsid w:val="001720D2"/>
    <w:rsid w:val="00174C80"/>
    <w:rsid w:val="00175591"/>
    <w:rsid w:val="00180B55"/>
    <w:rsid w:val="00181B95"/>
    <w:rsid w:val="001820B5"/>
    <w:rsid w:val="00182F62"/>
    <w:rsid w:val="00183085"/>
    <w:rsid w:val="0018309B"/>
    <w:rsid w:val="00184D33"/>
    <w:rsid w:val="00185766"/>
    <w:rsid w:val="0018591F"/>
    <w:rsid w:val="001860C5"/>
    <w:rsid w:val="001870C9"/>
    <w:rsid w:val="00190123"/>
    <w:rsid w:val="0019027D"/>
    <w:rsid w:val="00191B90"/>
    <w:rsid w:val="00193D54"/>
    <w:rsid w:val="00194BE9"/>
    <w:rsid w:val="00196D63"/>
    <w:rsid w:val="00197925"/>
    <w:rsid w:val="001A060E"/>
    <w:rsid w:val="001A0611"/>
    <w:rsid w:val="001A2293"/>
    <w:rsid w:val="001A3B1B"/>
    <w:rsid w:val="001A4481"/>
    <w:rsid w:val="001A4B25"/>
    <w:rsid w:val="001A4C01"/>
    <w:rsid w:val="001A4C82"/>
    <w:rsid w:val="001B05DF"/>
    <w:rsid w:val="001B0F39"/>
    <w:rsid w:val="001B45E2"/>
    <w:rsid w:val="001B58E2"/>
    <w:rsid w:val="001B5FC3"/>
    <w:rsid w:val="001B7F13"/>
    <w:rsid w:val="001C0B17"/>
    <w:rsid w:val="001C1D82"/>
    <w:rsid w:val="001C2D66"/>
    <w:rsid w:val="001C33B4"/>
    <w:rsid w:val="001C3992"/>
    <w:rsid w:val="001C48F2"/>
    <w:rsid w:val="001C61BB"/>
    <w:rsid w:val="001C6238"/>
    <w:rsid w:val="001C6776"/>
    <w:rsid w:val="001D00B1"/>
    <w:rsid w:val="001D0754"/>
    <w:rsid w:val="001D1715"/>
    <w:rsid w:val="001D1834"/>
    <w:rsid w:val="001D1989"/>
    <w:rsid w:val="001D1DA0"/>
    <w:rsid w:val="001D3A2C"/>
    <w:rsid w:val="001D5E23"/>
    <w:rsid w:val="001D6F6F"/>
    <w:rsid w:val="001D77D7"/>
    <w:rsid w:val="001D7A99"/>
    <w:rsid w:val="001E04F5"/>
    <w:rsid w:val="001E075D"/>
    <w:rsid w:val="001E2763"/>
    <w:rsid w:val="001E2E37"/>
    <w:rsid w:val="001E3DE0"/>
    <w:rsid w:val="001E43F2"/>
    <w:rsid w:val="001E4558"/>
    <w:rsid w:val="001E5BE2"/>
    <w:rsid w:val="001E6D9A"/>
    <w:rsid w:val="001E70CB"/>
    <w:rsid w:val="001E7F9B"/>
    <w:rsid w:val="001F03D7"/>
    <w:rsid w:val="001F1CFF"/>
    <w:rsid w:val="001F1DB9"/>
    <w:rsid w:val="001F23CD"/>
    <w:rsid w:val="001F25C1"/>
    <w:rsid w:val="001F64F0"/>
    <w:rsid w:val="001F6E23"/>
    <w:rsid w:val="001F72AD"/>
    <w:rsid w:val="001F77CE"/>
    <w:rsid w:val="002008A4"/>
    <w:rsid w:val="00200B30"/>
    <w:rsid w:val="00201BDD"/>
    <w:rsid w:val="00202107"/>
    <w:rsid w:val="002022FD"/>
    <w:rsid w:val="00202463"/>
    <w:rsid w:val="002024BC"/>
    <w:rsid w:val="00203506"/>
    <w:rsid w:val="00204250"/>
    <w:rsid w:val="00205096"/>
    <w:rsid w:val="00205D38"/>
    <w:rsid w:val="00206A7D"/>
    <w:rsid w:val="00206BB4"/>
    <w:rsid w:val="00207E9C"/>
    <w:rsid w:val="00210682"/>
    <w:rsid w:val="00210AD2"/>
    <w:rsid w:val="0021121B"/>
    <w:rsid w:val="00211222"/>
    <w:rsid w:val="0021157A"/>
    <w:rsid w:val="0021191C"/>
    <w:rsid w:val="00212D05"/>
    <w:rsid w:val="00214427"/>
    <w:rsid w:val="002159C0"/>
    <w:rsid w:val="00215E63"/>
    <w:rsid w:val="00216283"/>
    <w:rsid w:val="00220BCE"/>
    <w:rsid w:val="00223226"/>
    <w:rsid w:val="0022603C"/>
    <w:rsid w:val="00233657"/>
    <w:rsid w:val="002349C3"/>
    <w:rsid w:val="00235ECC"/>
    <w:rsid w:val="002405B4"/>
    <w:rsid w:val="00240C87"/>
    <w:rsid w:val="002421F7"/>
    <w:rsid w:val="002423DF"/>
    <w:rsid w:val="00246297"/>
    <w:rsid w:val="002468F1"/>
    <w:rsid w:val="00246A57"/>
    <w:rsid w:val="00247D30"/>
    <w:rsid w:val="00247D88"/>
    <w:rsid w:val="0025139F"/>
    <w:rsid w:val="0025350D"/>
    <w:rsid w:val="00254AFB"/>
    <w:rsid w:val="002562C2"/>
    <w:rsid w:val="0025643B"/>
    <w:rsid w:val="00256A50"/>
    <w:rsid w:val="002600AA"/>
    <w:rsid w:val="00262671"/>
    <w:rsid w:val="00262706"/>
    <w:rsid w:val="00266EC2"/>
    <w:rsid w:val="0027000D"/>
    <w:rsid w:val="00271488"/>
    <w:rsid w:val="00271F22"/>
    <w:rsid w:val="00274F3B"/>
    <w:rsid w:val="00275AA9"/>
    <w:rsid w:val="00280132"/>
    <w:rsid w:val="0028059B"/>
    <w:rsid w:val="00280614"/>
    <w:rsid w:val="00280D66"/>
    <w:rsid w:val="00281146"/>
    <w:rsid w:val="00282338"/>
    <w:rsid w:val="00282E90"/>
    <w:rsid w:val="00283DA3"/>
    <w:rsid w:val="00287D7F"/>
    <w:rsid w:val="00290C6F"/>
    <w:rsid w:val="0029109B"/>
    <w:rsid w:val="0029144F"/>
    <w:rsid w:val="00291544"/>
    <w:rsid w:val="002943DE"/>
    <w:rsid w:val="002950B2"/>
    <w:rsid w:val="00295B8A"/>
    <w:rsid w:val="00295D9C"/>
    <w:rsid w:val="0029707E"/>
    <w:rsid w:val="002A0ADD"/>
    <w:rsid w:val="002A21D3"/>
    <w:rsid w:val="002A2859"/>
    <w:rsid w:val="002A2902"/>
    <w:rsid w:val="002A51E0"/>
    <w:rsid w:val="002A687A"/>
    <w:rsid w:val="002A77A2"/>
    <w:rsid w:val="002A7EC4"/>
    <w:rsid w:val="002B0872"/>
    <w:rsid w:val="002B13F5"/>
    <w:rsid w:val="002B157F"/>
    <w:rsid w:val="002B2446"/>
    <w:rsid w:val="002B26C4"/>
    <w:rsid w:val="002B404B"/>
    <w:rsid w:val="002B4606"/>
    <w:rsid w:val="002B4784"/>
    <w:rsid w:val="002B4B17"/>
    <w:rsid w:val="002B6F2D"/>
    <w:rsid w:val="002B7034"/>
    <w:rsid w:val="002B709F"/>
    <w:rsid w:val="002B78CF"/>
    <w:rsid w:val="002C1DD3"/>
    <w:rsid w:val="002C2614"/>
    <w:rsid w:val="002C2C36"/>
    <w:rsid w:val="002C3C70"/>
    <w:rsid w:val="002C4398"/>
    <w:rsid w:val="002C4BDE"/>
    <w:rsid w:val="002C57C9"/>
    <w:rsid w:val="002C5B8C"/>
    <w:rsid w:val="002C6427"/>
    <w:rsid w:val="002C64BE"/>
    <w:rsid w:val="002C662D"/>
    <w:rsid w:val="002C6941"/>
    <w:rsid w:val="002C7129"/>
    <w:rsid w:val="002D14FD"/>
    <w:rsid w:val="002D43F8"/>
    <w:rsid w:val="002D60EB"/>
    <w:rsid w:val="002D640B"/>
    <w:rsid w:val="002D6A0C"/>
    <w:rsid w:val="002E1623"/>
    <w:rsid w:val="002E1E19"/>
    <w:rsid w:val="002E3667"/>
    <w:rsid w:val="002E4598"/>
    <w:rsid w:val="002E78CE"/>
    <w:rsid w:val="002E7F87"/>
    <w:rsid w:val="002F044A"/>
    <w:rsid w:val="002F29CE"/>
    <w:rsid w:val="002F398B"/>
    <w:rsid w:val="002F3F04"/>
    <w:rsid w:val="002F6D81"/>
    <w:rsid w:val="00300404"/>
    <w:rsid w:val="0030260F"/>
    <w:rsid w:val="0030336D"/>
    <w:rsid w:val="003040F5"/>
    <w:rsid w:val="003056C5"/>
    <w:rsid w:val="00311E6E"/>
    <w:rsid w:val="003129EC"/>
    <w:rsid w:val="00312D11"/>
    <w:rsid w:val="00313227"/>
    <w:rsid w:val="003136C0"/>
    <w:rsid w:val="00315E26"/>
    <w:rsid w:val="00317732"/>
    <w:rsid w:val="00320A7E"/>
    <w:rsid w:val="00321015"/>
    <w:rsid w:val="0032180C"/>
    <w:rsid w:val="003218E0"/>
    <w:rsid w:val="003234F1"/>
    <w:rsid w:val="00324815"/>
    <w:rsid w:val="0032550C"/>
    <w:rsid w:val="00325D68"/>
    <w:rsid w:val="003263FA"/>
    <w:rsid w:val="00327C16"/>
    <w:rsid w:val="0033013A"/>
    <w:rsid w:val="0033040B"/>
    <w:rsid w:val="003309CC"/>
    <w:rsid w:val="003323F4"/>
    <w:rsid w:val="0033275A"/>
    <w:rsid w:val="00332E76"/>
    <w:rsid w:val="00333D63"/>
    <w:rsid w:val="0033598C"/>
    <w:rsid w:val="00336326"/>
    <w:rsid w:val="00336A5D"/>
    <w:rsid w:val="003408B7"/>
    <w:rsid w:val="00340F5D"/>
    <w:rsid w:val="00341510"/>
    <w:rsid w:val="003416C9"/>
    <w:rsid w:val="00341B7D"/>
    <w:rsid w:val="00343A81"/>
    <w:rsid w:val="00344FD8"/>
    <w:rsid w:val="00347372"/>
    <w:rsid w:val="00351756"/>
    <w:rsid w:val="00352A5E"/>
    <w:rsid w:val="00352B2A"/>
    <w:rsid w:val="00352CF0"/>
    <w:rsid w:val="003533BC"/>
    <w:rsid w:val="003546D1"/>
    <w:rsid w:val="00354893"/>
    <w:rsid w:val="00354D20"/>
    <w:rsid w:val="00355A17"/>
    <w:rsid w:val="00355CC3"/>
    <w:rsid w:val="00356D99"/>
    <w:rsid w:val="00361743"/>
    <w:rsid w:val="00361C63"/>
    <w:rsid w:val="00362CE7"/>
    <w:rsid w:val="003633CD"/>
    <w:rsid w:val="00364027"/>
    <w:rsid w:val="00364742"/>
    <w:rsid w:val="00364C67"/>
    <w:rsid w:val="00364DC8"/>
    <w:rsid w:val="00365434"/>
    <w:rsid w:val="00366D5B"/>
    <w:rsid w:val="00366F9D"/>
    <w:rsid w:val="0037051A"/>
    <w:rsid w:val="00372CFC"/>
    <w:rsid w:val="00372E71"/>
    <w:rsid w:val="00373C3F"/>
    <w:rsid w:val="00373F37"/>
    <w:rsid w:val="00374FC1"/>
    <w:rsid w:val="0037556C"/>
    <w:rsid w:val="00375FC5"/>
    <w:rsid w:val="00380FA1"/>
    <w:rsid w:val="003819D6"/>
    <w:rsid w:val="00382415"/>
    <w:rsid w:val="00384249"/>
    <w:rsid w:val="003847D6"/>
    <w:rsid w:val="003857CD"/>
    <w:rsid w:val="00385D58"/>
    <w:rsid w:val="003860D6"/>
    <w:rsid w:val="00387D35"/>
    <w:rsid w:val="00391572"/>
    <w:rsid w:val="003921F0"/>
    <w:rsid w:val="00392396"/>
    <w:rsid w:val="003925A1"/>
    <w:rsid w:val="0039301B"/>
    <w:rsid w:val="00394389"/>
    <w:rsid w:val="00394D14"/>
    <w:rsid w:val="00396033"/>
    <w:rsid w:val="00396980"/>
    <w:rsid w:val="003972ED"/>
    <w:rsid w:val="00397A8E"/>
    <w:rsid w:val="00397C83"/>
    <w:rsid w:val="003A0136"/>
    <w:rsid w:val="003A161B"/>
    <w:rsid w:val="003A187C"/>
    <w:rsid w:val="003A1FDA"/>
    <w:rsid w:val="003A2AFB"/>
    <w:rsid w:val="003A3C46"/>
    <w:rsid w:val="003A45D1"/>
    <w:rsid w:val="003A4A2D"/>
    <w:rsid w:val="003A5792"/>
    <w:rsid w:val="003A5BCD"/>
    <w:rsid w:val="003A7283"/>
    <w:rsid w:val="003A7357"/>
    <w:rsid w:val="003B1B6F"/>
    <w:rsid w:val="003B1F13"/>
    <w:rsid w:val="003B22ED"/>
    <w:rsid w:val="003B2FAF"/>
    <w:rsid w:val="003B35C2"/>
    <w:rsid w:val="003B4236"/>
    <w:rsid w:val="003B459B"/>
    <w:rsid w:val="003B4F20"/>
    <w:rsid w:val="003B57EA"/>
    <w:rsid w:val="003B67C8"/>
    <w:rsid w:val="003B6D67"/>
    <w:rsid w:val="003B7243"/>
    <w:rsid w:val="003B7900"/>
    <w:rsid w:val="003C0DEE"/>
    <w:rsid w:val="003C1068"/>
    <w:rsid w:val="003C13D7"/>
    <w:rsid w:val="003C306C"/>
    <w:rsid w:val="003C4CCC"/>
    <w:rsid w:val="003C6B95"/>
    <w:rsid w:val="003D1F00"/>
    <w:rsid w:val="003D2B29"/>
    <w:rsid w:val="003D37B8"/>
    <w:rsid w:val="003D4290"/>
    <w:rsid w:val="003D437B"/>
    <w:rsid w:val="003D672B"/>
    <w:rsid w:val="003D6CD6"/>
    <w:rsid w:val="003D6D2E"/>
    <w:rsid w:val="003D7419"/>
    <w:rsid w:val="003D75B7"/>
    <w:rsid w:val="003D7DE5"/>
    <w:rsid w:val="003E1BA9"/>
    <w:rsid w:val="003E1C92"/>
    <w:rsid w:val="003E31B2"/>
    <w:rsid w:val="003E4114"/>
    <w:rsid w:val="003E473F"/>
    <w:rsid w:val="003E5018"/>
    <w:rsid w:val="003E5B74"/>
    <w:rsid w:val="003E6735"/>
    <w:rsid w:val="003F1CCA"/>
    <w:rsid w:val="00403970"/>
    <w:rsid w:val="00403B0E"/>
    <w:rsid w:val="00404A3D"/>
    <w:rsid w:val="00404AC5"/>
    <w:rsid w:val="00406442"/>
    <w:rsid w:val="00406505"/>
    <w:rsid w:val="00407557"/>
    <w:rsid w:val="00411E03"/>
    <w:rsid w:val="00411FD8"/>
    <w:rsid w:val="004124CD"/>
    <w:rsid w:val="00414401"/>
    <w:rsid w:val="004148CF"/>
    <w:rsid w:val="00414C5A"/>
    <w:rsid w:val="00415C96"/>
    <w:rsid w:val="00415D77"/>
    <w:rsid w:val="0041602E"/>
    <w:rsid w:val="00416851"/>
    <w:rsid w:val="004201E8"/>
    <w:rsid w:val="004211E0"/>
    <w:rsid w:val="0042128A"/>
    <w:rsid w:val="0042202F"/>
    <w:rsid w:val="00423BF3"/>
    <w:rsid w:val="004250DE"/>
    <w:rsid w:val="004250EC"/>
    <w:rsid w:val="00426905"/>
    <w:rsid w:val="00430213"/>
    <w:rsid w:val="004308B0"/>
    <w:rsid w:val="00431DC8"/>
    <w:rsid w:val="00432B74"/>
    <w:rsid w:val="00434A2E"/>
    <w:rsid w:val="00435CE9"/>
    <w:rsid w:val="004372DA"/>
    <w:rsid w:val="00437FFB"/>
    <w:rsid w:val="00440089"/>
    <w:rsid w:val="004434C3"/>
    <w:rsid w:val="00445BCE"/>
    <w:rsid w:val="00446901"/>
    <w:rsid w:val="0044765A"/>
    <w:rsid w:val="004479CC"/>
    <w:rsid w:val="00450FD9"/>
    <w:rsid w:val="00455146"/>
    <w:rsid w:val="0045627D"/>
    <w:rsid w:val="0045637F"/>
    <w:rsid w:val="00456C1F"/>
    <w:rsid w:val="00464104"/>
    <w:rsid w:val="00464294"/>
    <w:rsid w:val="0046456E"/>
    <w:rsid w:val="00464940"/>
    <w:rsid w:val="00465F1A"/>
    <w:rsid w:val="00470B53"/>
    <w:rsid w:val="0047256F"/>
    <w:rsid w:val="004726A2"/>
    <w:rsid w:val="004732E1"/>
    <w:rsid w:val="0047506B"/>
    <w:rsid w:val="004758B5"/>
    <w:rsid w:val="00475C1A"/>
    <w:rsid w:val="00476E0A"/>
    <w:rsid w:val="004804A1"/>
    <w:rsid w:val="00482466"/>
    <w:rsid w:val="00482EF6"/>
    <w:rsid w:val="0048306E"/>
    <w:rsid w:val="00483DF0"/>
    <w:rsid w:val="00484309"/>
    <w:rsid w:val="00484912"/>
    <w:rsid w:val="00485B3A"/>
    <w:rsid w:val="004871F5"/>
    <w:rsid w:val="00491353"/>
    <w:rsid w:val="004942E1"/>
    <w:rsid w:val="00494E30"/>
    <w:rsid w:val="00494EFE"/>
    <w:rsid w:val="0049514D"/>
    <w:rsid w:val="004A014B"/>
    <w:rsid w:val="004A0BB3"/>
    <w:rsid w:val="004A11BD"/>
    <w:rsid w:val="004A1D28"/>
    <w:rsid w:val="004A425F"/>
    <w:rsid w:val="004A4B2B"/>
    <w:rsid w:val="004A6028"/>
    <w:rsid w:val="004A652F"/>
    <w:rsid w:val="004A687D"/>
    <w:rsid w:val="004A723C"/>
    <w:rsid w:val="004A7EA6"/>
    <w:rsid w:val="004B1434"/>
    <w:rsid w:val="004B2DFE"/>
    <w:rsid w:val="004B7B51"/>
    <w:rsid w:val="004C0392"/>
    <w:rsid w:val="004C0424"/>
    <w:rsid w:val="004C0F48"/>
    <w:rsid w:val="004C0F74"/>
    <w:rsid w:val="004C1816"/>
    <w:rsid w:val="004C18BB"/>
    <w:rsid w:val="004C1F3C"/>
    <w:rsid w:val="004C2D08"/>
    <w:rsid w:val="004C43F1"/>
    <w:rsid w:val="004C449F"/>
    <w:rsid w:val="004C48A2"/>
    <w:rsid w:val="004C52E8"/>
    <w:rsid w:val="004C5D99"/>
    <w:rsid w:val="004C5EF2"/>
    <w:rsid w:val="004C67B8"/>
    <w:rsid w:val="004C6A75"/>
    <w:rsid w:val="004C6F63"/>
    <w:rsid w:val="004C7715"/>
    <w:rsid w:val="004C785F"/>
    <w:rsid w:val="004D0778"/>
    <w:rsid w:val="004D0BE7"/>
    <w:rsid w:val="004D41B9"/>
    <w:rsid w:val="004D4A2D"/>
    <w:rsid w:val="004D5161"/>
    <w:rsid w:val="004D63E6"/>
    <w:rsid w:val="004D688D"/>
    <w:rsid w:val="004E0FC5"/>
    <w:rsid w:val="004E3E0A"/>
    <w:rsid w:val="004E4164"/>
    <w:rsid w:val="004E5BB5"/>
    <w:rsid w:val="004E5F23"/>
    <w:rsid w:val="004E6754"/>
    <w:rsid w:val="004E6B83"/>
    <w:rsid w:val="004E70D9"/>
    <w:rsid w:val="004E71D1"/>
    <w:rsid w:val="004E73F2"/>
    <w:rsid w:val="004E7934"/>
    <w:rsid w:val="004F0EA4"/>
    <w:rsid w:val="004F2B3E"/>
    <w:rsid w:val="004F338D"/>
    <w:rsid w:val="004F4FE3"/>
    <w:rsid w:val="004F5CF7"/>
    <w:rsid w:val="004F738E"/>
    <w:rsid w:val="0050014F"/>
    <w:rsid w:val="00500DF8"/>
    <w:rsid w:val="00501BB4"/>
    <w:rsid w:val="005028A6"/>
    <w:rsid w:val="00502D20"/>
    <w:rsid w:val="00502D29"/>
    <w:rsid w:val="005037C2"/>
    <w:rsid w:val="005047F8"/>
    <w:rsid w:val="00504926"/>
    <w:rsid w:val="00505069"/>
    <w:rsid w:val="0050627E"/>
    <w:rsid w:val="00506FBE"/>
    <w:rsid w:val="0050783A"/>
    <w:rsid w:val="005121D9"/>
    <w:rsid w:val="00512386"/>
    <w:rsid w:val="00513768"/>
    <w:rsid w:val="00513D45"/>
    <w:rsid w:val="0051427D"/>
    <w:rsid w:val="0051462E"/>
    <w:rsid w:val="00514FC4"/>
    <w:rsid w:val="005158E2"/>
    <w:rsid w:val="00515BE6"/>
    <w:rsid w:val="00516D8B"/>
    <w:rsid w:val="00520ED8"/>
    <w:rsid w:val="00521B60"/>
    <w:rsid w:val="00523521"/>
    <w:rsid w:val="005235F3"/>
    <w:rsid w:val="00523928"/>
    <w:rsid w:val="005245E4"/>
    <w:rsid w:val="005254C3"/>
    <w:rsid w:val="00530ED0"/>
    <w:rsid w:val="005314AF"/>
    <w:rsid w:val="00531675"/>
    <w:rsid w:val="005331A7"/>
    <w:rsid w:val="00533928"/>
    <w:rsid w:val="005339D6"/>
    <w:rsid w:val="00533A6D"/>
    <w:rsid w:val="00533ED1"/>
    <w:rsid w:val="00534FAC"/>
    <w:rsid w:val="005354E9"/>
    <w:rsid w:val="005358F3"/>
    <w:rsid w:val="00535AC4"/>
    <w:rsid w:val="0054031D"/>
    <w:rsid w:val="00540F5A"/>
    <w:rsid w:val="00540F74"/>
    <w:rsid w:val="00541D06"/>
    <w:rsid w:val="00542DC7"/>
    <w:rsid w:val="00543388"/>
    <w:rsid w:val="00543A3A"/>
    <w:rsid w:val="00543D07"/>
    <w:rsid w:val="00543F50"/>
    <w:rsid w:val="00545B9C"/>
    <w:rsid w:val="00545DA2"/>
    <w:rsid w:val="00546DE9"/>
    <w:rsid w:val="0054735C"/>
    <w:rsid w:val="00550C81"/>
    <w:rsid w:val="00552E8C"/>
    <w:rsid w:val="005537DF"/>
    <w:rsid w:val="00553A47"/>
    <w:rsid w:val="005551EF"/>
    <w:rsid w:val="00556AD3"/>
    <w:rsid w:val="0055732A"/>
    <w:rsid w:val="0056300E"/>
    <w:rsid w:val="00564556"/>
    <w:rsid w:val="00564743"/>
    <w:rsid w:val="005656F5"/>
    <w:rsid w:val="00566EAA"/>
    <w:rsid w:val="00571304"/>
    <w:rsid w:val="00571F6F"/>
    <w:rsid w:val="0057389D"/>
    <w:rsid w:val="00573E7E"/>
    <w:rsid w:val="00574766"/>
    <w:rsid w:val="005751C9"/>
    <w:rsid w:val="00575B61"/>
    <w:rsid w:val="005760B3"/>
    <w:rsid w:val="005776CD"/>
    <w:rsid w:val="005804AF"/>
    <w:rsid w:val="00580BD2"/>
    <w:rsid w:val="00580CF9"/>
    <w:rsid w:val="00580E78"/>
    <w:rsid w:val="00582565"/>
    <w:rsid w:val="00583A7C"/>
    <w:rsid w:val="00584652"/>
    <w:rsid w:val="00585518"/>
    <w:rsid w:val="00586C87"/>
    <w:rsid w:val="0058760F"/>
    <w:rsid w:val="0059265E"/>
    <w:rsid w:val="00594191"/>
    <w:rsid w:val="00596C72"/>
    <w:rsid w:val="00596E2B"/>
    <w:rsid w:val="005A1DAE"/>
    <w:rsid w:val="005A3E43"/>
    <w:rsid w:val="005A485B"/>
    <w:rsid w:val="005A4A21"/>
    <w:rsid w:val="005A574E"/>
    <w:rsid w:val="005B07E0"/>
    <w:rsid w:val="005B0C87"/>
    <w:rsid w:val="005B0CE8"/>
    <w:rsid w:val="005B2EBF"/>
    <w:rsid w:val="005B3B92"/>
    <w:rsid w:val="005B468D"/>
    <w:rsid w:val="005B61DC"/>
    <w:rsid w:val="005B627A"/>
    <w:rsid w:val="005B6EFD"/>
    <w:rsid w:val="005B7CA0"/>
    <w:rsid w:val="005C01E1"/>
    <w:rsid w:val="005C1F0F"/>
    <w:rsid w:val="005C2144"/>
    <w:rsid w:val="005C2508"/>
    <w:rsid w:val="005C2757"/>
    <w:rsid w:val="005C480C"/>
    <w:rsid w:val="005C5520"/>
    <w:rsid w:val="005C6D74"/>
    <w:rsid w:val="005C720D"/>
    <w:rsid w:val="005C7666"/>
    <w:rsid w:val="005C7F73"/>
    <w:rsid w:val="005D1724"/>
    <w:rsid w:val="005D2CCA"/>
    <w:rsid w:val="005D3E1C"/>
    <w:rsid w:val="005D45FF"/>
    <w:rsid w:val="005D50F5"/>
    <w:rsid w:val="005D53EB"/>
    <w:rsid w:val="005D63AA"/>
    <w:rsid w:val="005E1677"/>
    <w:rsid w:val="005E1EBD"/>
    <w:rsid w:val="005E2266"/>
    <w:rsid w:val="005E42C4"/>
    <w:rsid w:val="005E747A"/>
    <w:rsid w:val="005E75FA"/>
    <w:rsid w:val="005F0661"/>
    <w:rsid w:val="005F2D03"/>
    <w:rsid w:val="005F325D"/>
    <w:rsid w:val="005F4217"/>
    <w:rsid w:val="005F523A"/>
    <w:rsid w:val="005F5DAA"/>
    <w:rsid w:val="005F628E"/>
    <w:rsid w:val="005F6B8A"/>
    <w:rsid w:val="005F6BDE"/>
    <w:rsid w:val="005F778D"/>
    <w:rsid w:val="005F782E"/>
    <w:rsid w:val="00601024"/>
    <w:rsid w:val="00601A5B"/>
    <w:rsid w:val="00601B45"/>
    <w:rsid w:val="00602C61"/>
    <w:rsid w:val="00602C7D"/>
    <w:rsid w:val="006033CC"/>
    <w:rsid w:val="006055DC"/>
    <w:rsid w:val="00607018"/>
    <w:rsid w:val="0061489F"/>
    <w:rsid w:val="00614DA1"/>
    <w:rsid w:val="00614FBF"/>
    <w:rsid w:val="0061524D"/>
    <w:rsid w:val="00615A78"/>
    <w:rsid w:val="00620A58"/>
    <w:rsid w:val="00621C74"/>
    <w:rsid w:val="00621D8B"/>
    <w:rsid w:val="00621FA9"/>
    <w:rsid w:val="006228B7"/>
    <w:rsid w:val="00622A68"/>
    <w:rsid w:val="00624FBD"/>
    <w:rsid w:val="006253D8"/>
    <w:rsid w:val="00625D93"/>
    <w:rsid w:val="0062696F"/>
    <w:rsid w:val="006270BF"/>
    <w:rsid w:val="00627FA9"/>
    <w:rsid w:val="00630943"/>
    <w:rsid w:val="00631E60"/>
    <w:rsid w:val="00632C39"/>
    <w:rsid w:val="00635193"/>
    <w:rsid w:val="006354D3"/>
    <w:rsid w:val="006357A5"/>
    <w:rsid w:val="0063584F"/>
    <w:rsid w:val="0063789A"/>
    <w:rsid w:val="00637FB0"/>
    <w:rsid w:val="00640562"/>
    <w:rsid w:val="00642ED7"/>
    <w:rsid w:val="0064304A"/>
    <w:rsid w:val="006436B7"/>
    <w:rsid w:val="006439BB"/>
    <w:rsid w:val="00643A89"/>
    <w:rsid w:val="00643CCA"/>
    <w:rsid w:val="00645089"/>
    <w:rsid w:val="00645FED"/>
    <w:rsid w:val="006479EE"/>
    <w:rsid w:val="0065021D"/>
    <w:rsid w:val="00650CCE"/>
    <w:rsid w:val="00651CFD"/>
    <w:rsid w:val="00652120"/>
    <w:rsid w:val="00653D24"/>
    <w:rsid w:val="00653D82"/>
    <w:rsid w:val="0065536E"/>
    <w:rsid w:val="00656C0C"/>
    <w:rsid w:val="00656E96"/>
    <w:rsid w:val="00657A08"/>
    <w:rsid w:val="00660183"/>
    <w:rsid w:val="006617AC"/>
    <w:rsid w:val="006627D4"/>
    <w:rsid w:val="00663ABE"/>
    <w:rsid w:val="00664DEA"/>
    <w:rsid w:val="00666A3A"/>
    <w:rsid w:val="006700C9"/>
    <w:rsid w:val="00671232"/>
    <w:rsid w:val="006721C3"/>
    <w:rsid w:val="00672B96"/>
    <w:rsid w:val="00675D0F"/>
    <w:rsid w:val="00675F02"/>
    <w:rsid w:val="00675FE3"/>
    <w:rsid w:val="00676257"/>
    <w:rsid w:val="00677DA1"/>
    <w:rsid w:val="00677F7F"/>
    <w:rsid w:val="006802D6"/>
    <w:rsid w:val="00680B1A"/>
    <w:rsid w:val="006812FB"/>
    <w:rsid w:val="006813A6"/>
    <w:rsid w:val="00684657"/>
    <w:rsid w:val="0068470A"/>
    <w:rsid w:val="00684A08"/>
    <w:rsid w:val="00684E24"/>
    <w:rsid w:val="0068608F"/>
    <w:rsid w:val="00690321"/>
    <w:rsid w:val="00690B33"/>
    <w:rsid w:val="0069362B"/>
    <w:rsid w:val="006937DE"/>
    <w:rsid w:val="00693B6C"/>
    <w:rsid w:val="00693E0F"/>
    <w:rsid w:val="00694A8B"/>
    <w:rsid w:val="0069539A"/>
    <w:rsid w:val="006960A8"/>
    <w:rsid w:val="006960CB"/>
    <w:rsid w:val="006A034B"/>
    <w:rsid w:val="006A034E"/>
    <w:rsid w:val="006A43CE"/>
    <w:rsid w:val="006A457B"/>
    <w:rsid w:val="006A55AC"/>
    <w:rsid w:val="006A6B26"/>
    <w:rsid w:val="006B1EA9"/>
    <w:rsid w:val="006B442E"/>
    <w:rsid w:val="006B5F40"/>
    <w:rsid w:val="006B6EF1"/>
    <w:rsid w:val="006B7B11"/>
    <w:rsid w:val="006C0280"/>
    <w:rsid w:val="006C037C"/>
    <w:rsid w:val="006C0698"/>
    <w:rsid w:val="006C3CBA"/>
    <w:rsid w:val="006C49AE"/>
    <w:rsid w:val="006C7580"/>
    <w:rsid w:val="006D1094"/>
    <w:rsid w:val="006D18AC"/>
    <w:rsid w:val="006D2319"/>
    <w:rsid w:val="006D31CD"/>
    <w:rsid w:val="006D37B6"/>
    <w:rsid w:val="006D3908"/>
    <w:rsid w:val="006D3A75"/>
    <w:rsid w:val="006D7BD0"/>
    <w:rsid w:val="006D7D07"/>
    <w:rsid w:val="006E1B25"/>
    <w:rsid w:val="006E29DD"/>
    <w:rsid w:val="006E2CEA"/>
    <w:rsid w:val="006E2D83"/>
    <w:rsid w:val="006E30E3"/>
    <w:rsid w:val="006E375D"/>
    <w:rsid w:val="006E4B2F"/>
    <w:rsid w:val="006E55A2"/>
    <w:rsid w:val="006E6C24"/>
    <w:rsid w:val="006E72D8"/>
    <w:rsid w:val="006F1626"/>
    <w:rsid w:val="006F2563"/>
    <w:rsid w:val="006F34A6"/>
    <w:rsid w:val="006F382C"/>
    <w:rsid w:val="006F3C7C"/>
    <w:rsid w:val="006F72FA"/>
    <w:rsid w:val="007011D1"/>
    <w:rsid w:val="00701D6F"/>
    <w:rsid w:val="007025D2"/>
    <w:rsid w:val="00704E0E"/>
    <w:rsid w:val="00706694"/>
    <w:rsid w:val="0071161C"/>
    <w:rsid w:val="007119E9"/>
    <w:rsid w:val="007128FE"/>
    <w:rsid w:val="00712916"/>
    <w:rsid w:val="00712C9B"/>
    <w:rsid w:val="00712E07"/>
    <w:rsid w:val="00713FE7"/>
    <w:rsid w:val="007150FD"/>
    <w:rsid w:val="0071708B"/>
    <w:rsid w:val="00717219"/>
    <w:rsid w:val="00717495"/>
    <w:rsid w:val="0071789C"/>
    <w:rsid w:val="00717EBE"/>
    <w:rsid w:val="00720248"/>
    <w:rsid w:val="007207A3"/>
    <w:rsid w:val="00720E95"/>
    <w:rsid w:val="007210ED"/>
    <w:rsid w:val="007238D7"/>
    <w:rsid w:val="0072467A"/>
    <w:rsid w:val="0072539E"/>
    <w:rsid w:val="0072542C"/>
    <w:rsid w:val="0073180C"/>
    <w:rsid w:val="0073282E"/>
    <w:rsid w:val="00733AC0"/>
    <w:rsid w:val="0073698A"/>
    <w:rsid w:val="007376A3"/>
    <w:rsid w:val="007403EB"/>
    <w:rsid w:val="00742429"/>
    <w:rsid w:val="007424F1"/>
    <w:rsid w:val="00742717"/>
    <w:rsid w:val="007433A5"/>
    <w:rsid w:val="00743D76"/>
    <w:rsid w:val="00744FE1"/>
    <w:rsid w:val="0074525F"/>
    <w:rsid w:val="00747085"/>
    <w:rsid w:val="007500CC"/>
    <w:rsid w:val="00750673"/>
    <w:rsid w:val="00750746"/>
    <w:rsid w:val="00750B52"/>
    <w:rsid w:val="0075130C"/>
    <w:rsid w:val="00751448"/>
    <w:rsid w:val="00751B42"/>
    <w:rsid w:val="007525E8"/>
    <w:rsid w:val="00753998"/>
    <w:rsid w:val="00753F60"/>
    <w:rsid w:val="00754240"/>
    <w:rsid w:val="007542E1"/>
    <w:rsid w:val="00755F6E"/>
    <w:rsid w:val="00756E07"/>
    <w:rsid w:val="00760C6D"/>
    <w:rsid w:val="00760CBF"/>
    <w:rsid w:val="00761638"/>
    <w:rsid w:val="00763477"/>
    <w:rsid w:val="00765358"/>
    <w:rsid w:val="0076651F"/>
    <w:rsid w:val="00767165"/>
    <w:rsid w:val="00767A5F"/>
    <w:rsid w:val="00770A4E"/>
    <w:rsid w:val="00770F97"/>
    <w:rsid w:val="00771C16"/>
    <w:rsid w:val="00773E81"/>
    <w:rsid w:val="00774AB7"/>
    <w:rsid w:val="0077555F"/>
    <w:rsid w:val="007755E5"/>
    <w:rsid w:val="007768C2"/>
    <w:rsid w:val="00776B57"/>
    <w:rsid w:val="00776DC6"/>
    <w:rsid w:val="00777224"/>
    <w:rsid w:val="007812C4"/>
    <w:rsid w:val="00782725"/>
    <w:rsid w:val="00782A1F"/>
    <w:rsid w:val="00783B8B"/>
    <w:rsid w:val="00784805"/>
    <w:rsid w:val="00784C1F"/>
    <w:rsid w:val="00786FDD"/>
    <w:rsid w:val="00787B56"/>
    <w:rsid w:val="00787BC4"/>
    <w:rsid w:val="007913A2"/>
    <w:rsid w:val="00791D8F"/>
    <w:rsid w:val="00793DC7"/>
    <w:rsid w:val="00794DB2"/>
    <w:rsid w:val="007967DF"/>
    <w:rsid w:val="00796A39"/>
    <w:rsid w:val="00797521"/>
    <w:rsid w:val="00797647"/>
    <w:rsid w:val="007A2FBF"/>
    <w:rsid w:val="007A3216"/>
    <w:rsid w:val="007A370E"/>
    <w:rsid w:val="007A5127"/>
    <w:rsid w:val="007A73D2"/>
    <w:rsid w:val="007A7B01"/>
    <w:rsid w:val="007B0E68"/>
    <w:rsid w:val="007B466D"/>
    <w:rsid w:val="007B6F6F"/>
    <w:rsid w:val="007C0AE9"/>
    <w:rsid w:val="007C0C5C"/>
    <w:rsid w:val="007C1B9D"/>
    <w:rsid w:val="007C2159"/>
    <w:rsid w:val="007C2C9B"/>
    <w:rsid w:val="007C2E08"/>
    <w:rsid w:val="007C3345"/>
    <w:rsid w:val="007C39F0"/>
    <w:rsid w:val="007C613C"/>
    <w:rsid w:val="007C6738"/>
    <w:rsid w:val="007C6E5D"/>
    <w:rsid w:val="007C74FF"/>
    <w:rsid w:val="007D1482"/>
    <w:rsid w:val="007D1888"/>
    <w:rsid w:val="007D3024"/>
    <w:rsid w:val="007D4376"/>
    <w:rsid w:val="007D4EC7"/>
    <w:rsid w:val="007D52DE"/>
    <w:rsid w:val="007D5FFE"/>
    <w:rsid w:val="007D60F6"/>
    <w:rsid w:val="007D62CA"/>
    <w:rsid w:val="007D788D"/>
    <w:rsid w:val="007E1CE3"/>
    <w:rsid w:val="007E2436"/>
    <w:rsid w:val="007E3481"/>
    <w:rsid w:val="007E458B"/>
    <w:rsid w:val="007E4BF3"/>
    <w:rsid w:val="007E73E1"/>
    <w:rsid w:val="007E7BC9"/>
    <w:rsid w:val="007F08A2"/>
    <w:rsid w:val="007F106F"/>
    <w:rsid w:val="007F125B"/>
    <w:rsid w:val="007F3500"/>
    <w:rsid w:val="007F4FF0"/>
    <w:rsid w:val="007F62E4"/>
    <w:rsid w:val="0080113C"/>
    <w:rsid w:val="008016E0"/>
    <w:rsid w:val="00803B47"/>
    <w:rsid w:val="00804665"/>
    <w:rsid w:val="00804D5B"/>
    <w:rsid w:val="00804DEB"/>
    <w:rsid w:val="00811351"/>
    <w:rsid w:val="00811E81"/>
    <w:rsid w:val="0081238D"/>
    <w:rsid w:val="008135AD"/>
    <w:rsid w:val="00813AF6"/>
    <w:rsid w:val="00814183"/>
    <w:rsid w:val="008156CB"/>
    <w:rsid w:val="008202B4"/>
    <w:rsid w:val="008210BB"/>
    <w:rsid w:val="00821A14"/>
    <w:rsid w:val="00822ED9"/>
    <w:rsid w:val="0082391B"/>
    <w:rsid w:val="008240DC"/>
    <w:rsid w:val="00824ED3"/>
    <w:rsid w:val="008263B1"/>
    <w:rsid w:val="008269B2"/>
    <w:rsid w:val="00826AB8"/>
    <w:rsid w:val="00832641"/>
    <w:rsid w:val="00832BD5"/>
    <w:rsid w:val="00833D32"/>
    <w:rsid w:val="00834D10"/>
    <w:rsid w:val="00834E34"/>
    <w:rsid w:val="00835437"/>
    <w:rsid w:val="00841C00"/>
    <w:rsid w:val="008425C0"/>
    <w:rsid w:val="00842A30"/>
    <w:rsid w:val="008431E5"/>
    <w:rsid w:val="00843597"/>
    <w:rsid w:val="00845F9A"/>
    <w:rsid w:val="008466D0"/>
    <w:rsid w:val="00846B46"/>
    <w:rsid w:val="0084768C"/>
    <w:rsid w:val="008500E3"/>
    <w:rsid w:val="008504C4"/>
    <w:rsid w:val="00851987"/>
    <w:rsid w:val="00851EA3"/>
    <w:rsid w:val="00851EC2"/>
    <w:rsid w:val="00852070"/>
    <w:rsid w:val="0085268D"/>
    <w:rsid w:val="00852E26"/>
    <w:rsid w:val="00853DA8"/>
    <w:rsid w:val="00854964"/>
    <w:rsid w:val="00854CFC"/>
    <w:rsid w:val="008557CB"/>
    <w:rsid w:val="008609A4"/>
    <w:rsid w:val="00860E91"/>
    <w:rsid w:val="00863492"/>
    <w:rsid w:val="0086351B"/>
    <w:rsid w:val="00863D18"/>
    <w:rsid w:val="00865769"/>
    <w:rsid w:val="0086757C"/>
    <w:rsid w:val="00867B2B"/>
    <w:rsid w:val="0087073B"/>
    <w:rsid w:val="0087108B"/>
    <w:rsid w:val="008711DC"/>
    <w:rsid w:val="008729C7"/>
    <w:rsid w:val="008730C1"/>
    <w:rsid w:val="008730DE"/>
    <w:rsid w:val="0087446D"/>
    <w:rsid w:val="00874B32"/>
    <w:rsid w:val="00875A1A"/>
    <w:rsid w:val="00876520"/>
    <w:rsid w:val="00876E0A"/>
    <w:rsid w:val="00877480"/>
    <w:rsid w:val="00877C2E"/>
    <w:rsid w:val="00883029"/>
    <w:rsid w:val="0088409F"/>
    <w:rsid w:val="008845B7"/>
    <w:rsid w:val="00884CDE"/>
    <w:rsid w:val="008867C1"/>
    <w:rsid w:val="0089218F"/>
    <w:rsid w:val="00894C2E"/>
    <w:rsid w:val="00896585"/>
    <w:rsid w:val="00897F30"/>
    <w:rsid w:val="008A1B71"/>
    <w:rsid w:val="008A513A"/>
    <w:rsid w:val="008A5D24"/>
    <w:rsid w:val="008A62CE"/>
    <w:rsid w:val="008A727C"/>
    <w:rsid w:val="008A7702"/>
    <w:rsid w:val="008A7BFB"/>
    <w:rsid w:val="008B12DA"/>
    <w:rsid w:val="008B14B4"/>
    <w:rsid w:val="008B28FB"/>
    <w:rsid w:val="008B2C05"/>
    <w:rsid w:val="008B2E65"/>
    <w:rsid w:val="008B30D5"/>
    <w:rsid w:val="008B50CC"/>
    <w:rsid w:val="008B75B5"/>
    <w:rsid w:val="008B7913"/>
    <w:rsid w:val="008C02BD"/>
    <w:rsid w:val="008C0720"/>
    <w:rsid w:val="008C15C6"/>
    <w:rsid w:val="008C31F2"/>
    <w:rsid w:val="008C38A0"/>
    <w:rsid w:val="008C7D53"/>
    <w:rsid w:val="008D23F0"/>
    <w:rsid w:val="008D2AB6"/>
    <w:rsid w:val="008D4B87"/>
    <w:rsid w:val="008D4BF8"/>
    <w:rsid w:val="008D5B57"/>
    <w:rsid w:val="008D5E77"/>
    <w:rsid w:val="008D600E"/>
    <w:rsid w:val="008D621B"/>
    <w:rsid w:val="008D62D7"/>
    <w:rsid w:val="008D66A8"/>
    <w:rsid w:val="008E0470"/>
    <w:rsid w:val="008E27B1"/>
    <w:rsid w:val="008E29EB"/>
    <w:rsid w:val="008E42E0"/>
    <w:rsid w:val="008E4A0C"/>
    <w:rsid w:val="008E4E9A"/>
    <w:rsid w:val="008E75A9"/>
    <w:rsid w:val="008E7D15"/>
    <w:rsid w:val="008F0254"/>
    <w:rsid w:val="008F0AA1"/>
    <w:rsid w:val="008F11A2"/>
    <w:rsid w:val="008F1704"/>
    <w:rsid w:val="008F239F"/>
    <w:rsid w:val="008F288E"/>
    <w:rsid w:val="008F471E"/>
    <w:rsid w:val="008F547F"/>
    <w:rsid w:val="008F6AA9"/>
    <w:rsid w:val="008F7BBD"/>
    <w:rsid w:val="00900AF9"/>
    <w:rsid w:val="00900F9D"/>
    <w:rsid w:val="00901C9A"/>
    <w:rsid w:val="00902149"/>
    <w:rsid w:val="00903EF5"/>
    <w:rsid w:val="00903F72"/>
    <w:rsid w:val="009064F7"/>
    <w:rsid w:val="00907415"/>
    <w:rsid w:val="009119F4"/>
    <w:rsid w:val="00911D4D"/>
    <w:rsid w:val="00912082"/>
    <w:rsid w:val="009131DC"/>
    <w:rsid w:val="009141D7"/>
    <w:rsid w:val="00914642"/>
    <w:rsid w:val="00915217"/>
    <w:rsid w:val="00915384"/>
    <w:rsid w:val="00915AB6"/>
    <w:rsid w:val="00916AFE"/>
    <w:rsid w:val="00916B65"/>
    <w:rsid w:val="00917BBB"/>
    <w:rsid w:val="00920418"/>
    <w:rsid w:val="00920C9A"/>
    <w:rsid w:val="00920E04"/>
    <w:rsid w:val="00921790"/>
    <w:rsid w:val="00922E17"/>
    <w:rsid w:val="00923D8A"/>
    <w:rsid w:val="00924358"/>
    <w:rsid w:val="00925BD1"/>
    <w:rsid w:val="00925CA9"/>
    <w:rsid w:val="009269DC"/>
    <w:rsid w:val="00926BD6"/>
    <w:rsid w:val="0093078B"/>
    <w:rsid w:val="00932000"/>
    <w:rsid w:val="009322FA"/>
    <w:rsid w:val="00933B3A"/>
    <w:rsid w:val="009361FD"/>
    <w:rsid w:val="00936DFF"/>
    <w:rsid w:val="00937296"/>
    <w:rsid w:val="009378B1"/>
    <w:rsid w:val="00937AC9"/>
    <w:rsid w:val="009412CB"/>
    <w:rsid w:val="009416EC"/>
    <w:rsid w:val="00942BE1"/>
    <w:rsid w:val="00942E6C"/>
    <w:rsid w:val="009438B3"/>
    <w:rsid w:val="0094441D"/>
    <w:rsid w:val="00944AAA"/>
    <w:rsid w:val="00944BC3"/>
    <w:rsid w:val="00944BEC"/>
    <w:rsid w:val="0094556D"/>
    <w:rsid w:val="0094588C"/>
    <w:rsid w:val="0094621D"/>
    <w:rsid w:val="00947809"/>
    <w:rsid w:val="00950D8A"/>
    <w:rsid w:val="00951515"/>
    <w:rsid w:val="00951B39"/>
    <w:rsid w:val="00955140"/>
    <w:rsid w:val="00955A58"/>
    <w:rsid w:val="00955A73"/>
    <w:rsid w:val="00955CA5"/>
    <w:rsid w:val="0095687E"/>
    <w:rsid w:val="00960764"/>
    <w:rsid w:val="00960FA0"/>
    <w:rsid w:val="0096123D"/>
    <w:rsid w:val="009613E3"/>
    <w:rsid w:val="00961C0B"/>
    <w:rsid w:val="00962AAF"/>
    <w:rsid w:val="00963BC0"/>
    <w:rsid w:val="0097318B"/>
    <w:rsid w:val="0097346B"/>
    <w:rsid w:val="00973543"/>
    <w:rsid w:val="00974138"/>
    <w:rsid w:val="00974B32"/>
    <w:rsid w:val="00975622"/>
    <w:rsid w:val="00975A35"/>
    <w:rsid w:val="00976617"/>
    <w:rsid w:val="00977177"/>
    <w:rsid w:val="00977A0A"/>
    <w:rsid w:val="00983641"/>
    <w:rsid w:val="00983DE3"/>
    <w:rsid w:val="009854BD"/>
    <w:rsid w:val="0098589D"/>
    <w:rsid w:val="00985D5E"/>
    <w:rsid w:val="009868E6"/>
    <w:rsid w:val="009871A7"/>
    <w:rsid w:val="00987A71"/>
    <w:rsid w:val="00992671"/>
    <w:rsid w:val="00995400"/>
    <w:rsid w:val="00996A95"/>
    <w:rsid w:val="00997F7B"/>
    <w:rsid w:val="009A1ED1"/>
    <w:rsid w:val="009A20C6"/>
    <w:rsid w:val="009A2953"/>
    <w:rsid w:val="009A2AA2"/>
    <w:rsid w:val="009A3CD9"/>
    <w:rsid w:val="009A5202"/>
    <w:rsid w:val="009A67CF"/>
    <w:rsid w:val="009A6BA9"/>
    <w:rsid w:val="009B00D3"/>
    <w:rsid w:val="009B0C36"/>
    <w:rsid w:val="009B1024"/>
    <w:rsid w:val="009B1224"/>
    <w:rsid w:val="009B21F6"/>
    <w:rsid w:val="009B3639"/>
    <w:rsid w:val="009B3B9E"/>
    <w:rsid w:val="009B43D9"/>
    <w:rsid w:val="009B53FE"/>
    <w:rsid w:val="009B5EE3"/>
    <w:rsid w:val="009B73F7"/>
    <w:rsid w:val="009B74C7"/>
    <w:rsid w:val="009C2B1F"/>
    <w:rsid w:val="009C30F9"/>
    <w:rsid w:val="009C3527"/>
    <w:rsid w:val="009C35AE"/>
    <w:rsid w:val="009C5C29"/>
    <w:rsid w:val="009D07D0"/>
    <w:rsid w:val="009D0D9A"/>
    <w:rsid w:val="009D5565"/>
    <w:rsid w:val="009D7365"/>
    <w:rsid w:val="009D780E"/>
    <w:rsid w:val="009E01CC"/>
    <w:rsid w:val="009E0A15"/>
    <w:rsid w:val="009E3127"/>
    <w:rsid w:val="009E3CA5"/>
    <w:rsid w:val="009E7D5A"/>
    <w:rsid w:val="009F02A9"/>
    <w:rsid w:val="009F1094"/>
    <w:rsid w:val="009F1BA5"/>
    <w:rsid w:val="009F2462"/>
    <w:rsid w:val="009F4A88"/>
    <w:rsid w:val="009F6354"/>
    <w:rsid w:val="009F7EA3"/>
    <w:rsid w:val="00A00D09"/>
    <w:rsid w:val="00A010E1"/>
    <w:rsid w:val="00A01C0C"/>
    <w:rsid w:val="00A0275B"/>
    <w:rsid w:val="00A05D8B"/>
    <w:rsid w:val="00A07059"/>
    <w:rsid w:val="00A0706D"/>
    <w:rsid w:val="00A07434"/>
    <w:rsid w:val="00A077C8"/>
    <w:rsid w:val="00A118BB"/>
    <w:rsid w:val="00A11B9B"/>
    <w:rsid w:val="00A1251C"/>
    <w:rsid w:val="00A12537"/>
    <w:rsid w:val="00A129F0"/>
    <w:rsid w:val="00A13398"/>
    <w:rsid w:val="00A15914"/>
    <w:rsid w:val="00A16982"/>
    <w:rsid w:val="00A170EF"/>
    <w:rsid w:val="00A1745A"/>
    <w:rsid w:val="00A21191"/>
    <w:rsid w:val="00A2209D"/>
    <w:rsid w:val="00A2384E"/>
    <w:rsid w:val="00A24179"/>
    <w:rsid w:val="00A2515C"/>
    <w:rsid w:val="00A2640B"/>
    <w:rsid w:val="00A2791C"/>
    <w:rsid w:val="00A308E2"/>
    <w:rsid w:val="00A30A2D"/>
    <w:rsid w:val="00A317B0"/>
    <w:rsid w:val="00A31D15"/>
    <w:rsid w:val="00A323A5"/>
    <w:rsid w:val="00A32D83"/>
    <w:rsid w:val="00A334BA"/>
    <w:rsid w:val="00A33540"/>
    <w:rsid w:val="00A33851"/>
    <w:rsid w:val="00A33BBD"/>
    <w:rsid w:val="00A360A4"/>
    <w:rsid w:val="00A36328"/>
    <w:rsid w:val="00A40D5B"/>
    <w:rsid w:val="00A41969"/>
    <w:rsid w:val="00A43B3A"/>
    <w:rsid w:val="00A44D41"/>
    <w:rsid w:val="00A450E2"/>
    <w:rsid w:val="00A45BD6"/>
    <w:rsid w:val="00A467D1"/>
    <w:rsid w:val="00A47A4D"/>
    <w:rsid w:val="00A504CB"/>
    <w:rsid w:val="00A50793"/>
    <w:rsid w:val="00A521FD"/>
    <w:rsid w:val="00A52DAA"/>
    <w:rsid w:val="00A53C9A"/>
    <w:rsid w:val="00A541F8"/>
    <w:rsid w:val="00A608B1"/>
    <w:rsid w:val="00A608B9"/>
    <w:rsid w:val="00A6174D"/>
    <w:rsid w:val="00A61A78"/>
    <w:rsid w:val="00A620AD"/>
    <w:rsid w:val="00A6510A"/>
    <w:rsid w:val="00A669F4"/>
    <w:rsid w:val="00A66DDB"/>
    <w:rsid w:val="00A70B54"/>
    <w:rsid w:val="00A7170B"/>
    <w:rsid w:val="00A743D9"/>
    <w:rsid w:val="00A7483B"/>
    <w:rsid w:val="00A74B2C"/>
    <w:rsid w:val="00A74B3F"/>
    <w:rsid w:val="00A76BA2"/>
    <w:rsid w:val="00A76CBC"/>
    <w:rsid w:val="00A82BEA"/>
    <w:rsid w:val="00A83D29"/>
    <w:rsid w:val="00A854A3"/>
    <w:rsid w:val="00A85AD7"/>
    <w:rsid w:val="00A85B2A"/>
    <w:rsid w:val="00A86284"/>
    <w:rsid w:val="00A86DCF"/>
    <w:rsid w:val="00A8717C"/>
    <w:rsid w:val="00A92EA3"/>
    <w:rsid w:val="00A939AD"/>
    <w:rsid w:val="00A94C11"/>
    <w:rsid w:val="00A9526B"/>
    <w:rsid w:val="00A97284"/>
    <w:rsid w:val="00AA0EFA"/>
    <w:rsid w:val="00AA1359"/>
    <w:rsid w:val="00AA234C"/>
    <w:rsid w:val="00AA31F5"/>
    <w:rsid w:val="00AA40A1"/>
    <w:rsid w:val="00AA48C0"/>
    <w:rsid w:val="00AA4A89"/>
    <w:rsid w:val="00AA5BA2"/>
    <w:rsid w:val="00AA6917"/>
    <w:rsid w:val="00AA7002"/>
    <w:rsid w:val="00AB01E3"/>
    <w:rsid w:val="00AB221E"/>
    <w:rsid w:val="00AB2249"/>
    <w:rsid w:val="00AB2898"/>
    <w:rsid w:val="00AB2A50"/>
    <w:rsid w:val="00AB3C85"/>
    <w:rsid w:val="00AB4B40"/>
    <w:rsid w:val="00AB4C0D"/>
    <w:rsid w:val="00AB53A1"/>
    <w:rsid w:val="00AB606E"/>
    <w:rsid w:val="00AB66B2"/>
    <w:rsid w:val="00AB7164"/>
    <w:rsid w:val="00AC1C08"/>
    <w:rsid w:val="00AC3B85"/>
    <w:rsid w:val="00AC471A"/>
    <w:rsid w:val="00AC4F75"/>
    <w:rsid w:val="00AC69C2"/>
    <w:rsid w:val="00AD07E1"/>
    <w:rsid w:val="00AD1A75"/>
    <w:rsid w:val="00AD4737"/>
    <w:rsid w:val="00AD4EE7"/>
    <w:rsid w:val="00AD69C8"/>
    <w:rsid w:val="00AD7D3F"/>
    <w:rsid w:val="00AD7E37"/>
    <w:rsid w:val="00AE05D3"/>
    <w:rsid w:val="00AE155A"/>
    <w:rsid w:val="00AE1F16"/>
    <w:rsid w:val="00AE2947"/>
    <w:rsid w:val="00AE386C"/>
    <w:rsid w:val="00AE6D6C"/>
    <w:rsid w:val="00AF02BC"/>
    <w:rsid w:val="00AF0787"/>
    <w:rsid w:val="00AF0B87"/>
    <w:rsid w:val="00AF1F4C"/>
    <w:rsid w:val="00AF3539"/>
    <w:rsid w:val="00AF3B09"/>
    <w:rsid w:val="00AF4A3F"/>
    <w:rsid w:val="00AF61A6"/>
    <w:rsid w:val="00AF6BA9"/>
    <w:rsid w:val="00AF781D"/>
    <w:rsid w:val="00AF7993"/>
    <w:rsid w:val="00AF7FB9"/>
    <w:rsid w:val="00B0196A"/>
    <w:rsid w:val="00B02AA0"/>
    <w:rsid w:val="00B02EAA"/>
    <w:rsid w:val="00B03970"/>
    <w:rsid w:val="00B03D30"/>
    <w:rsid w:val="00B05519"/>
    <w:rsid w:val="00B05591"/>
    <w:rsid w:val="00B06448"/>
    <w:rsid w:val="00B100FE"/>
    <w:rsid w:val="00B11186"/>
    <w:rsid w:val="00B12DFD"/>
    <w:rsid w:val="00B12F29"/>
    <w:rsid w:val="00B146C2"/>
    <w:rsid w:val="00B15503"/>
    <w:rsid w:val="00B156CE"/>
    <w:rsid w:val="00B1583F"/>
    <w:rsid w:val="00B158D1"/>
    <w:rsid w:val="00B1707D"/>
    <w:rsid w:val="00B20833"/>
    <w:rsid w:val="00B2137D"/>
    <w:rsid w:val="00B217EE"/>
    <w:rsid w:val="00B23645"/>
    <w:rsid w:val="00B23A34"/>
    <w:rsid w:val="00B24BF8"/>
    <w:rsid w:val="00B25488"/>
    <w:rsid w:val="00B256D7"/>
    <w:rsid w:val="00B25B46"/>
    <w:rsid w:val="00B26C0F"/>
    <w:rsid w:val="00B26F31"/>
    <w:rsid w:val="00B31059"/>
    <w:rsid w:val="00B31205"/>
    <w:rsid w:val="00B314D7"/>
    <w:rsid w:val="00B3210A"/>
    <w:rsid w:val="00B32A65"/>
    <w:rsid w:val="00B3419A"/>
    <w:rsid w:val="00B341BB"/>
    <w:rsid w:val="00B34B05"/>
    <w:rsid w:val="00B36146"/>
    <w:rsid w:val="00B36907"/>
    <w:rsid w:val="00B41EEE"/>
    <w:rsid w:val="00B4243E"/>
    <w:rsid w:val="00B426D0"/>
    <w:rsid w:val="00B427E3"/>
    <w:rsid w:val="00B42845"/>
    <w:rsid w:val="00B4537F"/>
    <w:rsid w:val="00B462C7"/>
    <w:rsid w:val="00B46C55"/>
    <w:rsid w:val="00B505BA"/>
    <w:rsid w:val="00B510E0"/>
    <w:rsid w:val="00B521E3"/>
    <w:rsid w:val="00B53923"/>
    <w:rsid w:val="00B53B06"/>
    <w:rsid w:val="00B54190"/>
    <w:rsid w:val="00B54EBD"/>
    <w:rsid w:val="00B56780"/>
    <w:rsid w:val="00B56CF1"/>
    <w:rsid w:val="00B5744E"/>
    <w:rsid w:val="00B60322"/>
    <w:rsid w:val="00B60B62"/>
    <w:rsid w:val="00B62A86"/>
    <w:rsid w:val="00B648D1"/>
    <w:rsid w:val="00B650B7"/>
    <w:rsid w:val="00B6692C"/>
    <w:rsid w:val="00B676A2"/>
    <w:rsid w:val="00B700DE"/>
    <w:rsid w:val="00B709CD"/>
    <w:rsid w:val="00B740F1"/>
    <w:rsid w:val="00B75001"/>
    <w:rsid w:val="00B75249"/>
    <w:rsid w:val="00B75D04"/>
    <w:rsid w:val="00B76215"/>
    <w:rsid w:val="00B80BFB"/>
    <w:rsid w:val="00B81F58"/>
    <w:rsid w:val="00B82A0D"/>
    <w:rsid w:val="00B84865"/>
    <w:rsid w:val="00B86039"/>
    <w:rsid w:val="00B86AE8"/>
    <w:rsid w:val="00B9035A"/>
    <w:rsid w:val="00B910A7"/>
    <w:rsid w:val="00B91260"/>
    <w:rsid w:val="00B928E7"/>
    <w:rsid w:val="00B93771"/>
    <w:rsid w:val="00B93AFD"/>
    <w:rsid w:val="00B964EA"/>
    <w:rsid w:val="00B96698"/>
    <w:rsid w:val="00B9704E"/>
    <w:rsid w:val="00B97D29"/>
    <w:rsid w:val="00B97E94"/>
    <w:rsid w:val="00BA1366"/>
    <w:rsid w:val="00BA1E3A"/>
    <w:rsid w:val="00BA26CE"/>
    <w:rsid w:val="00BA349E"/>
    <w:rsid w:val="00BA4D84"/>
    <w:rsid w:val="00BA5736"/>
    <w:rsid w:val="00BA589C"/>
    <w:rsid w:val="00BA654B"/>
    <w:rsid w:val="00BA75F7"/>
    <w:rsid w:val="00BA7AD0"/>
    <w:rsid w:val="00BB0ABC"/>
    <w:rsid w:val="00BB0B0A"/>
    <w:rsid w:val="00BB0B6B"/>
    <w:rsid w:val="00BB1E8E"/>
    <w:rsid w:val="00BB21B7"/>
    <w:rsid w:val="00BB24BD"/>
    <w:rsid w:val="00BB2CC0"/>
    <w:rsid w:val="00BB3691"/>
    <w:rsid w:val="00BB42E7"/>
    <w:rsid w:val="00BB46CD"/>
    <w:rsid w:val="00BB588A"/>
    <w:rsid w:val="00BB65F9"/>
    <w:rsid w:val="00BB661B"/>
    <w:rsid w:val="00BB6629"/>
    <w:rsid w:val="00BB6D03"/>
    <w:rsid w:val="00BB6F5F"/>
    <w:rsid w:val="00BB7250"/>
    <w:rsid w:val="00BB7D70"/>
    <w:rsid w:val="00BC0A4C"/>
    <w:rsid w:val="00BD05B9"/>
    <w:rsid w:val="00BD0C01"/>
    <w:rsid w:val="00BD1281"/>
    <w:rsid w:val="00BD1EF7"/>
    <w:rsid w:val="00BD2C4A"/>
    <w:rsid w:val="00BD3038"/>
    <w:rsid w:val="00BD3276"/>
    <w:rsid w:val="00BD4FA9"/>
    <w:rsid w:val="00BD5745"/>
    <w:rsid w:val="00BD7F5D"/>
    <w:rsid w:val="00BE0621"/>
    <w:rsid w:val="00BE0E84"/>
    <w:rsid w:val="00BE1E7B"/>
    <w:rsid w:val="00BE2158"/>
    <w:rsid w:val="00BE21F0"/>
    <w:rsid w:val="00BE28B3"/>
    <w:rsid w:val="00BE2BD0"/>
    <w:rsid w:val="00BE30B4"/>
    <w:rsid w:val="00BE456C"/>
    <w:rsid w:val="00BE45C9"/>
    <w:rsid w:val="00BE4E6D"/>
    <w:rsid w:val="00BE59DB"/>
    <w:rsid w:val="00BE6BA0"/>
    <w:rsid w:val="00BE790E"/>
    <w:rsid w:val="00BE7D70"/>
    <w:rsid w:val="00BF03CB"/>
    <w:rsid w:val="00BF0DFB"/>
    <w:rsid w:val="00BF0E68"/>
    <w:rsid w:val="00BF1391"/>
    <w:rsid w:val="00BF19B3"/>
    <w:rsid w:val="00BF1DD9"/>
    <w:rsid w:val="00BF235D"/>
    <w:rsid w:val="00BF2793"/>
    <w:rsid w:val="00BF284E"/>
    <w:rsid w:val="00BF52E8"/>
    <w:rsid w:val="00BF55B4"/>
    <w:rsid w:val="00BF582E"/>
    <w:rsid w:val="00BF5D8E"/>
    <w:rsid w:val="00BF6598"/>
    <w:rsid w:val="00BF6ED2"/>
    <w:rsid w:val="00BF76E7"/>
    <w:rsid w:val="00C01B37"/>
    <w:rsid w:val="00C026FB"/>
    <w:rsid w:val="00C02D2C"/>
    <w:rsid w:val="00C02D5C"/>
    <w:rsid w:val="00C03030"/>
    <w:rsid w:val="00C03207"/>
    <w:rsid w:val="00C04BCA"/>
    <w:rsid w:val="00C04E6E"/>
    <w:rsid w:val="00C07C3D"/>
    <w:rsid w:val="00C11B0B"/>
    <w:rsid w:val="00C121B9"/>
    <w:rsid w:val="00C127F4"/>
    <w:rsid w:val="00C14900"/>
    <w:rsid w:val="00C157CE"/>
    <w:rsid w:val="00C1743E"/>
    <w:rsid w:val="00C203D3"/>
    <w:rsid w:val="00C2095A"/>
    <w:rsid w:val="00C2195E"/>
    <w:rsid w:val="00C21999"/>
    <w:rsid w:val="00C21BD6"/>
    <w:rsid w:val="00C23BEC"/>
    <w:rsid w:val="00C24DAE"/>
    <w:rsid w:val="00C257A9"/>
    <w:rsid w:val="00C25805"/>
    <w:rsid w:val="00C26CBA"/>
    <w:rsid w:val="00C27777"/>
    <w:rsid w:val="00C27B17"/>
    <w:rsid w:val="00C30475"/>
    <w:rsid w:val="00C328C5"/>
    <w:rsid w:val="00C32DF1"/>
    <w:rsid w:val="00C32F75"/>
    <w:rsid w:val="00C34F64"/>
    <w:rsid w:val="00C35E27"/>
    <w:rsid w:val="00C3629B"/>
    <w:rsid w:val="00C36452"/>
    <w:rsid w:val="00C36523"/>
    <w:rsid w:val="00C37914"/>
    <w:rsid w:val="00C37A16"/>
    <w:rsid w:val="00C4033C"/>
    <w:rsid w:val="00C40492"/>
    <w:rsid w:val="00C407FF"/>
    <w:rsid w:val="00C412E9"/>
    <w:rsid w:val="00C41C27"/>
    <w:rsid w:val="00C42726"/>
    <w:rsid w:val="00C44CC1"/>
    <w:rsid w:val="00C45751"/>
    <w:rsid w:val="00C457F5"/>
    <w:rsid w:val="00C463A0"/>
    <w:rsid w:val="00C46B7D"/>
    <w:rsid w:val="00C46CA1"/>
    <w:rsid w:val="00C46D79"/>
    <w:rsid w:val="00C51BB2"/>
    <w:rsid w:val="00C51D11"/>
    <w:rsid w:val="00C52087"/>
    <w:rsid w:val="00C5337F"/>
    <w:rsid w:val="00C55776"/>
    <w:rsid w:val="00C55A49"/>
    <w:rsid w:val="00C55DB1"/>
    <w:rsid w:val="00C5632F"/>
    <w:rsid w:val="00C5642C"/>
    <w:rsid w:val="00C5672F"/>
    <w:rsid w:val="00C60846"/>
    <w:rsid w:val="00C61178"/>
    <w:rsid w:val="00C623DD"/>
    <w:rsid w:val="00C64C4C"/>
    <w:rsid w:val="00C653E2"/>
    <w:rsid w:val="00C67382"/>
    <w:rsid w:val="00C67927"/>
    <w:rsid w:val="00C7188B"/>
    <w:rsid w:val="00C73F60"/>
    <w:rsid w:val="00C7471B"/>
    <w:rsid w:val="00C74F9F"/>
    <w:rsid w:val="00C75479"/>
    <w:rsid w:val="00C75DA9"/>
    <w:rsid w:val="00C76D02"/>
    <w:rsid w:val="00C76DC6"/>
    <w:rsid w:val="00C77698"/>
    <w:rsid w:val="00C77DAE"/>
    <w:rsid w:val="00C800C5"/>
    <w:rsid w:val="00C8043A"/>
    <w:rsid w:val="00C80639"/>
    <w:rsid w:val="00C80A53"/>
    <w:rsid w:val="00C84619"/>
    <w:rsid w:val="00C84DD3"/>
    <w:rsid w:val="00C855B3"/>
    <w:rsid w:val="00C85D6E"/>
    <w:rsid w:val="00C8630D"/>
    <w:rsid w:val="00C8651F"/>
    <w:rsid w:val="00C867A4"/>
    <w:rsid w:val="00C91BC4"/>
    <w:rsid w:val="00C949BC"/>
    <w:rsid w:val="00C9529F"/>
    <w:rsid w:val="00C95BE4"/>
    <w:rsid w:val="00C96230"/>
    <w:rsid w:val="00C96A51"/>
    <w:rsid w:val="00C97082"/>
    <w:rsid w:val="00C97D86"/>
    <w:rsid w:val="00CA0A6B"/>
    <w:rsid w:val="00CA0D52"/>
    <w:rsid w:val="00CA1C78"/>
    <w:rsid w:val="00CA2671"/>
    <w:rsid w:val="00CA2D71"/>
    <w:rsid w:val="00CA39CE"/>
    <w:rsid w:val="00CA3A95"/>
    <w:rsid w:val="00CA7328"/>
    <w:rsid w:val="00CA776A"/>
    <w:rsid w:val="00CB4A31"/>
    <w:rsid w:val="00CB5355"/>
    <w:rsid w:val="00CB7ABA"/>
    <w:rsid w:val="00CC142B"/>
    <w:rsid w:val="00CC41B0"/>
    <w:rsid w:val="00CC5757"/>
    <w:rsid w:val="00CC5CED"/>
    <w:rsid w:val="00CC6971"/>
    <w:rsid w:val="00CC6A2C"/>
    <w:rsid w:val="00CD21EC"/>
    <w:rsid w:val="00CD47D4"/>
    <w:rsid w:val="00CD6C98"/>
    <w:rsid w:val="00CD6FA5"/>
    <w:rsid w:val="00CE0B9A"/>
    <w:rsid w:val="00CE0BA3"/>
    <w:rsid w:val="00CE17EE"/>
    <w:rsid w:val="00CE2C36"/>
    <w:rsid w:val="00CE401A"/>
    <w:rsid w:val="00CE4186"/>
    <w:rsid w:val="00CE6E1D"/>
    <w:rsid w:val="00CF16B3"/>
    <w:rsid w:val="00CF1E83"/>
    <w:rsid w:val="00CF2341"/>
    <w:rsid w:val="00CF2EFC"/>
    <w:rsid w:val="00CF4934"/>
    <w:rsid w:val="00CF7B63"/>
    <w:rsid w:val="00D0005E"/>
    <w:rsid w:val="00D00588"/>
    <w:rsid w:val="00D0208A"/>
    <w:rsid w:val="00D049C9"/>
    <w:rsid w:val="00D0550E"/>
    <w:rsid w:val="00D05E78"/>
    <w:rsid w:val="00D12539"/>
    <w:rsid w:val="00D126F6"/>
    <w:rsid w:val="00D13183"/>
    <w:rsid w:val="00D135DD"/>
    <w:rsid w:val="00D1374A"/>
    <w:rsid w:val="00D14C1A"/>
    <w:rsid w:val="00D15EC8"/>
    <w:rsid w:val="00D16A52"/>
    <w:rsid w:val="00D1773D"/>
    <w:rsid w:val="00D177D9"/>
    <w:rsid w:val="00D17AFB"/>
    <w:rsid w:val="00D2032B"/>
    <w:rsid w:val="00D21B39"/>
    <w:rsid w:val="00D21C43"/>
    <w:rsid w:val="00D23548"/>
    <w:rsid w:val="00D24479"/>
    <w:rsid w:val="00D258C8"/>
    <w:rsid w:val="00D25D63"/>
    <w:rsid w:val="00D26487"/>
    <w:rsid w:val="00D26D15"/>
    <w:rsid w:val="00D272EF"/>
    <w:rsid w:val="00D27B1C"/>
    <w:rsid w:val="00D27EC4"/>
    <w:rsid w:val="00D303BB"/>
    <w:rsid w:val="00D30D41"/>
    <w:rsid w:val="00D32CED"/>
    <w:rsid w:val="00D338CA"/>
    <w:rsid w:val="00D33DD8"/>
    <w:rsid w:val="00D3455C"/>
    <w:rsid w:val="00D34E78"/>
    <w:rsid w:val="00D3637D"/>
    <w:rsid w:val="00D413AD"/>
    <w:rsid w:val="00D419DC"/>
    <w:rsid w:val="00D423FB"/>
    <w:rsid w:val="00D4335A"/>
    <w:rsid w:val="00D4421D"/>
    <w:rsid w:val="00D46A2E"/>
    <w:rsid w:val="00D46C90"/>
    <w:rsid w:val="00D47E36"/>
    <w:rsid w:val="00D5161A"/>
    <w:rsid w:val="00D51F6B"/>
    <w:rsid w:val="00D5228D"/>
    <w:rsid w:val="00D523F4"/>
    <w:rsid w:val="00D539BE"/>
    <w:rsid w:val="00D543D1"/>
    <w:rsid w:val="00D55C33"/>
    <w:rsid w:val="00D55FFD"/>
    <w:rsid w:val="00D56116"/>
    <w:rsid w:val="00D56277"/>
    <w:rsid w:val="00D5714A"/>
    <w:rsid w:val="00D60478"/>
    <w:rsid w:val="00D60829"/>
    <w:rsid w:val="00D60A74"/>
    <w:rsid w:val="00D61627"/>
    <w:rsid w:val="00D61B57"/>
    <w:rsid w:val="00D644C4"/>
    <w:rsid w:val="00D64E1A"/>
    <w:rsid w:val="00D65073"/>
    <w:rsid w:val="00D660F7"/>
    <w:rsid w:val="00D678B4"/>
    <w:rsid w:val="00D67CCD"/>
    <w:rsid w:val="00D7127E"/>
    <w:rsid w:val="00D715C9"/>
    <w:rsid w:val="00D71F59"/>
    <w:rsid w:val="00D72F04"/>
    <w:rsid w:val="00D73D3A"/>
    <w:rsid w:val="00D74BE2"/>
    <w:rsid w:val="00D753FC"/>
    <w:rsid w:val="00D75AE5"/>
    <w:rsid w:val="00D75C87"/>
    <w:rsid w:val="00D7623B"/>
    <w:rsid w:val="00D7675F"/>
    <w:rsid w:val="00D76EED"/>
    <w:rsid w:val="00D77B3F"/>
    <w:rsid w:val="00D80574"/>
    <w:rsid w:val="00D82D82"/>
    <w:rsid w:val="00D85FDB"/>
    <w:rsid w:val="00D86122"/>
    <w:rsid w:val="00D870A9"/>
    <w:rsid w:val="00D87367"/>
    <w:rsid w:val="00D90667"/>
    <w:rsid w:val="00D90C76"/>
    <w:rsid w:val="00D90C7F"/>
    <w:rsid w:val="00D918F4"/>
    <w:rsid w:val="00D91ECB"/>
    <w:rsid w:val="00D92806"/>
    <w:rsid w:val="00D92F91"/>
    <w:rsid w:val="00D9302A"/>
    <w:rsid w:val="00D94FF3"/>
    <w:rsid w:val="00D95766"/>
    <w:rsid w:val="00D96034"/>
    <w:rsid w:val="00D96C88"/>
    <w:rsid w:val="00D972D8"/>
    <w:rsid w:val="00DA0D45"/>
    <w:rsid w:val="00DA21E2"/>
    <w:rsid w:val="00DA2BE8"/>
    <w:rsid w:val="00DA4CEA"/>
    <w:rsid w:val="00DA53EC"/>
    <w:rsid w:val="00DA585B"/>
    <w:rsid w:val="00DA6F45"/>
    <w:rsid w:val="00DB1063"/>
    <w:rsid w:val="00DB11F3"/>
    <w:rsid w:val="00DB13A0"/>
    <w:rsid w:val="00DB198B"/>
    <w:rsid w:val="00DB1DF1"/>
    <w:rsid w:val="00DB301D"/>
    <w:rsid w:val="00DB50DD"/>
    <w:rsid w:val="00DB620A"/>
    <w:rsid w:val="00DC0B62"/>
    <w:rsid w:val="00DC42E5"/>
    <w:rsid w:val="00DC579A"/>
    <w:rsid w:val="00DC676E"/>
    <w:rsid w:val="00DC6813"/>
    <w:rsid w:val="00DC700F"/>
    <w:rsid w:val="00DC75AB"/>
    <w:rsid w:val="00DD014F"/>
    <w:rsid w:val="00DD0C79"/>
    <w:rsid w:val="00DD1157"/>
    <w:rsid w:val="00DD1C40"/>
    <w:rsid w:val="00DD2C76"/>
    <w:rsid w:val="00DD491E"/>
    <w:rsid w:val="00DD6453"/>
    <w:rsid w:val="00DD6BB0"/>
    <w:rsid w:val="00DD7430"/>
    <w:rsid w:val="00DE0ACA"/>
    <w:rsid w:val="00DE1200"/>
    <w:rsid w:val="00DE2616"/>
    <w:rsid w:val="00DE34EC"/>
    <w:rsid w:val="00DE359C"/>
    <w:rsid w:val="00DE386D"/>
    <w:rsid w:val="00DE3F97"/>
    <w:rsid w:val="00DE6A26"/>
    <w:rsid w:val="00DF02F9"/>
    <w:rsid w:val="00DF0860"/>
    <w:rsid w:val="00DF0D3A"/>
    <w:rsid w:val="00DF256F"/>
    <w:rsid w:val="00DF3230"/>
    <w:rsid w:val="00DF5756"/>
    <w:rsid w:val="00DF6FD3"/>
    <w:rsid w:val="00E004AD"/>
    <w:rsid w:val="00E00D9C"/>
    <w:rsid w:val="00E0414E"/>
    <w:rsid w:val="00E06BD8"/>
    <w:rsid w:val="00E078A3"/>
    <w:rsid w:val="00E07B85"/>
    <w:rsid w:val="00E10A01"/>
    <w:rsid w:val="00E10CA3"/>
    <w:rsid w:val="00E10E0C"/>
    <w:rsid w:val="00E11A41"/>
    <w:rsid w:val="00E120C3"/>
    <w:rsid w:val="00E12D91"/>
    <w:rsid w:val="00E13731"/>
    <w:rsid w:val="00E138FF"/>
    <w:rsid w:val="00E140BA"/>
    <w:rsid w:val="00E14E54"/>
    <w:rsid w:val="00E152C4"/>
    <w:rsid w:val="00E15708"/>
    <w:rsid w:val="00E16728"/>
    <w:rsid w:val="00E171BD"/>
    <w:rsid w:val="00E20A3A"/>
    <w:rsid w:val="00E21740"/>
    <w:rsid w:val="00E23ABA"/>
    <w:rsid w:val="00E24046"/>
    <w:rsid w:val="00E240C3"/>
    <w:rsid w:val="00E24E4C"/>
    <w:rsid w:val="00E25297"/>
    <w:rsid w:val="00E25A64"/>
    <w:rsid w:val="00E26111"/>
    <w:rsid w:val="00E26662"/>
    <w:rsid w:val="00E3056E"/>
    <w:rsid w:val="00E31CCF"/>
    <w:rsid w:val="00E32359"/>
    <w:rsid w:val="00E32826"/>
    <w:rsid w:val="00E3316B"/>
    <w:rsid w:val="00E33E01"/>
    <w:rsid w:val="00E40043"/>
    <w:rsid w:val="00E40C46"/>
    <w:rsid w:val="00E40F6C"/>
    <w:rsid w:val="00E416C5"/>
    <w:rsid w:val="00E42D32"/>
    <w:rsid w:val="00E43E78"/>
    <w:rsid w:val="00E4447B"/>
    <w:rsid w:val="00E44B15"/>
    <w:rsid w:val="00E44EF3"/>
    <w:rsid w:val="00E452E7"/>
    <w:rsid w:val="00E45614"/>
    <w:rsid w:val="00E45F25"/>
    <w:rsid w:val="00E46A6E"/>
    <w:rsid w:val="00E47882"/>
    <w:rsid w:val="00E50048"/>
    <w:rsid w:val="00E505E2"/>
    <w:rsid w:val="00E51532"/>
    <w:rsid w:val="00E51658"/>
    <w:rsid w:val="00E519C4"/>
    <w:rsid w:val="00E51BD6"/>
    <w:rsid w:val="00E52892"/>
    <w:rsid w:val="00E529D4"/>
    <w:rsid w:val="00E55B53"/>
    <w:rsid w:val="00E5707F"/>
    <w:rsid w:val="00E57810"/>
    <w:rsid w:val="00E604BF"/>
    <w:rsid w:val="00E60D43"/>
    <w:rsid w:val="00E61101"/>
    <w:rsid w:val="00E6221E"/>
    <w:rsid w:val="00E62CD1"/>
    <w:rsid w:val="00E62DC2"/>
    <w:rsid w:val="00E64B83"/>
    <w:rsid w:val="00E65FFF"/>
    <w:rsid w:val="00E66593"/>
    <w:rsid w:val="00E67CD0"/>
    <w:rsid w:val="00E67CFF"/>
    <w:rsid w:val="00E73469"/>
    <w:rsid w:val="00E75C51"/>
    <w:rsid w:val="00E8061B"/>
    <w:rsid w:val="00E80E42"/>
    <w:rsid w:val="00E824BE"/>
    <w:rsid w:val="00E84275"/>
    <w:rsid w:val="00E84965"/>
    <w:rsid w:val="00E856BD"/>
    <w:rsid w:val="00E85988"/>
    <w:rsid w:val="00E86376"/>
    <w:rsid w:val="00E86389"/>
    <w:rsid w:val="00E8659E"/>
    <w:rsid w:val="00E86BDF"/>
    <w:rsid w:val="00E87BC0"/>
    <w:rsid w:val="00E90C1C"/>
    <w:rsid w:val="00E91777"/>
    <w:rsid w:val="00E924CB"/>
    <w:rsid w:val="00E92F9F"/>
    <w:rsid w:val="00E943BD"/>
    <w:rsid w:val="00E95BCE"/>
    <w:rsid w:val="00E95DF5"/>
    <w:rsid w:val="00E96137"/>
    <w:rsid w:val="00E9686C"/>
    <w:rsid w:val="00E969CC"/>
    <w:rsid w:val="00E96A37"/>
    <w:rsid w:val="00E970FC"/>
    <w:rsid w:val="00E97CB2"/>
    <w:rsid w:val="00EA0A6A"/>
    <w:rsid w:val="00EA1123"/>
    <w:rsid w:val="00EA16C3"/>
    <w:rsid w:val="00EA2881"/>
    <w:rsid w:val="00EA3A3E"/>
    <w:rsid w:val="00EA5FB3"/>
    <w:rsid w:val="00EA75FA"/>
    <w:rsid w:val="00EB0776"/>
    <w:rsid w:val="00EB0F7D"/>
    <w:rsid w:val="00EB1D08"/>
    <w:rsid w:val="00EB2C61"/>
    <w:rsid w:val="00EB2FC8"/>
    <w:rsid w:val="00EB46E3"/>
    <w:rsid w:val="00EB4F9B"/>
    <w:rsid w:val="00EB5ACB"/>
    <w:rsid w:val="00EC0809"/>
    <w:rsid w:val="00EC3C6F"/>
    <w:rsid w:val="00EC4598"/>
    <w:rsid w:val="00EC48D8"/>
    <w:rsid w:val="00EC51A7"/>
    <w:rsid w:val="00EC5AAA"/>
    <w:rsid w:val="00EC5F80"/>
    <w:rsid w:val="00EC6FC4"/>
    <w:rsid w:val="00EC713B"/>
    <w:rsid w:val="00EC7576"/>
    <w:rsid w:val="00EC777C"/>
    <w:rsid w:val="00EC7A45"/>
    <w:rsid w:val="00EC7F85"/>
    <w:rsid w:val="00ED03D7"/>
    <w:rsid w:val="00ED0B10"/>
    <w:rsid w:val="00ED27DA"/>
    <w:rsid w:val="00ED3470"/>
    <w:rsid w:val="00ED34A3"/>
    <w:rsid w:val="00ED5013"/>
    <w:rsid w:val="00ED58D4"/>
    <w:rsid w:val="00ED7A0F"/>
    <w:rsid w:val="00EE3ABD"/>
    <w:rsid w:val="00EE3DEF"/>
    <w:rsid w:val="00EE429D"/>
    <w:rsid w:val="00EE5C38"/>
    <w:rsid w:val="00EE7DA7"/>
    <w:rsid w:val="00EF19FE"/>
    <w:rsid w:val="00EF21F0"/>
    <w:rsid w:val="00EF2F0A"/>
    <w:rsid w:val="00EF4D95"/>
    <w:rsid w:val="00EF6232"/>
    <w:rsid w:val="00EF6738"/>
    <w:rsid w:val="00EF6A36"/>
    <w:rsid w:val="00F00D5D"/>
    <w:rsid w:val="00F01887"/>
    <w:rsid w:val="00F01AB1"/>
    <w:rsid w:val="00F0229D"/>
    <w:rsid w:val="00F02601"/>
    <w:rsid w:val="00F032F9"/>
    <w:rsid w:val="00F071F2"/>
    <w:rsid w:val="00F07911"/>
    <w:rsid w:val="00F11B1F"/>
    <w:rsid w:val="00F12443"/>
    <w:rsid w:val="00F16368"/>
    <w:rsid w:val="00F16B6E"/>
    <w:rsid w:val="00F16C27"/>
    <w:rsid w:val="00F1706F"/>
    <w:rsid w:val="00F17E08"/>
    <w:rsid w:val="00F20478"/>
    <w:rsid w:val="00F21A42"/>
    <w:rsid w:val="00F21B12"/>
    <w:rsid w:val="00F220BE"/>
    <w:rsid w:val="00F224B3"/>
    <w:rsid w:val="00F241A4"/>
    <w:rsid w:val="00F25DAE"/>
    <w:rsid w:val="00F25F4F"/>
    <w:rsid w:val="00F26AA1"/>
    <w:rsid w:val="00F26E58"/>
    <w:rsid w:val="00F27AF5"/>
    <w:rsid w:val="00F30CEB"/>
    <w:rsid w:val="00F31D7F"/>
    <w:rsid w:val="00F324FB"/>
    <w:rsid w:val="00F32CA3"/>
    <w:rsid w:val="00F3388F"/>
    <w:rsid w:val="00F343F6"/>
    <w:rsid w:val="00F3612C"/>
    <w:rsid w:val="00F37389"/>
    <w:rsid w:val="00F37B3A"/>
    <w:rsid w:val="00F40721"/>
    <w:rsid w:val="00F412A8"/>
    <w:rsid w:val="00F4571E"/>
    <w:rsid w:val="00F4605E"/>
    <w:rsid w:val="00F46AAC"/>
    <w:rsid w:val="00F46C4D"/>
    <w:rsid w:val="00F4737F"/>
    <w:rsid w:val="00F47E49"/>
    <w:rsid w:val="00F5009D"/>
    <w:rsid w:val="00F50F21"/>
    <w:rsid w:val="00F513CC"/>
    <w:rsid w:val="00F533B0"/>
    <w:rsid w:val="00F53BB5"/>
    <w:rsid w:val="00F5543B"/>
    <w:rsid w:val="00F55A6F"/>
    <w:rsid w:val="00F561AB"/>
    <w:rsid w:val="00F56FBC"/>
    <w:rsid w:val="00F6103A"/>
    <w:rsid w:val="00F611EF"/>
    <w:rsid w:val="00F61548"/>
    <w:rsid w:val="00F61F3C"/>
    <w:rsid w:val="00F63B64"/>
    <w:rsid w:val="00F64F90"/>
    <w:rsid w:val="00F6615B"/>
    <w:rsid w:val="00F669EB"/>
    <w:rsid w:val="00F671BC"/>
    <w:rsid w:val="00F71340"/>
    <w:rsid w:val="00F717D0"/>
    <w:rsid w:val="00F7299E"/>
    <w:rsid w:val="00F74052"/>
    <w:rsid w:val="00F75776"/>
    <w:rsid w:val="00F8002F"/>
    <w:rsid w:val="00F813C9"/>
    <w:rsid w:val="00F82A41"/>
    <w:rsid w:val="00F911CD"/>
    <w:rsid w:val="00F91962"/>
    <w:rsid w:val="00F92024"/>
    <w:rsid w:val="00F92090"/>
    <w:rsid w:val="00F93D12"/>
    <w:rsid w:val="00F9482F"/>
    <w:rsid w:val="00F95380"/>
    <w:rsid w:val="00F96350"/>
    <w:rsid w:val="00F96FB9"/>
    <w:rsid w:val="00FA09F4"/>
    <w:rsid w:val="00FA0D6E"/>
    <w:rsid w:val="00FA1300"/>
    <w:rsid w:val="00FA19D9"/>
    <w:rsid w:val="00FA1B45"/>
    <w:rsid w:val="00FA276A"/>
    <w:rsid w:val="00FA278B"/>
    <w:rsid w:val="00FA3A61"/>
    <w:rsid w:val="00FA4BB5"/>
    <w:rsid w:val="00FA520C"/>
    <w:rsid w:val="00FA5990"/>
    <w:rsid w:val="00FA649B"/>
    <w:rsid w:val="00FB16CC"/>
    <w:rsid w:val="00FB67D1"/>
    <w:rsid w:val="00FC12A7"/>
    <w:rsid w:val="00FC4115"/>
    <w:rsid w:val="00FC60D9"/>
    <w:rsid w:val="00FC6AF0"/>
    <w:rsid w:val="00FD0477"/>
    <w:rsid w:val="00FD1506"/>
    <w:rsid w:val="00FD1AB7"/>
    <w:rsid w:val="00FD2A20"/>
    <w:rsid w:val="00FD322C"/>
    <w:rsid w:val="00FD3B71"/>
    <w:rsid w:val="00FD41E1"/>
    <w:rsid w:val="00FD51F9"/>
    <w:rsid w:val="00FD63AF"/>
    <w:rsid w:val="00FD657D"/>
    <w:rsid w:val="00FD676D"/>
    <w:rsid w:val="00FD69CD"/>
    <w:rsid w:val="00FD7D02"/>
    <w:rsid w:val="00FE0749"/>
    <w:rsid w:val="00FE1C4E"/>
    <w:rsid w:val="00FE2062"/>
    <w:rsid w:val="00FE25F8"/>
    <w:rsid w:val="00FE2B10"/>
    <w:rsid w:val="00FE2ED8"/>
    <w:rsid w:val="00FE36A9"/>
    <w:rsid w:val="00FE44F0"/>
    <w:rsid w:val="00FE48E3"/>
    <w:rsid w:val="00FE4F03"/>
    <w:rsid w:val="00FE56FD"/>
    <w:rsid w:val="00FE5C5F"/>
    <w:rsid w:val="00FE6CC8"/>
    <w:rsid w:val="00FE7261"/>
    <w:rsid w:val="00FF03D8"/>
    <w:rsid w:val="00FF0542"/>
    <w:rsid w:val="00FF162B"/>
    <w:rsid w:val="00FF1EB7"/>
    <w:rsid w:val="00FF3D74"/>
    <w:rsid w:val="00FF4D0D"/>
    <w:rsid w:val="00FF5086"/>
    <w:rsid w:val="00FF5869"/>
    <w:rsid w:val="00FF5D83"/>
    <w:rsid w:val="00FF608E"/>
    <w:rsid w:val="00FF6BD5"/>
    <w:rsid w:val="00FF6E9D"/>
    <w:rsid w:val="00FF7623"/>
    <w:rsid w:val="01D450FE"/>
    <w:rsid w:val="02124B8C"/>
    <w:rsid w:val="05BB012E"/>
    <w:rsid w:val="06FB7EA8"/>
    <w:rsid w:val="08165E4C"/>
    <w:rsid w:val="0A001C5B"/>
    <w:rsid w:val="0D505C1B"/>
    <w:rsid w:val="130C3D06"/>
    <w:rsid w:val="13165687"/>
    <w:rsid w:val="157D4738"/>
    <w:rsid w:val="159A203A"/>
    <w:rsid w:val="15E91124"/>
    <w:rsid w:val="169941D9"/>
    <w:rsid w:val="18155238"/>
    <w:rsid w:val="18DD574C"/>
    <w:rsid w:val="1A3A0FA8"/>
    <w:rsid w:val="1C341AE6"/>
    <w:rsid w:val="1DA3040A"/>
    <w:rsid w:val="1DBF1DF4"/>
    <w:rsid w:val="1F421188"/>
    <w:rsid w:val="21CE3614"/>
    <w:rsid w:val="24E40D3A"/>
    <w:rsid w:val="24FD2EA3"/>
    <w:rsid w:val="266D6A6A"/>
    <w:rsid w:val="26AE3AB5"/>
    <w:rsid w:val="286E6F26"/>
    <w:rsid w:val="2B393FC9"/>
    <w:rsid w:val="2F4179D4"/>
    <w:rsid w:val="3537032E"/>
    <w:rsid w:val="356A79EA"/>
    <w:rsid w:val="378C0BD4"/>
    <w:rsid w:val="384345DC"/>
    <w:rsid w:val="3AC66BBF"/>
    <w:rsid w:val="3FA9040F"/>
    <w:rsid w:val="43F76C83"/>
    <w:rsid w:val="44520CFF"/>
    <w:rsid w:val="45A57249"/>
    <w:rsid w:val="45B0487C"/>
    <w:rsid w:val="46EC25D1"/>
    <w:rsid w:val="48C80BD3"/>
    <w:rsid w:val="536267A5"/>
    <w:rsid w:val="5433486C"/>
    <w:rsid w:val="54DF062F"/>
    <w:rsid w:val="56C500AD"/>
    <w:rsid w:val="58907AF2"/>
    <w:rsid w:val="5A790AF9"/>
    <w:rsid w:val="5A8E2EAB"/>
    <w:rsid w:val="5BE94349"/>
    <w:rsid w:val="60387ACD"/>
    <w:rsid w:val="65C07C91"/>
    <w:rsid w:val="67D9133C"/>
    <w:rsid w:val="680E73DA"/>
    <w:rsid w:val="69D837FB"/>
    <w:rsid w:val="6B811AF7"/>
    <w:rsid w:val="6C540D3B"/>
    <w:rsid w:val="73330A3F"/>
    <w:rsid w:val="755E4517"/>
    <w:rsid w:val="79D96A60"/>
    <w:rsid w:val="7E300B88"/>
    <w:rsid w:val="7E627075"/>
    <w:rsid w:val="7EEB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endarrow="block"/>
    </o:shapedefaults>
    <o:shapelayout v:ext="edit">
      <o:idmap v:ext="edit" data="2"/>
      <o:rules v:ext="edit">
        <o:r id="V:Rule1" type="connector" idref="#_x0000_s2070"/>
        <o:r id="V:Rule2" type="connector" idref="#_x0000_s2071"/>
        <o:r id="V:Rule3" type="connector" idref="#_x0000_s2073"/>
        <o:r id="V:Rule4" type="connector" idref="#_x0000_s2074"/>
        <o:r id="V:Rule5" type="connector" idref="#_x0000_s2077"/>
        <o:r id="V:Rule6" type="connector" idref="#_x0000_s2078"/>
        <o:r id="V:Rule7" type="connector" idref="#_x0000_s2081"/>
        <o:r id="V:Rule8" type="connector" idref="#_x0000_s2082"/>
        <o:r id="V:Rule9" type="connector" idref="#直接箭头连接符 102"/>
        <o:r id="V:Rule10" type="connector" idref="#直接箭头连接符 134"/>
        <o:r id="V:Rule11" type="connector" idref="#直接箭头连接符 136"/>
        <o:r id="V:Rule12" type="connector" idref="#直接箭头连接符 142"/>
        <o:r id="V:Rule13" type="connector" idref="#直接箭头连接符 143"/>
        <o:r id="V:Rule14" type="connector" idref="#直接箭头连接符 144"/>
        <o:r id="V:Rule15" type="connector" idref="#直接箭头连接符 145"/>
        <o:r id="V:Rule16" type="connector" idref="#直接箭头连接符 147"/>
        <o:r id="V:Rule17" type="connector" idref="#直接箭头连接符 149"/>
        <o:r id="V:Rule18" type="connector" idref="#直接箭头连接符 151"/>
        <o:r id="V:Rule19" type="connector" idref="#直接箭头连接符 155"/>
        <o:r id="V:Rule20" type="connector" idref="#肘形连接符 158"/>
        <o:r id="V:Rule21" type="connector" idref="#肘形连接符 159"/>
        <o:r id="V:Rule22" type="connector" idref="#直接箭头连接符 161"/>
        <o:r id="V:Rule23" type="connector" idref="#直接箭头连接符 163"/>
        <o:r id="V:Rule24" type="connector" idref="#直接箭头连接符 165"/>
        <o:r id="V:Rule25" type="connector" idref="#直接箭头连接符 167"/>
        <o:r id="V:Rule26" type="connector" idref="#直接箭头连接符 171"/>
        <o:r id="V:Rule27" type="connector" idref="#直接箭头连接符 174"/>
        <o:r id="V:Rule28" type="connector" idref="#_x0000_s2164"/>
        <o:r id="V:Rule29" type="connector" idref="#_x0000_s2179"/>
        <o:r id="V:Rule30" type="connector" idref="#_x0000_s2180"/>
        <o:r id="V:Rule31" type="connector" idref="#_x0000_s2181"/>
        <o:r id="V:Rule32" type="connector" idref="#_x0000_s2182"/>
        <o:r id="V:Rule33" type="connector" idref="#_x0000_s2183"/>
        <o:r id="V:Rule34" type="connector" idref="#_x0000_s2184"/>
        <o:r id="V:Rule35" type="connector" idref="#_x0000_s2185"/>
        <o:r id="V:Rule36" type="connector" idref="#_x0000_s2186"/>
        <o:r id="V:Rule37" type="connector" idref="#_x0000_s2193"/>
        <o:r id="V:Rule38" type="connector" idref="#_x0000_s2194"/>
        <o:r id="V:Rule39" type="connector" idref="#_x0000_s2195"/>
        <o:r id="V:Rule40" type="connector" idref="#_x0000_s2197"/>
        <o:r id="V:Rule41" type="connector" idref="#_x0000_s2198"/>
        <o:r id="V:Rule42" type="connector" idref="#_x0000_s2209"/>
        <o:r id="V:Rule43" type="connector" idref="#_x0000_s2210"/>
        <o:r id="V:Rule44" type="connector" idref="#_x0000_s2214"/>
        <o:r id="V:Rule45" type="connector" idref="#_x0000_s2216"/>
        <o:r id="V:Rule46" type="connector" idref="#_x0000_s224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1"/>
    <w:basedOn w:val="1"/>
    <w:next w:val="1"/>
    <w:link w:val="77"/>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76"/>
    <w:qFormat/>
    <w:uiPriority w:val="0"/>
    <w:pPr>
      <w:keepNext/>
      <w:wordWrap w:val="0"/>
      <w:spacing w:line="380" w:lineRule="exact"/>
      <w:ind w:left="-113" w:right="-113" w:firstLine="480" w:firstLineChars="200"/>
      <w:jc w:val="center"/>
      <w:outlineLvl w:val="3"/>
    </w:pPr>
    <w:rPr>
      <w:rFonts w:hint="eastAsia"/>
      <w:b/>
      <w:spacing w:val="-11"/>
      <w:kern w:val="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unhideWhenUsed/>
    <w:qFormat/>
    <w:uiPriority w:val="0"/>
    <w:pPr>
      <w:spacing w:line="360" w:lineRule="auto"/>
      <w:ind w:firstLine="200" w:firstLineChars="200"/>
      <w:jc w:val="left"/>
    </w:pPr>
    <w:rPr>
      <w:rFonts w:eastAsiaTheme="minorEastAsia" w:cstheme="minorBidi"/>
      <w:kern w:val="2"/>
      <w:szCs w:val="22"/>
    </w:rPr>
  </w:style>
  <w:style w:type="paragraph" w:styleId="6">
    <w:name w:val="Salutation"/>
    <w:basedOn w:val="1"/>
    <w:next w:val="1"/>
    <w:link w:val="47"/>
    <w:qFormat/>
    <w:uiPriority w:val="0"/>
    <w:rPr>
      <w:kern w:val="2"/>
      <w:sz w:val="28"/>
      <w:szCs w:val="20"/>
    </w:rPr>
  </w:style>
  <w:style w:type="paragraph" w:styleId="7">
    <w:name w:val="Body Text"/>
    <w:basedOn w:val="1"/>
    <w:next w:val="1"/>
    <w:qFormat/>
    <w:uiPriority w:val="0"/>
    <w:pPr>
      <w:widowControl/>
      <w:snapToGrid w:val="0"/>
      <w:spacing w:before="60" w:after="160" w:line="259" w:lineRule="auto"/>
      <w:ind w:right="113"/>
    </w:pPr>
    <w:rPr>
      <w:sz w:val="18"/>
      <w:szCs w:val="18"/>
    </w:rPr>
  </w:style>
  <w:style w:type="paragraph" w:styleId="8">
    <w:name w:val="Body Text Indent"/>
    <w:basedOn w:val="1"/>
    <w:unhideWhenUsed/>
    <w:qFormat/>
    <w:uiPriority w:val="0"/>
    <w:pPr>
      <w:spacing w:after="120"/>
      <w:ind w:left="420" w:leftChars="200"/>
    </w:pPr>
    <w:rPr>
      <w:rFonts w:ascii="Times New Roman" w:hAnsi="Times New Roman"/>
      <w:kern w:val="0"/>
      <w:sz w:val="20"/>
      <w:szCs w:val="24"/>
    </w:rPr>
  </w:style>
  <w:style w:type="paragraph" w:styleId="9">
    <w:name w:val="Plain Text"/>
    <w:basedOn w:val="1"/>
    <w:next w:val="6"/>
    <w:link w:val="48"/>
    <w:unhideWhenUsed/>
    <w:qFormat/>
    <w:uiPriority w:val="0"/>
    <w:pPr>
      <w:snapToGrid w:val="0"/>
      <w:spacing w:line="320" w:lineRule="atLeast"/>
    </w:pPr>
    <w:rPr>
      <w:rFonts w:ascii="宋体" w:hAnsi="Courier New"/>
      <w:sz w:val="20"/>
      <w:szCs w:val="20"/>
    </w:rPr>
  </w:style>
  <w:style w:type="paragraph" w:styleId="10">
    <w:name w:val="endnote text"/>
    <w:basedOn w:val="1"/>
    <w:link w:val="51"/>
    <w:semiHidden/>
    <w:unhideWhenUsed/>
    <w:qFormat/>
    <w:uiPriority w:val="99"/>
    <w:pPr>
      <w:snapToGrid w:val="0"/>
      <w:jc w:val="left"/>
    </w:pPr>
  </w:style>
  <w:style w:type="paragraph" w:styleId="11">
    <w:name w:val="Balloon Text"/>
    <w:basedOn w:val="1"/>
    <w:link w:val="26"/>
    <w:unhideWhenUsed/>
    <w:qFormat/>
    <w:uiPriority w:val="0"/>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41"/>
    <w:qFormat/>
    <w:uiPriority w:val="99"/>
    <w:pPr>
      <w:widowControl/>
      <w:spacing w:before="100" w:beforeAutospacing="1" w:after="100" w:afterAutospacing="1"/>
      <w:jc w:val="left"/>
    </w:pPr>
    <w:rPr>
      <w:rFonts w:ascii="宋体" w:hAnsi="宋体"/>
    </w:rPr>
  </w:style>
  <w:style w:type="paragraph" w:styleId="15">
    <w:name w:val="annotation subject"/>
    <w:basedOn w:val="5"/>
    <w:next w:val="5"/>
    <w:link w:val="52"/>
    <w:semiHidden/>
    <w:unhideWhenUsed/>
    <w:qFormat/>
    <w:uiPriority w:val="99"/>
    <w:pPr>
      <w:spacing w:line="240" w:lineRule="auto"/>
      <w:ind w:firstLine="0" w:firstLineChars="0"/>
    </w:pPr>
    <w:rPr>
      <w:rFonts w:eastAsia="宋体" w:cs="Times New Roman"/>
      <w:b/>
      <w:bCs/>
      <w:kern w:val="0"/>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20"/>
    <w:rPr>
      <w:i/>
      <w:iCs/>
    </w:rPr>
  </w:style>
  <w:style w:type="character" w:styleId="22">
    <w:name w:val="Hyperlink"/>
    <w:basedOn w:val="18"/>
    <w:qFormat/>
    <w:uiPriority w:val="0"/>
    <w:rPr>
      <w:color w:val="0000FF"/>
      <w:u w:val="single"/>
    </w:rPr>
  </w:style>
  <w:style w:type="character" w:styleId="23">
    <w:name w:val="annotation reference"/>
    <w:basedOn w:val="18"/>
    <w:qFormat/>
    <w:uiPriority w:val="0"/>
    <w:rPr>
      <w:sz w:val="21"/>
      <w:szCs w:val="21"/>
    </w:rPr>
  </w:style>
  <w:style w:type="paragraph" w:customStyle="1" w:styleId="24">
    <w:name w:val="1正文段落"/>
    <w:basedOn w:val="1"/>
    <w:link w:val="25"/>
    <w:qFormat/>
    <w:uiPriority w:val="0"/>
    <w:pPr>
      <w:spacing w:line="360" w:lineRule="auto"/>
      <w:ind w:firstLine="200" w:firstLineChars="200"/>
    </w:pPr>
    <w:rPr>
      <w:snapToGrid w:val="0"/>
      <w:szCs w:val="21"/>
    </w:rPr>
  </w:style>
  <w:style w:type="character" w:customStyle="1" w:styleId="25">
    <w:name w:val="1正文段落 Char"/>
    <w:link w:val="24"/>
    <w:qFormat/>
    <w:uiPriority w:val="0"/>
    <w:rPr>
      <w:snapToGrid w:val="0"/>
      <w:szCs w:val="21"/>
    </w:rPr>
  </w:style>
  <w:style w:type="character" w:customStyle="1" w:styleId="26">
    <w:name w:val="批注框文本 Char"/>
    <w:basedOn w:val="18"/>
    <w:link w:val="11"/>
    <w:qFormat/>
    <w:uiPriority w:val="0"/>
    <w:rPr>
      <w:sz w:val="18"/>
      <w:szCs w:val="18"/>
    </w:rPr>
  </w:style>
  <w:style w:type="character" w:customStyle="1" w:styleId="27">
    <w:name w:val="批注文字 Char"/>
    <w:basedOn w:val="18"/>
    <w:link w:val="5"/>
    <w:qFormat/>
    <w:uiPriority w:val="0"/>
    <w:rPr>
      <w:rFonts w:eastAsiaTheme="minorEastAsia" w:cstheme="minorBidi"/>
      <w:kern w:val="2"/>
      <w:szCs w:val="22"/>
    </w:rPr>
  </w:style>
  <w:style w:type="character" w:customStyle="1" w:styleId="28">
    <w:name w:val="报告表正文 Char Char"/>
    <w:link w:val="29"/>
    <w:qFormat/>
    <w:uiPriority w:val="0"/>
  </w:style>
  <w:style w:type="paragraph" w:customStyle="1" w:styleId="29">
    <w:name w:val="报告表正文"/>
    <w:basedOn w:val="1"/>
    <w:link w:val="28"/>
    <w:qFormat/>
    <w:uiPriority w:val="0"/>
    <w:pPr>
      <w:adjustRightInd w:val="0"/>
      <w:spacing w:line="312" w:lineRule="auto"/>
      <w:ind w:left="113" w:right="113" w:firstLine="482"/>
      <w:jc w:val="left"/>
      <w:textAlignment w:val="baseline"/>
    </w:pPr>
  </w:style>
  <w:style w:type="character" w:customStyle="1" w:styleId="30">
    <w:name w:val="页眉 Char"/>
    <w:basedOn w:val="18"/>
    <w:link w:val="13"/>
    <w:qFormat/>
    <w:uiPriority w:val="0"/>
    <w:rPr>
      <w:sz w:val="18"/>
      <w:szCs w:val="18"/>
    </w:rPr>
  </w:style>
  <w:style w:type="character" w:customStyle="1" w:styleId="31">
    <w:name w:val="页脚 Char"/>
    <w:basedOn w:val="18"/>
    <w:link w:val="12"/>
    <w:qFormat/>
    <w:uiPriority w:val="99"/>
    <w:rPr>
      <w:sz w:val="18"/>
      <w:szCs w:val="18"/>
    </w:rPr>
  </w:style>
  <w:style w:type="paragraph" w:customStyle="1" w:styleId="32">
    <w:name w:val="Default"/>
    <w:link w:val="3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Default Char Char"/>
    <w:link w:val="32"/>
    <w:qFormat/>
    <w:locked/>
    <w:uiPriority w:val="0"/>
    <w:rPr>
      <w:color w:val="000000"/>
    </w:rPr>
  </w:style>
  <w:style w:type="paragraph" w:styleId="34">
    <w:name w:val="List Paragraph"/>
    <w:basedOn w:val="1"/>
    <w:qFormat/>
    <w:uiPriority w:val="0"/>
    <w:pPr>
      <w:ind w:firstLine="420" w:firstLineChars="200"/>
    </w:pPr>
    <w:rPr>
      <w:kern w:val="2"/>
      <w:sz w:val="21"/>
      <w:szCs w:val="22"/>
    </w:rPr>
  </w:style>
  <w:style w:type="character" w:customStyle="1" w:styleId="35">
    <w:name w:val="表格内文字 Char"/>
    <w:link w:val="36"/>
    <w:qFormat/>
    <w:locked/>
    <w:uiPriority w:val="0"/>
    <w:rPr>
      <w:rFonts w:ascii="仿宋_GB2312" w:hAnsi="Calibri" w:eastAsia="仿宋_GB2312"/>
      <w:spacing w:val="4"/>
      <w:kern w:val="18"/>
    </w:rPr>
  </w:style>
  <w:style w:type="paragraph" w:customStyle="1" w:styleId="36">
    <w:name w:val="表格内文字"/>
    <w:basedOn w:val="1"/>
    <w:link w:val="35"/>
    <w:qFormat/>
    <w:uiPriority w:val="0"/>
    <w:pPr>
      <w:tabs>
        <w:tab w:val="left" w:pos="0"/>
      </w:tabs>
      <w:adjustRightInd w:val="0"/>
      <w:snapToGrid w:val="0"/>
      <w:jc w:val="center"/>
    </w:pPr>
    <w:rPr>
      <w:rFonts w:ascii="仿宋_GB2312" w:hAnsi="Calibri" w:eastAsia="仿宋_GB2312"/>
      <w:spacing w:val="4"/>
      <w:kern w:val="18"/>
    </w:rPr>
  </w:style>
  <w:style w:type="paragraph" w:customStyle="1" w:styleId="37">
    <w:name w:val="表格内容格式"/>
    <w:basedOn w:val="1"/>
    <w:qFormat/>
    <w:uiPriority w:val="0"/>
    <w:pPr>
      <w:adjustRightInd w:val="0"/>
      <w:snapToGrid w:val="0"/>
      <w:jc w:val="center"/>
    </w:pPr>
    <w:rPr>
      <w:sz w:val="21"/>
      <w:szCs w:val="21"/>
    </w:rPr>
  </w:style>
  <w:style w:type="paragraph" w:customStyle="1" w:styleId="38">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style>
  <w:style w:type="paragraph" w:customStyle="1" w:styleId="39">
    <w:name w:val="表格正文"/>
    <w:basedOn w:val="1"/>
    <w:next w:val="1"/>
    <w:link w:val="40"/>
    <w:qFormat/>
    <w:uiPriority w:val="0"/>
    <w:pPr>
      <w:spacing w:line="360" w:lineRule="exact"/>
      <w:jc w:val="center"/>
    </w:pPr>
    <w:rPr>
      <w:kern w:val="2"/>
      <w:sz w:val="21"/>
    </w:rPr>
  </w:style>
  <w:style w:type="character" w:customStyle="1" w:styleId="40">
    <w:name w:val="表格正文 Char"/>
    <w:link w:val="39"/>
    <w:qFormat/>
    <w:locked/>
    <w:uiPriority w:val="0"/>
    <w:rPr>
      <w:kern w:val="2"/>
      <w:sz w:val="21"/>
    </w:rPr>
  </w:style>
  <w:style w:type="character" w:customStyle="1" w:styleId="41">
    <w:name w:val="普通(网站) Char"/>
    <w:link w:val="14"/>
    <w:qFormat/>
    <w:locked/>
    <w:uiPriority w:val="0"/>
    <w:rPr>
      <w:rFonts w:ascii="宋体" w:hAnsi="宋体"/>
    </w:rPr>
  </w:style>
  <w:style w:type="paragraph" w:customStyle="1" w:styleId="42">
    <w:name w:val="Table Paragraph"/>
    <w:basedOn w:val="1"/>
    <w:qFormat/>
    <w:uiPriority w:val="99"/>
    <w:pPr>
      <w:autoSpaceDE w:val="0"/>
      <w:autoSpaceDN w:val="0"/>
      <w:ind w:left="108"/>
      <w:jc w:val="left"/>
    </w:pPr>
    <w:rPr>
      <w:rFonts w:ascii="宋体" w:hAnsi="宋体" w:cs="宋体"/>
      <w:sz w:val="22"/>
      <w:szCs w:val="22"/>
    </w:rPr>
  </w:style>
  <w:style w:type="character" w:customStyle="1" w:styleId="43">
    <w:name w:val="图表标注 Char"/>
    <w:link w:val="44"/>
    <w:qFormat/>
    <w:uiPriority w:val="0"/>
    <w:rPr>
      <w:rFonts w:eastAsia="黑体"/>
    </w:rPr>
  </w:style>
  <w:style w:type="paragraph" w:customStyle="1" w:styleId="44">
    <w:name w:val="图表标注"/>
    <w:basedOn w:val="1"/>
    <w:link w:val="43"/>
    <w:qFormat/>
    <w:uiPriority w:val="0"/>
    <w:pPr>
      <w:spacing w:line="480" w:lineRule="exact"/>
      <w:jc w:val="center"/>
    </w:pPr>
    <w:rPr>
      <w:rFonts w:eastAsia="黑体"/>
    </w:rPr>
  </w:style>
  <w:style w:type="paragraph" w:customStyle="1" w:styleId="45">
    <w:name w:val="样式 表格"/>
    <w:qFormat/>
    <w:uiPriority w:val="0"/>
    <w:pPr>
      <w:widowControl w:val="0"/>
      <w:jc w:val="center"/>
    </w:pPr>
    <w:rPr>
      <w:rFonts w:ascii="宋体" w:hAnsi="宋体" w:eastAsia="宋体" w:cs="宋体"/>
      <w:color w:val="000000"/>
      <w:kern w:val="2"/>
      <w:sz w:val="21"/>
      <w:szCs w:val="21"/>
      <w:lang w:val="en-US" w:eastAsia="zh-CN" w:bidi="ar-SA"/>
    </w:rPr>
  </w:style>
  <w:style w:type="character" w:customStyle="1" w:styleId="46">
    <w:name w:val="纯文本 Char"/>
    <w:basedOn w:val="18"/>
    <w:qFormat/>
    <w:uiPriority w:val="0"/>
    <w:rPr>
      <w:rFonts w:ascii="宋体" w:hAnsi="Courier New" w:cs="Courier New"/>
      <w:sz w:val="21"/>
      <w:szCs w:val="21"/>
    </w:rPr>
  </w:style>
  <w:style w:type="character" w:customStyle="1" w:styleId="47">
    <w:name w:val="称呼 Char"/>
    <w:basedOn w:val="18"/>
    <w:link w:val="6"/>
    <w:qFormat/>
    <w:uiPriority w:val="0"/>
    <w:rPr>
      <w:kern w:val="2"/>
      <w:sz w:val="28"/>
      <w:szCs w:val="20"/>
    </w:rPr>
  </w:style>
  <w:style w:type="character" w:customStyle="1" w:styleId="48">
    <w:name w:val="纯文本 Char1"/>
    <w:link w:val="9"/>
    <w:qFormat/>
    <w:locked/>
    <w:uiPriority w:val="0"/>
    <w:rPr>
      <w:rFonts w:ascii="宋体" w:hAnsi="Courier New"/>
      <w:sz w:val="20"/>
      <w:szCs w:val="20"/>
    </w:rPr>
  </w:style>
  <w:style w:type="paragraph" w:customStyle="1" w:styleId="49">
    <w:name w:val="表格内容"/>
    <w:basedOn w:val="1"/>
    <w:link w:val="50"/>
    <w:qFormat/>
    <w:uiPriority w:val="0"/>
    <w:pPr>
      <w:spacing w:line="240" w:lineRule="atLeast"/>
      <w:jc w:val="center"/>
    </w:pPr>
    <w:rPr>
      <w:kern w:val="2"/>
      <w:sz w:val="21"/>
      <w:szCs w:val="20"/>
    </w:rPr>
  </w:style>
  <w:style w:type="character" w:customStyle="1" w:styleId="50">
    <w:name w:val="表格内容 Char Char"/>
    <w:link w:val="49"/>
    <w:qFormat/>
    <w:uiPriority w:val="0"/>
    <w:rPr>
      <w:kern w:val="2"/>
      <w:sz w:val="21"/>
      <w:szCs w:val="20"/>
    </w:rPr>
  </w:style>
  <w:style w:type="character" w:customStyle="1" w:styleId="51">
    <w:name w:val="尾注文本 Char"/>
    <w:basedOn w:val="18"/>
    <w:link w:val="10"/>
    <w:semiHidden/>
    <w:qFormat/>
    <w:uiPriority w:val="99"/>
  </w:style>
  <w:style w:type="character" w:customStyle="1" w:styleId="52">
    <w:name w:val="批注主题 Char"/>
    <w:basedOn w:val="27"/>
    <w:link w:val="15"/>
    <w:semiHidden/>
    <w:qFormat/>
    <w:uiPriority w:val="99"/>
    <w:rPr>
      <w:rFonts w:eastAsiaTheme="minorEastAsia" w:cstheme="minorBidi"/>
      <w:b/>
      <w:bCs/>
      <w:kern w:val="2"/>
      <w:szCs w:val="22"/>
    </w:rPr>
  </w:style>
  <w:style w:type="paragraph" w:customStyle="1" w:styleId="53">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54">
    <w:name w:val="正文_7"/>
    <w:qFormat/>
    <w:uiPriority w:val="0"/>
    <w:pPr>
      <w:widowControl w:val="0"/>
      <w:jc w:val="both"/>
    </w:pPr>
    <w:rPr>
      <w:rFonts w:ascii="Calibri" w:hAnsi="Calibri" w:eastAsia="宋体" w:cs="Times New Roman"/>
      <w:kern w:val="2"/>
      <w:sz w:val="21"/>
      <w:lang w:val="en-US" w:eastAsia="zh-CN" w:bidi="ar-SA"/>
    </w:rPr>
  </w:style>
  <w:style w:type="paragraph" w:customStyle="1" w:styleId="55">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56">
    <w:name w:val="正文_10"/>
    <w:qFormat/>
    <w:uiPriority w:val="0"/>
    <w:pPr>
      <w:widowControl w:val="0"/>
      <w:jc w:val="both"/>
    </w:pPr>
    <w:rPr>
      <w:rFonts w:ascii="Calibri" w:hAnsi="Calibri" w:eastAsia="宋体" w:cs="Times New Roman"/>
      <w:kern w:val="2"/>
      <w:sz w:val="21"/>
      <w:lang w:val="en-US" w:eastAsia="zh-CN" w:bidi="ar-SA"/>
    </w:rPr>
  </w:style>
  <w:style w:type="paragraph" w:customStyle="1" w:styleId="57">
    <w:name w:val="正文_6"/>
    <w:qFormat/>
    <w:uiPriority w:val="0"/>
    <w:pPr>
      <w:widowControl w:val="0"/>
      <w:jc w:val="both"/>
    </w:pPr>
    <w:rPr>
      <w:rFonts w:ascii="Calibri" w:hAnsi="Calibri" w:eastAsia="宋体" w:cs="Times New Roman"/>
      <w:kern w:val="2"/>
      <w:sz w:val="21"/>
      <w:lang w:val="en-US" w:eastAsia="zh-CN" w:bidi="ar-SA"/>
    </w:rPr>
  </w:style>
  <w:style w:type="paragraph" w:customStyle="1" w:styleId="58">
    <w:name w:val="正文_16"/>
    <w:qFormat/>
    <w:uiPriority w:val="0"/>
    <w:pPr>
      <w:widowControl w:val="0"/>
      <w:jc w:val="both"/>
    </w:pPr>
    <w:rPr>
      <w:rFonts w:ascii="Calibri" w:hAnsi="Calibri" w:eastAsia="宋体" w:cs="Times New Roman"/>
      <w:kern w:val="2"/>
      <w:sz w:val="21"/>
      <w:lang w:val="en-US" w:eastAsia="zh-CN" w:bidi="ar-SA"/>
    </w:rPr>
  </w:style>
  <w:style w:type="paragraph" w:customStyle="1" w:styleId="59">
    <w:name w:val="正文_14"/>
    <w:qFormat/>
    <w:uiPriority w:val="0"/>
    <w:pPr>
      <w:widowControl w:val="0"/>
      <w:jc w:val="both"/>
    </w:pPr>
    <w:rPr>
      <w:rFonts w:ascii="Calibri" w:hAnsi="Calibri" w:eastAsia="宋体" w:cs="Times New Roman"/>
      <w:kern w:val="2"/>
      <w:sz w:val="21"/>
      <w:lang w:val="en-US" w:eastAsia="zh-CN" w:bidi="ar-SA"/>
    </w:rPr>
  </w:style>
  <w:style w:type="character" w:customStyle="1" w:styleId="60">
    <w:name w:val="书籍标题1"/>
    <w:qFormat/>
    <w:uiPriority w:val="0"/>
    <w:rPr>
      <w:b/>
      <w:smallCaps/>
      <w:spacing w:val="5"/>
    </w:rPr>
  </w:style>
  <w:style w:type="paragraph" w:customStyle="1" w:styleId="61">
    <w:name w:val="正文_13"/>
    <w:qFormat/>
    <w:uiPriority w:val="0"/>
    <w:pPr>
      <w:widowControl w:val="0"/>
      <w:jc w:val="both"/>
    </w:pPr>
    <w:rPr>
      <w:rFonts w:ascii="Calibri" w:hAnsi="Calibri" w:eastAsia="宋体" w:cs="Times New Roman"/>
      <w:kern w:val="2"/>
      <w:sz w:val="21"/>
      <w:lang w:val="en-US" w:eastAsia="zh-CN" w:bidi="ar-SA"/>
    </w:rPr>
  </w:style>
  <w:style w:type="paragraph" w:customStyle="1" w:styleId="62">
    <w:name w:val="正文_15"/>
    <w:qFormat/>
    <w:uiPriority w:val="0"/>
    <w:pPr>
      <w:widowControl w:val="0"/>
      <w:jc w:val="both"/>
    </w:pPr>
    <w:rPr>
      <w:rFonts w:ascii="Calibri" w:hAnsi="Calibri" w:eastAsia="宋体" w:cs="Times New Roman"/>
      <w:kern w:val="2"/>
      <w:sz w:val="21"/>
      <w:lang w:val="en-US" w:eastAsia="zh-CN" w:bidi="ar-SA"/>
    </w:rPr>
  </w:style>
  <w:style w:type="character" w:customStyle="1" w:styleId="63">
    <w:name w:val="彩色网格 - 强调文字颜色 1 Char"/>
    <w:link w:val="64"/>
    <w:qFormat/>
    <w:uiPriority w:val="0"/>
    <w:rPr>
      <w:rFonts w:eastAsia="仿宋_GB2312"/>
    </w:rPr>
  </w:style>
  <w:style w:type="paragraph" w:customStyle="1" w:styleId="64">
    <w:name w:val="彩色网格 - 强调文字颜色 11"/>
    <w:basedOn w:val="1"/>
    <w:next w:val="1"/>
    <w:link w:val="63"/>
    <w:qFormat/>
    <w:uiPriority w:val="0"/>
    <w:pPr>
      <w:widowControl/>
      <w:adjustRightInd w:val="0"/>
      <w:snapToGrid w:val="0"/>
      <w:spacing w:after="160" w:line="259" w:lineRule="auto"/>
      <w:ind w:firstLine="200" w:firstLineChars="200"/>
      <w:jc w:val="left"/>
    </w:pPr>
    <w:rPr>
      <w:rFonts w:eastAsia="仿宋_GB2312"/>
    </w:rPr>
  </w:style>
  <w:style w:type="paragraph" w:customStyle="1" w:styleId="65">
    <w:name w:val="正文_17"/>
    <w:qFormat/>
    <w:uiPriority w:val="0"/>
    <w:pPr>
      <w:widowControl w:val="0"/>
      <w:jc w:val="both"/>
    </w:pPr>
    <w:rPr>
      <w:rFonts w:ascii="Calibri" w:hAnsi="Calibri" w:eastAsia="宋体" w:cs="Times New Roman"/>
      <w:kern w:val="2"/>
      <w:sz w:val="21"/>
      <w:lang w:val="en-US" w:eastAsia="zh-CN" w:bidi="ar-SA"/>
    </w:rPr>
  </w:style>
  <w:style w:type="paragraph" w:customStyle="1" w:styleId="66">
    <w:name w:val="正文_3"/>
    <w:qFormat/>
    <w:uiPriority w:val="0"/>
    <w:pPr>
      <w:widowControl w:val="0"/>
      <w:jc w:val="both"/>
    </w:pPr>
    <w:rPr>
      <w:rFonts w:ascii="Calibri" w:hAnsi="Calibri" w:eastAsia="宋体" w:cs="Times New Roman"/>
      <w:kern w:val="2"/>
      <w:sz w:val="21"/>
      <w:lang w:val="en-US" w:eastAsia="zh-CN" w:bidi="ar-SA"/>
    </w:rPr>
  </w:style>
  <w:style w:type="paragraph" w:customStyle="1" w:styleId="67">
    <w:name w:val="正文_12"/>
    <w:qFormat/>
    <w:uiPriority w:val="0"/>
    <w:pPr>
      <w:widowControl w:val="0"/>
      <w:jc w:val="both"/>
    </w:pPr>
    <w:rPr>
      <w:rFonts w:ascii="Calibri" w:hAnsi="Calibri" w:eastAsia="宋体" w:cs="Times New Roman"/>
      <w:kern w:val="2"/>
      <w:sz w:val="21"/>
      <w:lang w:val="en-US" w:eastAsia="zh-CN" w:bidi="ar-SA"/>
    </w:rPr>
  </w:style>
  <w:style w:type="paragraph" w:customStyle="1" w:styleId="68">
    <w:name w:val="正文_11"/>
    <w:qFormat/>
    <w:uiPriority w:val="0"/>
    <w:pPr>
      <w:widowControl w:val="0"/>
      <w:jc w:val="both"/>
    </w:pPr>
    <w:rPr>
      <w:rFonts w:ascii="Calibri" w:hAnsi="Calibri" w:eastAsia="宋体" w:cs="Times New Roman"/>
      <w:kern w:val="2"/>
      <w:sz w:val="21"/>
      <w:lang w:val="en-US" w:eastAsia="zh-CN" w:bidi="ar-SA"/>
    </w:rPr>
  </w:style>
  <w:style w:type="character" w:customStyle="1" w:styleId="69">
    <w:name w:val="表格正文 Char Char"/>
    <w:qFormat/>
    <w:uiPriority w:val="0"/>
    <w:rPr>
      <w:kern w:val="2"/>
      <w:sz w:val="21"/>
    </w:rPr>
  </w:style>
  <w:style w:type="character" w:customStyle="1" w:styleId="70">
    <w:name w:val="批注文字 Char1"/>
    <w:basedOn w:val="18"/>
    <w:qFormat/>
    <w:uiPriority w:val="0"/>
    <w:rPr>
      <w:rFonts w:ascii="Calibri" w:hAnsi="Calibri"/>
      <w:kern w:val="2"/>
      <w:sz w:val="21"/>
      <w:szCs w:val="24"/>
    </w:rPr>
  </w:style>
  <w:style w:type="character" w:customStyle="1" w:styleId="71">
    <w:name w:val="报告表正文 Char"/>
    <w:qFormat/>
    <w:locked/>
    <w:uiPriority w:val="0"/>
    <w:rPr>
      <w:sz w:val="24"/>
    </w:rPr>
  </w:style>
  <w:style w:type="table" w:customStyle="1" w:styleId="72">
    <w:name w:val="Table Normal"/>
    <w:semiHidden/>
    <w:unhideWhenUsed/>
    <w:qFormat/>
    <w:uiPriority w:val="2"/>
    <w:rPr>
      <w:rFonts w:ascii="Arial" w:hAnsi="Arial" w:cs="Arial" w:eastAsiaTheme="minorEastAsia"/>
    </w:rPr>
    <w:tblPr>
      <w:tblCellMar>
        <w:top w:w="0" w:type="dxa"/>
        <w:left w:w="0" w:type="dxa"/>
        <w:bottom w:w="0" w:type="dxa"/>
        <w:right w:w="0" w:type="dxa"/>
      </w:tblCellMar>
    </w:tblPr>
  </w:style>
  <w:style w:type="paragraph" w:customStyle="1" w:styleId="73">
    <w:name w:val="表内文字"/>
    <w:basedOn w:val="1"/>
    <w:link w:val="74"/>
    <w:unhideWhenUsed/>
    <w:qFormat/>
    <w:uiPriority w:val="0"/>
    <w:pPr>
      <w:wordWrap w:val="0"/>
      <w:adjustRightInd w:val="0"/>
      <w:snapToGrid w:val="0"/>
      <w:jc w:val="center"/>
      <w:textAlignment w:val="baseline"/>
    </w:pPr>
    <w:rPr>
      <w:kern w:val="2"/>
      <w:sz w:val="21"/>
    </w:rPr>
  </w:style>
  <w:style w:type="character" w:customStyle="1" w:styleId="74">
    <w:name w:val="表内文字 Char"/>
    <w:link w:val="73"/>
    <w:qFormat/>
    <w:uiPriority w:val="0"/>
    <w:rPr>
      <w:kern w:val="2"/>
      <w:sz w:val="21"/>
    </w:rPr>
  </w:style>
  <w:style w:type="paragraph" w:customStyle="1" w:styleId="75">
    <w:name w:val="表头"/>
    <w:basedOn w:val="1"/>
    <w:qFormat/>
    <w:uiPriority w:val="0"/>
    <w:pPr>
      <w:wordWrap w:val="0"/>
      <w:spacing w:line="480" w:lineRule="exact"/>
      <w:jc w:val="center"/>
    </w:pPr>
    <w:rPr>
      <w:b/>
      <w:kern w:val="2"/>
      <w:sz w:val="21"/>
      <w:szCs w:val="21"/>
    </w:rPr>
  </w:style>
  <w:style w:type="character" w:customStyle="1" w:styleId="76">
    <w:name w:val="标题 4 Char"/>
    <w:basedOn w:val="18"/>
    <w:link w:val="4"/>
    <w:qFormat/>
    <w:uiPriority w:val="0"/>
    <w:rPr>
      <w:b/>
      <w:spacing w:val="-11"/>
      <w:kern w:val="2"/>
    </w:rPr>
  </w:style>
  <w:style w:type="character" w:customStyle="1" w:styleId="77">
    <w:name w:val="标题 1 Char"/>
    <w:basedOn w:val="18"/>
    <w:link w:val="2"/>
    <w:qFormat/>
    <w:uiPriority w:val="9"/>
    <w:rPr>
      <w:b/>
      <w:bCs/>
      <w:kern w:val="44"/>
      <w:sz w:val="44"/>
      <w:szCs w:val="44"/>
    </w:rPr>
  </w:style>
  <w:style w:type="paragraph" w:customStyle="1" w:styleId="78">
    <w:name w:val="A标准格式"/>
    <w:basedOn w:val="1"/>
    <w:autoRedefine/>
    <w:qFormat/>
    <w:uiPriority w:val="0"/>
    <w:pPr>
      <w:spacing w:line="440" w:lineRule="exact"/>
      <w:ind w:firstLine="480" w:firstLineChars="200"/>
      <w:jc w:val="left"/>
    </w:pPr>
    <w:rPr>
      <w:kern w:val="2"/>
      <w:szCs w:val="22"/>
    </w:rPr>
  </w:style>
  <w:style w:type="character" w:styleId="79">
    <w:name w:val="Placeholder Text"/>
    <w:basedOn w:val="18"/>
    <w:unhideWhenUsed/>
    <w:qFormat/>
    <w:uiPriority w:val="99"/>
    <w:rPr>
      <w:color w:val="808080"/>
    </w:rPr>
  </w:style>
  <w:style w:type="character" w:customStyle="1" w:styleId="80">
    <w:name w:val="+正文 Char Char"/>
    <w:link w:val="81"/>
    <w:qFormat/>
    <w:uiPriority w:val="0"/>
    <w:rPr>
      <w:sz w:val="24"/>
      <w:szCs w:val="28"/>
    </w:rPr>
  </w:style>
  <w:style w:type="paragraph" w:customStyle="1" w:styleId="81">
    <w:name w:val="+正文"/>
    <w:basedOn w:val="1"/>
    <w:link w:val="80"/>
    <w:qFormat/>
    <w:uiPriority w:val="0"/>
    <w:pPr>
      <w:spacing w:line="360" w:lineRule="auto"/>
      <w:ind w:firstLine="200" w:firstLineChars="200"/>
    </w:pPr>
    <w:rPr>
      <w:szCs w:val="28"/>
    </w:rPr>
  </w:style>
  <w:style w:type="character" w:customStyle="1" w:styleId="82">
    <w:name w:val="text_qs7xs"/>
    <w:basedOn w:val="18"/>
    <w:qFormat/>
    <w:uiPriority w:val="0"/>
  </w:style>
  <w:style w:type="paragraph" w:customStyle="1" w:styleId="83">
    <w:name w:val="修订1"/>
    <w:hidden/>
    <w:semiHidden/>
    <w:qFormat/>
    <w:uiPriority w:val="99"/>
    <w:rPr>
      <w:rFonts w:ascii="Times New Roman" w:hAnsi="Times New Roman" w:eastAsia="宋体" w:cs="Times New Roman"/>
      <w:sz w:val="24"/>
      <w:szCs w:val="24"/>
      <w:lang w:val="en-US" w:eastAsia="zh-CN" w:bidi="ar-SA"/>
    </w:rPr>
  </w:style>
  <w:style w:type="character" w:customStyle="1" w:styleId="84">
    <w:name w:val="表格 Char"/>
    <w:link w:val="85"/>
    <w:qFormat/>
    <w:locked/>
    <w:uiPriority w:val="0"/>
    <w:rPr>
      <w:rFonts w:ascii="宋体"/>
    </w:rPr>
  </w:style>
  <w:style w:type="paragraph" w:customStyle="1" w:styleId="85">
    <w:name w:val="表格"/>
    <w:basedOn w:val="1"/>
    <w:next w:val="1"/>
    <w:link w:val="84"/>
    <w:qFormat/>
    <w:uiPriority w:val="0"/>
    <w:pPr>
      <w:adjustRightInd w:val="0"/>
      <w:snapToGrid w:val="0"/>
      <w:spacing w:beforeLines="10" w:afterLines="10" w:line="259" w:lineRule="auto"/>
      <w:jc w:val="center"/>
    </w:pPr>
    <w:rPr>
      <w:rFonts w:ascii="宋体"/>
      <w:sz w:val="20"/>
      <w:szCs w:val="20"/>
    </w:rPr>
  </w:style>
  <w:style w:type="character" w:customStyle="1" w:styleId="86">
    <w:name w:val="2 表格内容 Char"/>
    <w:link w:val="87"/>
    <w:qFormat/>
    <w:uiPriority w:val="0"/>
    <w:rPr>
      <w:szCs w:val="21"/>
    </w:rPr>
  </w:style>
  <w:style w:type="paragraph" w:customStyle="1" w:styleId="87">
    <w:name w:val="2 表格内容"/>
    <w:basedOn w:val="1"/>
    <w:link w:val="86"/>
    <w:qFormat/>
    <w:uiPriority w:val="0"/>
    <w:pPr>
      <w:adjustRightInd w:val="0"/>
      <w:snapToGrid w:val="0"/>
      <w:spacing w:line="320" w:lineRule="exact"/>
      <w:jc w:val="center"/>
    </w:pPr>
    <w:rPr>
      <w:sz w:val="20"/>
      <w:szCs w:val="21"/>
    </w:rPr>
  </w:style>
  <w:style w:type="character" w:customStyle="1" w:styleId="88">
    <w:name w:val="font01"/>
    <w:basedOn w:val="18"/>
    <w:qFormat/>
    <w:uiPriority w:val="0"/>
    <w:rPr>
      <w:rFonts w:hint="eastAsia" w:ascii="宋体" w:hAnsi="宋体" w:eastAsia="宋体" w:cs="宋体"/>
      <w:color w:val="000000"/>
      <w:sz w:val="22"/>
      <w:szCs w:val="22"/>
      <w:u w:val="none"/>
    </w:rPr>
  </w:style>
  <w:style w:type="character" w:customStyle="1" w:styleId="89">
    <w:name w:val="font11"/>
    <w:basedOn w:val="18"/>
    <w:qFormat/>
    <w:uiPriority w:val="0"/>
    <w:rPr>
      <w:rFonts w:hint="eastAsia" w:ascii="宋体" w:hAnsi="宋体" w:eastAsia="宋体" w:cs="宋体"/>
      <w:color w:val="000000"/>
      <w:sz w:val="22"/>
      <w:szCs w:val="22"/>
      <w:u w:val="none"/>
      <w:vertAlign w:val="subscript"/>
    </w:rPr>
  </w:style>
  <w:style w:type="paragraph" w:customStyle="1" w:styleId="90">
    <w:name w:val="Table Text"/>
    <w:basedOn w:val="1"/>
    <w:semiHidden/>
    <w:qFormat/>
    <w:uiPriority w:val="0"/>
    <w:pPr>
      <w:widowControl/>
      <w:kinsoku w:val="0"/>
      <w:autoSpaceDE w:val="0"/>
      <w:autoSpaceDN w:val="0"/>
      <w:adjustRightInd w:val="0"/>
      <w:snapToGrid w:val="0"/>
      <w:spacing w:line="360" w:lineRule="auto"/>
      <w:jc w:val="left"/>
      <w:textAlignment w:val="baseline"/>
    </w:pPr>
    <w:rPr>
      <w:rFonts w:ascii="宋体" w:hAnsi="宋体" w:cs="宋体"/>
      <w:color w:val="000000"/>
    </w:rPr>
  </w:style>
  <w:style w:type="character" w:customStyle="1" w:styleId="91">
    <w:name w:val="15"/>
    <w:basedOn w:val="18"/>
    <w:qFormat/>
    <w:uiPriority w:val="0"/>
    <w:rPr>
      <w:rFonts w:hint="default" w:ascii="Times New Roman" w:hAnsi="Times New Roman" w:cs="Times New Roman"/>
      <w:sz w:val="21"/>
      <w:szCs w:val="21"/>
    </w:rPr>
  </w:style>
  <w:style w:type="paragraph" w:customStyle="1" w:styleId="92">
    <w:name w:val="什么3"/>
    <w:basedOn w:val="1"/>
    <w:qFormat/>
    <w:uiPriority w:val="0"/>
    <w:pPr>
      <w:tabs>
        <w:tab w:val="left" w:pos="794"/>
        <w:tab w:val="left" w:pos="1304"/>
      </w:tabs>
      <w:spacing w:line="360" w:lineRule="auto"/>
      <w:ind w:firstLine="480" w:firstLineChars="200"/>
    </w:pPr>
  </w:style>
  <w:style w:type="paragraph" w:customStyle="1" w:styleId="93">
    <w:name w:val="正文2"/>
    <w:basedOn w:val="1"/>
    <w:qFormat/>
    <w:uiPriority w:val="0"/>
    <w:pPr>
      <w:adjustRightInd w:val="0"/>
      <w:snapToGrid w:val="0"/>
      <w:spacing w:line="440" w:lineRule="atLeast"/>
      <w:ind w:firstLine="51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pn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5"/>
    <customShpInfo spid="_x0000_s2056"/>
    <customShpInfo spid="_x0000_s2057"/>
    <customShpInfo spid="_x0000_s2058"/>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52"/>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9"/>
    <customShpInfo spid="_x0000_s2110"/>
    <customShpInfo spid="_x0000_s2111"/>
    <customShpInfo spid="_x0000_s2113"/>
    <customShpInfo spid="_x0000_s2114"/>
    <customShpInfo spid="_x0000_s2116"/>
    <customShpInfo spid="_x0000_s2120"/>
    <customShpInfo spid="_x0000_s2122"/>
    <customShpInfo spid="_x0000_s2123"/>
    <customShpInfo spid="_x0000_s2124"/>
    <customShpInfo spid="_x0000_s2126"/>
    <customShpInfo spid="_x0000_s2127"/>
    <customShpInfo spid="_x0000_s2128"/>
    <customShpInfo spid="_x0000_s2129"/>
    <customShpInfo spid="_x0000_s2132"/>
    <customShpInfo spid="_x0000_s2133"/>
    <customShpInfo spid="_x0000_s2134"/>
    <customShpInfo spid="_x0000_s2135"/>
    <customShpInfo spid="_x0000_s2138"/>
    <customShpInfo spid="_x0000_s2139"/>
    <customShpInfo spid="_x0000_s2141"/>
    <customShpInfo spid="_x0000_s2142"/>
    <customShpInfo spid="_x0000_s2144"/>
    <customShpInfo spid="_x0000_s2145"/>
    <customShpInfo spid="_x0000_s2146"/>
    <customShpInfo spid="_x0000_s2157"/>
    <customShpInfo spid="_x0000_s2158"/>
    <customShpInfo spid="_x0000_s2159"/>
    <customShpInfo spid="_x0000_s2085"/>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60"/>
    <customShpInfo spid="_x0000_s2200"/>
    <customShpInfo spid="_x0000_s2201"/>
    <customShpInfo spid="_x0000_s2206"/>
    <customShpInfo spid="_x0000_s2207"/>
    <customShpInfo spid="_x0000_s2208"/>
    <customShpInfo spid="_x0000_s2209"/>
    <customShpInfo spid="_x0000_s2210"/>
    <customShpInfo spid="_x0000_s2213"/>
    <customShpInfo spid="_x0000_s2214"/>
    <customShpInfo spid="_x0000_s2216"/>
    <customShpInfo spid="_x0000_s2217"/>
    <customShpInfo spid="_x0000_s2241"/>
    <customShpInfo spid="_x0000_s21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1f7058ea-e6aa-4f36-acdc-cfb0e5f7def7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468043B3</paraID>
      <start>0</start>
      <end>2</end>
      <status>ignored</status>
      <modifiedWord/>
      <trackRevisions>false</trackRevisions>
    </reviewItem>
    <reviewItem>
      <errorID>27e3caf4-c9c0-49d8-8b06-a2955c9a6189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2AE8B904</paraID>
      <start>0</start>
      <end>2</end>
      <status>ignored</status>
      <modifiedWord/>
      <trackRevisions>false</trackRevisions>
    </reviewItem>
    <reviewItem>
      <errorID>a211e1a4-4577-4590-91c2-79070c5fc207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79CCFAE4</paraID>
      <start>0</start>
      <end>2</end>
      <status>ignored</status>
      <modifiedWord/>
      <trackRevisions>false</trackRevisions>
    </reviewItem>
    <reviewItem>
      <errorID>e4741b30-98c0-4148-bddc-62d6faad4713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58F893B</paraID>
      <start>0</start>
      <end>2</end>
      <status>ignored</status>
      <modifiedWord/>
      <trackRevisions>false</trackRevisions>
    </reviewItem>
    <reviewItem>
      <errorID>ceeaaac1-7c89-4a25-adea-097888008dda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58F893B</paraID>
      <start>19</start>
      <end>21</end>
      <status>modified</status>
      <modifiedWord>》《</modifiedWord>
      <trackRevisions>false</trackRevisions>
    </reviewItem>
    <reviewItem>
      <errorID>e7c663c2-2ef3-43c2-9dd5-0583f3de325d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91849C6</paraID>
      <start>0</start>
      <end>3</end>
      <status>modified</status>
      <modifiedWord>（1）</modifiedWord>
      <trackRevisions>false</trackRevisions>
    </reviewItem>
    <reviewItem>
      <errorID>a406eaed-368a-47d6-8e83-42efe1648e7c</errorID>
      <errorWord>安微省</errorWord>
      <group>L1_Knowledge</group>
      <groupName>知识性问题</groupName>
      <ability>L2_Knowledge</ability>
      <abilityName>其他知识</abilityName>
      <candidateList>
        <item>安徽省</item>
      </candidateList>
      <explain/>
      <paraID>2D7CD81D</paraID>
      <start>5</start>
      <end>8</end>
      <status>ignored</status>
      <modifiedWord/>
      <trackRevisions>false</trackRevisions>
    </reviewItem>
    <reviewItem>
      <errorID>ae26b2c3-0081-4436-9e8f-c8e56cfc9ed9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2D7CD81D</paraID>
      <start>93</start>
      <end>94</end>
      <status>ignored</status>
      <modifiedWord/>
      <trackRevisions>false</trackRevisions>
    </reviewItem>
    <reviewItem>
      <errorID>ca2980bd-0491-4d9d-b491-765064d239d5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7AB5160</paraID>
      <start>0</start>
      <end>3</end>
      <status>modified</status>
      <modifiedWord>（2）</modifiedWord>
      <trackRevisions>false</trackRevisions>
    </reviewItem>
    <reviewItem>
      <errorID>60039820-fb81-4532-8ad1-fce60ae7d09f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58B39156</paraID>
      <start>38</start>
      <end>41</end>
      <status>ignored</status>
      <modifiedWord/>
      <trackRevisions>false</trackRevisions>
    </reviewItem>
    <reviewItem>
      <errorID>2743ca02-cbf1-4b94-9881-5701d3ce74b8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58B39156</paraID>
      <start>60</start>
      <end>63</end>
      <status>ignored</status>
      <modifiedWord/>
      <trackRevisions>false</trackRevisions>
    </reviewItem>
    <reviewItem>
      <errorID>905e6e81-f17c-4f74-ab89-10f07909d1a6</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24A838E3</paraID>
      <start>23</start>
      <end>43</end>
      <status>modified</status>
      <modifiedWord>《产业结构调整指导目录（2024年本）》</modifiedWord>
      <trackRevisions>false</trackRevisions>
    </reviewItem>
    <reviewItem>
      <errorID>782905ad-8128-4f16-b393-f449d9f5fec9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24A838E3</paraID>
      <start>64</start>
      <end>67</end>
      <status>ignored</status>
      <modifiedWord/>
      <trackRevisions>false</trackRevisions>
    </reviewItem>
    <reviewItem>
      <errorID>1d2bea79-e093-43f8-8851-49b5fe1b3a5b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16D1005E</paraID>
      <start>0</start>
      <end>2</end>
      <status>ignored</status>
      <modifiedWord/>
      <trackRevisions>false</trackRevisions>
    </reviewItem>
    <reviewItem>
      <errorID>dbb5ca40-5ad2-4d87-94b2-a20b377bd046</errorID>
      <errorWord>安微省</errorWord>
      <group>L1_Knowledge</group>
      <groupName>知识性问题</groupName>
      <ability>L2_Knowledge</ability>
      <abilityName>其他知识</abilityName>
      <candidateList>
        <item>安徽省</item>
      </candidateList>
      <explain/>
      <paraID>197E835E</paraID>
      <start>5</start>
      <end>8</end>
      <status>ignored</status>
      <modifiedWord/>
      <trackRevisions>false</trackRevisions>
    </reviewItem>
    <reviewItem>
      <errorID>b12ff6e9-17fb-41d5-b1a7-306cb57d89f5</errorID>
      <errorWord>涉及到</errorWord>
      <group>L1_Grammar</group>
      <groupName>语法问题</groupName>
      <ability>L2_Grammar</ability>
      <abilityName>语法错误</abilityName>
      <candidateList>
        <item>涉及</item>
      </candidateList>
      <explain>〈动〉牵涉到；关联到：案子～好几个人｜这个问题～面很广。</explain>
      <paraID>41F2E51F</paraID>
      <start>54</start>
      <end>56</end>
      <status>modified</status>
      <modifiedWord>涉及</modifiedWord>
      <trackRevisions>false</trackRevisions>
    </reviewItem>
    <reviewItem>
      <errorID>9fac6b05-6f50-47ca-a70e-5b7ff01ccb64</errorID>
      <errorWord>《产业结构调整目录》（2024年本）</errorWord>
      <group>L1_Knowledge</group>
      <groupName>知识性问题</groupName>
      <ability>L2_Knowledge</ability>
      <abilityName>其他知识</abilityName>
      <candidateList>
        <item>《产业结构调整目录（2024年本）》</item>
      </candidateList>
      <explain>疑似政策文件、法律法规名称等书写不规范，请注意检查。</explain>
      <paraID>41F2E51F</paraID>
      <start>68</start>
      <end>86</end>
      <status>modified</status>
      <modifiedWord>《产业结构调整目录（2024年本）》</modifiedWord>
      <trackRevisions>false</trackRevisions>
    </reviewItem>
    <reviewItem>
      <errorID>8cf81c27-4864-434d-a3b6-71efc1ac8353</errorID>
      <errorWord>胶粘剂</errorWord>
      <group>L1_Word</group>
      <groupName>字词问题</groupName>
      <ability>L2_Typo</ability>
      <abilityName>字词错误</abilityName>
      <candidateList>
        <item>胶黏剂</item>
      </candidateList>
      <explain/>
      <paraID>46BD1CAC</paraID>
      <start>91</start>
      <end>94</end>
      <status>ignored</status>
      <modifiedWord/>
      <trackRevisions>false</trackRevisions>
    </reviewItem>
    <reviewItem>
      <errorID>fa3b7394-c1aa-4e61-b8b3-f91923ac571b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2278C9E9</paraID>
      <start>0</start>
      <end>2</end>
      <status>ignored</status>
      <modifiedWord/>
      <trackRevisions>false</trackRevisions>
    </reviewItem>
    <reviewItem>
      <errorID>3acbca57-4433-4f87-9421-6fd598eeb3be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5B2A4427</paraID>
      <start>0</start>
      <end>2</end>
      <status>ignored</status>
      <modifiedWord/>
      <trackRevisions>false</trackRevisions>
    </reviewItem>
    <reviewItem>
      <errorID>87cf6a03-5885-4f75-a54b-f87be4681d11</errorID>
      <errorWord>安微省</errorWord>
      <group>L1_Knowledge</group>
      <groupName>知识性问题</groupName>
      <ability>L2_Knowledge</ability>
      <abilityName>其他知识</abilityName>
      <candidateList>
        <item>安徽省</item>
      </candidateList>
      <explain/>
      <paraID>31280782</paraID>
      <start>5</start>
      <end>8</end>
      <status>ignored</status>
      <modifiedWord/>
      <trackRevisions>false</trackRevisions>
    </reviewItem>
    <reviewItem>
      <errorID>62e025fd-c263-406d-888a-1d4bbe48984b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7CCF1F55</paraID>
      <start>0</start>
      <end>2</end>
      <status>ignored</status>
      <modifiedWord/>
      <trackRevisions>false</trackRevisions>
    </reviewItem>
    <reviewItem>
      <errorID>021ee977-ee61-4748-ad3c-d101cf628529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5640603</paraID>
      <start>0</start>
      <end>2</end>
      <status>ignored</status>
      <modifiedWord/>
      <trackRevisions>false</trackRevisions>
    </reviewItem>
    <reviewItem>
      <errorID>52714897-3592-42ae-ac94-edf8c3dd48c3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1EB5E0EB</paraID>
      <start>0</start>
      <end>2</end>
      <status>ignored</status>
      <modifiedWord/>
      <trackRevisions>false</trackRevisions>
    </reviewItem>
    <reviewItem>
      <errorID>6923a1bd-10f4-47b8-b42e-6a8080b2dfed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65C709EA</paraID>
      <start>0</start>
      <end>2</end>
      <status>ignored</status>
      <modifiedWord/>
      <trackRevisions>false</trackRevisions>
    </reviewItem>
    <reviewItem>
      <errorID>e6f6105a-4ad7-421a-8e54-2767552a7cdd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65926045</paraID>
      <start>0</start>
      <end>2</end>
      <status>ignored</status>
      <modifiedWord/>
      <trackRevisions>false</trackRevisions>
    </reviewItem>
    <reviewItem>
      <errorID>41ec9e99-b069-4932-bae9-70a4413d5755</errorID>
      <errorWord>胶粘剂</errorWord>
      <group>L1_Word</group>
      <groupName>字词问题</groupName>
      <ability>L2_Typo</ability>
      <abilityName>字词错误</abilityName>
      <candidateList>
        <item>胶黏剂</item>
      </candidateList>
      <explain/>
      <paraID>3AFC0347</paraID>
      <start>23</start>
      <end>26</end>
      <status>ignored</status>
      <modifiedWord/>
      <trackRevisions>false</trackRevisions>
    </reviewItem>
    <reviewItem>
      <errorID>7aa7c62c-090e-46aa-a3c8-b766434f96fa</errorID>
      <errorWord>胶粘</errorWord>
      <group>L1_Word</group>
      <groupName>字词问题</groupName>
      <ability>L2_Typo</ability>
      <abilityName>字词错误</abilityName>
      <candidateList>
        <item>胶黏</item>
      </candidateList>
      <explain/>
      <paraID>3AFC0347</paraID>
      <start>84</start>
      <end>86</end>
      <status>ignored</status>
      <modifiedWord/>
      <trackRevisions>false</trackRevisions>
    </reviewItem>
    <reviewItem>
      <errorID>91fbeeea-b552-4299-9af0-cfd2802fd77c</errorID>
      <errorWord>胶粘</errorWord>
      <group>L1_Word</group>
      <groupName>字词问题</groupName>
      <ability>L2_Typo</ability>
      <abilityName>字词错误</abilityName>
      <candidateList>
        <item>胶黏</item>
      </candidateList>
      <explain/>
      <paraID>3AFC0347</paraID>
      <start>274</start>
      <end>276</end>
      <status>ignored</status>
      <modifiedWord/>
      <trackRevisions>false</trackRevisions>
    </reviewItem>
    <reviewItem>
      <errorID>27502128-fc1b-4126-92bb-82bf18c73cbd</errorID>
      <errorWord>胶粘剂</errorWord>
      <group>L1_Word</group>
      <groupName>字词问题</groupName>
      <ability>L2_Typo</ability>
      <abilityName>字词错误</abilityName>
      <candidateList>
        <item>胶黏剂</item>
      </candidateList>
      <explain/>
      <paraID>3AFC0347</paraID>
      <start>312</start>
      <end>315</end>
      <status>ignored</status>
      <modifiedWord/>
      <trackRevisions>false</trackRevisions>
    </reviewItem>
    <reviewItem>
      <errorID>c9f9d060-7f6c-436c-a02a-1de430f4a694</errorID>
      <errorWord>胶粘剂</errorWord>
      <group>L1_Word</group>
      <groupName>字词问题</groupName>
      <ability>L2_Typo</ability>
      <abilityName>字词错误</abilityName>
      <candidateList>
        <item>胶黏剂</item>
      </candidateList>
      <explain/>
      <paraID>63088F7C</paraID>
      <start>154</start>
      <end>157</end>
      <status>ignored</status>
      <modifiedWord/>
      <trackRevisions>false</trackRevisions>
    </reviewItem>
    <reviewItem>
      <errorID>87fda85b-2d41-4066-875b-ece0f9f0cc52</errorID>
      <errorWord>胶粘</errorWord>
      <group>L1_Word</group>
      <groupName>字词问题</groupName>
      <ability>L2_Typo</ability>
      <abilityName>字词错误</abilityName>
      <candidateList>
        <item>胶黏</item>
      </candidateList>
      <explain/>
      <paraID>63088F7C</paraID>
      <start>239</start>
      <end>241</end>
      <status>ignored</status>
      <modifiedWord/>
      <trackRevisions>false</trackRevisions>
    </reviewItem>
    <reviewItem>
      <errorID>6b8004d5-74b1-4739-a3ee-f6e2d9ee5748</errorID>
      <errorWord>胶粘剂</errorWord>
      <group>L1_Word</group>
      <groupName>字词问题</groupName>
      <ability>L2_Typo</ability>
      <abilityName>字词错误</abilityName>
      <candidateList>
        <item>胶黏剂</item>
      </candidateList>
      <explain/>
      <paraID>63088F7C</paraID>
      <start>272</start>
      <end>275</end>
      <status>ignored</status>
      <modifiedWord/>
      <trackRevisions>false</trackRevisions>
    </reviewItem>
    <reviewItem>
      <errorID>434316cb-4935-4726-be46-74de7520b01d</errorID>
      <errorWord>胶粘剂</errorWord>
      <group>L1_Word</group>
      <groupName>字词问题</groupName>
      <ability>L2_Typo</ability>
      <abilityName>字词错误</abilityName>
      <candidateList>
        <item>胶黏剂</item>
      </candidateList>
      <explain/>
      <paraID>63088F7C</paraID>
      <start>287</start>
      <end>290</end>
      <status>ignored</status>
      <modifiedWord/>
      <trackRevisions>false</trackRevisions>
    </reviewItem>
    <reviewItem>
      <errorID>21414d5b-8724-4830-912b-2f3975252ab6</errorID>
      <errorWord>胶粘</errorWord>
      <group>L1_Word</group>
      <groupName>字词问题</groupName>
      <ability>L2_Typo</ability>
      <abilityName>字词错误</abilityName>
      <candidateList>
        <item>胶黏</item>
      </candidateList>
      <explain/>
      <paraID>63088F7C</paraID>
      <start>364</start>
      <end>366</end>
      <status>ignored</status>
      <modifiedWord/>
      <trackRevisions>false</trackRevisions>
    </reviewItem>
    <reviewItem>
      <errorID>1943eac0-d4af-41f9-bbeb-16ea45a60cdb</errorID>
      <errorWord>胶粘剂</errorWord>
      <group>L1_Word</group>
      <groupName>字词问题</groupName>
      <ability>L2_Typo</ability>
      <abilityName>字词错误</abilityName>
      <candidateList>
        <item>胶黏剂</item>
      </candidateList>
      <explain/>
      <paraID>63088F7C</paraID>
      <start>397</start>
      <end>400</end>
      <status>ignored</status>
      <modifiedWord/>
      <trackRevisions>false</trackRevisions>
    </reviewItem>
    <reviewItem>
      <errorID>8b72f936-8a00-4d47-a2ac-b6a95e28a3b2</errorID>
      <errorWord>胶粘剂</errorWord>
      <group>L1_Word</group>
      <groupName>字词问题</groupName>
      <ability>L2_Typo</ability>
      <abilityName>字词错误</abilityName>
      <candidateList>
        <item>胶黏剂</item>
      </candidateList>
      <explain/>
      <paraID>63088F7C</paraID>
      <start>412</start>
      <end>415</end>
      <status>ignored</status>
      <modifiedWord/>
      <trackRevisions>false</trackRevisions>
    </reviewItem>
    <reviewItem>
      <errorID>4fbd5f8a-aa36-42fc-9cd1-f99ee53a4b35</errorID>
      <errorWord>胶粘剂</errorWord>
      <group>L1_Word</group>
      <groupName>字词问题</groupName>
      <ability>L2_Typo</ability>
      <abilityName>字词错误</abilityName>
      <candidateList>
        <item>胶黏剂</item>
      </candidateList>
      <explain/>
      <paraID>5A4483DF</paraID>
      <start>21</start>
      <end>24</end>
      <status>ignored</status>
      <modifiedWord/>
      <trackRevisions>false</trackRevisions>
    </reviewItem>
    <reviewItem>
      <errorID>5b6c6716-7722-4163-ad01-7accc6719a9a</errorID>
      <errorWord>排</errorWord>
      <group>L1_Word</group>
      <groupName>字词问题</groupName>
      <ability>L2_Typo</ability>
      <abilityName>字词错误</abilityName>
      <candidateList>
        <item>排放</item>
      </candidateList>
      <explain/>
      <paraID>4E3970C3</paraID>
      <start>34</start>
      <end>35</end>
      <status>ignored</status>
      <modifiedWord/>
      <trackRevisions>false</trackRevisions>
    </reviewItem>
    <reviewItem>
      <errorID>eac84606-7218-4818-a422-92ee36063773</errorID>
      <errorWord>胶粘剂</errorWord>
      <group>L1_Word</group>
      <groupName>字词问题</groupName>
      <ability>L2_Typo</ability>
      <abilityName>字词错误</abilityName>
      <candidateList>
        <item>胶黏剂</item>
      </candidateList>
      <explain/>
      <paraID>705D19EA</paraID>
      <start>15</start>
      <end>18</end>
      <status>ignored</status>
      <modifiedWord/>
      <trackRevisions>false</trackRevisions>
    </reviewItem>
    <reviewItem>
      <errorID>25490753-12aa-42b0-a652-053534886e57</errorID>
      <errorWord>胶粘剂</errorWord>
      <group>L1_Word</group>
      <groupName>字词问题</groupName>
      <ability>L2_Typo</ability>
      <abilityName>字词错误</abilityName>
      <candidateList>
        <item>胶黏剂</item>
      </candidateList>
      <explain/>
      <paraID>705D19EA</paraID>
      <start>52</start>
      <end>55</end>
      <status>ignored</status>
      <modifiedWord/>
      <trackRevisions>false</trackRevisions>
    </reviewItem>
    <reviewItem>
      <errorID>71d31646-5332-49dc-b653-e0d7b6621abc</errorID>
      <errorWord>胶粘剂</errorWord>
      <group>L1_Word</group>
      <groupName>字词问题</groupName>
      <ability>L2_Typo</ability>
      <abilityName>字词错误</abilityName>
      <candidateList>
        <item>胶黏剂</item>
      </candidateList>
      <explain/>
      <paraID>705D19EA</paraID>
      <start>112</start>
      <end>115</end>
      <status>ignored</status>
      <modifiedWord/>
      <trackRevisions>false</trackRevisions>
    </reviewItem>
    <reviewItem>
      <errorID>ffc23a35-7f1e-433f-80a2-944ebbea2012</errorID>
      <errorWord>胶粘剂</errorWord>
      <group>L1_Word</group>
      <groupName>字词问题</groupName>
      <ability>L2_Typo</ability>
      <abilityName>字词错误</abilityName>
      <candidateList>
        <item>胶黏剂</item>
      </candidateList>
      <explain/>
      <paraID>1932F5DA</paraID>
      <start>14</start>
      <end>17</end>
      <status>ignored</status>
      <modifiedWord/>
      <trackRevisions>false</trackRevisions>
    </reviewItem>
    <reviewItem>
      <errorID>2e038337-15e1-4698-9974-a21a2195c6b8</errorID>
      <errorWord>是</errorWord>
      <group>L1_Word</group>
      <groupName>字词问题</groupName>
      <ability>L2_Typo</ability>
      <abilityName>字词错误</abilityName>
      <candidateList>
        <item>式</item>
      </candidateList>
      <explain/>
      <paraID>126A69DA</paraID>
      <start>14</start>
      <end>15</end>
      <status>modified</status>
      <modifiedWord>式</modifiedWord>
      <trackRevisions>false</trackRevisions>
    </reviewItem>
    <reviewItem>
      <errorID>521d1113-5367-4160-9dc7-a5b5a05450cc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3F19BAA3</paraID>
      <start>0</start>
      <end>2</end>
      <status>ignored</status>
      <modifiedWord/>
      <trackRevisions>false</trackRevisions>
    </reviewItem>
    <reviewItem>
      <errorID>ee26e4e6-4a76-450b-bc1c-437e23bfef6b</errorID>
      <errorWord>胶粘剂</errorWord>
      <group>L1_Word</group>
      <groupName>字词问题</groupName>
      <ability>L2_Typo</ability>
      <abilityName>字词错误</abilityName>
      <candidateList>
        <item>胶黏剂</item>
      </candidateList>
      <explain/>
      <paraID> 75357E4</paraID>
      <start>12</start>
      <end>15</end>
      <status>ignored</status>
      <modifiedWord/>
      <trackRevisions>false</trackRevisions>
    </reviewItem>
    <reviewItem>
      <errorID>a5c917c9-e080-4e97-8485-b1d8f111970d</errorID>
      <errorWord>胶粘剂</errorWord>
      <group>L1_Word</group>
      <groupName>字词问题</groupName>
      <ability>L2_Typo</ability>
      <abilityName>字词错误</abilityName>
      <candidateList>
        <item>胶黏剂</item>
      </candidateList>
      <explain/>
      <paraID> 75357E4</paraID>
      <start>98</start>
      <end>101</end>
      <status>ignored</status>
      <modifiedWord/>
      <trackRevisions>false</trackRevisions>
    </reviewItem>
    <reviewItem>
      <errorID>4112a9c9-30cf-402f-acfb-08044f9decf3</errorID>
      <errorWord>胶粘剂</errorWord>
      <group>L1_Word</group>
      <groupName>字词问题</groupName>
      <ability>L2_Typo</ability>
      <abilityName>字词错误</abilityName>
      <candidateList>
        <item>胶黏剂</item>
      </candidateList>
      <explain/>
      <paraID>64FBC6AA</paraID>
      <start>10</start>
      <end>13</end>
      <status>ignored</status>
      <modifiedWord/>
      <trackRevisions>false</trackRevisions>
    </reviewItem>
    <reviewItem>
      <errorID>a0ef6c9c-63e2-4e8a-9dbc-4547c0f49bef</errorID>
      <errorWord>胶粘剂</errorWord>
      <group>L1_Word</group>
      <groupName>字词问题</groupName>
      <ability>L2_Typo</ability>
      <abilityName>字词错误</abilityName>
      <candidateList>
        <item>胶黏剂</item>
      </candidateList>
      <explain/>
      <paraID>5F592907</paraID>
      <start>15</start>
      <end>18</end>
      <status>ignored</status>
      <modifiedWord/>
      <trackRevisions>false</trackRevisions>
    </reviewItem>
    <reviewItem>
      <errorID>abc07224-af90-4ab3-9be1-62569429a240</errorID>
      <errorWord>胶粘剂</errorWord>
      <group>L1_Word</group>
      <groupName>字词问题</groupName>
      <ability>L2_Typo</ability>
      <abilityName>字词错误</abilityName>
      <candidateList>
        <item>胶黏剂</item>
      </candidateList>
      <explain/>
      <paraID>5F592907</paraID>
      <start>56</start>
      <end>59</end>
      <status>ignored</status>
      <modifiedWord/>
      <trackRevisions>false</trackRevisions>
    </reviewItem>
    <reviewItem>
      <errorID>07e1e639-d352-480f-a389-6497b7b622d3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2272D272</paraID>
      <start>0</start>
      <end>2</end>
      <status>ignored</status>
      <modifiedWord/>
      <trackRevisions>false</trackRevisions>
    </reviewItem>
    <reviewItem>
      <errorID>84210803-f2b4-438e-9ab2-40241978a444</errorID>
      <errorWord>[2021]4号</errorWord>
      <group>L1_Knowledge</group>
      <groupName>知识性问题</groupName>
      <ability>L2_Knowledge</ability>
      <abilityName>其他知识</abilityName>
      <candidateList>
        <item>〔2021〕4号</item>
      </candidateList>
      <explain>发文字号格式错误。</explain>
      <paraID>7907750E</paraID>
      <start>164</start>
      <end>172</end>
      <status>modified</status>
      <modifiedWord>〔2021〕4号</modifiedWord>
      <trackRevisions>false</trackRevisions>
    </reviewItem>
    <reviewItem>
      <errorID>488c50db-af2a-4865-a0db-8ddaa4d319b9</errorID>
      <errorWord>胶粘剂</errorWord>
      <group>L1_Word</group>
      <groupName>字词问题</groupName>
      <ability>L2_Typo</ability>
      <abilityName>字词错误</abilityName>
      <candidateList>
        <item>胶黏剂</item>
      </candidateList>
      <explain/>
      <paraID>7907750E</paraID>
      <start>232</start>
      <end>235</end>
      <status>ignored</status>
      <modifiedWord/>
      <trackRevisions>false</trackRevisions>
    </reviewItem>
    <reviewItem>
      <errorID>a1bf303c-ff6e-4918-94e6-d2364bfd72ed</errorID>
      <errorWord>胶粘剂</errorWord>
      <group>L1_Word</group>
      <groupName>字词问题</groupName>
      <ability>L2_Typo</ability>
      <abilityName>字词错误</abilityName>
      <candidateList>
        <item>胶黏剂</item>
      </candidateList>
      <explain/>
      <paraID>2343965E</paraID>
      <start>62</start>
      <end>65</end>
      <status>ignored</status>
      <modifiedWord/>
      <trackRevisions>false</trackRevisions>
    </reviewItem>
    <reviewItem>
      <errorID>5779bbdb-158b-4afb-bc63-bbdf8c332ece</errorID>
      <errorWord>胶粘剂</errorWord>
      <group>L1_Word</group>
      <groupName>字词问题</groupName>
      <ability>L2_Typo</ability>
      <abilityName>字词错误</abilityName>
      <candidateList>
        <item>胶黏剂</item>
      </candidateList>
      <explain/>
      <paraID>2343965E</paraID>
      <start>74</start>
      <end>77</end>
      <status>ignored</status>
      <modifiedWord/>
      <trackRevisions>false</trackRevisions>
    </reviewItem>
    <reviewItem>
      <errorID>7340780f-88ae-4df6-bffe-97319f3b7478</errorID>
      <errorWord>胶粘剂</errorWord>
      <group>L1_Word</group>
      <groupName>字词问题</groupName>
      <ability>L2_Typo</ability>
      <abilityName>字词错误</abilityName>
      <candidateList>
        <item>胶黏剂</item>
      </candidateList>
      <explain/>
      <paraID>2343965E</paraID>
      <start>238</start>
      <end>241</end>
      <status>ignored</status>
      <modifiedWord/>
      <trackRevisions>false</trackRevisions>
    </reviewItem>
    <reviewItem>
      <errorID>63726580-6d72-4b22-b605-a334a00023d7</errorID>
      <errorWord>粘接</errorWord>
      <group>L1_Word</group>
      <groupName>字词问题</groupName>
      <ability>L2_Typo</ability>
      <abilityName>字词错误</abilityName>
      <candidateList>
        <item>黏接</item>
      </candidateList>
      <explain>存在发音相同字词的误用。</explain>
      <paraID>2343965E</paraID>
      <start>241</start>
      <end>243</end>
      <status>ignored</status>
      <modifiedWord/>
      <trackRevisions>false</trackRevisions>
    </reviewItem>
    <reviewItem>
      <errorID>e66cbe00-02f7-4f11-b586-61d4c59e9ab1</errorID>
      <errorWord>胶粘剂</errorWord>
      <group>L1_Word</group>
      <groupName>字词问题</groupName>
      <ability>L2_Typo</ability>
      <abilityName>字词错误</abilityName>
      <candidateList>
        <item>胶黏剂</item>
      </candidateList>
      <explain/>
      <paraID>2343965E</paraID>
      <start>245</start>
      <end>248</end>
      <status>ignored</status>
      <modifiedWord/>
      <trackRevisions>false</trackRevisions>
    </reviewItem>
    <reviewItem>
      <errorID>b6289010-7fa0-4058-9313-5375e17c340c</errorID>
      <errorWord>胶粘剂</errorWord>
      <group>L1_Word</group>
      <groupName>字词问题</groupName>
      <ability>L2_Typo</ability>
      <abilityName>字词错误</abilityName>
      <candidateList>
        <item>胶黏剂</item>
      </candidateList>
      <explain/>
      <paraID>2343965E</paraID>
      <start>284</start>
      <end>287</end>
      <status>ignored</status>
      <modifiedWord/>
      <trackRevisions>false</trackRevisions>
    </reviewItem>
    <reviewItem>
      <errorID>8597c619-39fa-4b36-a1f6-5ea3a1f14508</errorID>
      <errorWord>胶粘剂</errorWord>
      <group>L1_Word</group>
      <groupName>字词问题</groupName>
      <ability>L2_Typo</ability>
      <abilityName>字词错误</abilityName>
      <candidateList>
        <item>胶黏剂</item>
      </candidateList>
      <explain/>
      <paraID>2343965E</paraID>
      <start>296</start>
      <end>299</end>
      <status>ignored</status>
      <modifiedWord/>
      <trackRevisions>false</trackRevisions>
    </reviewItem>
    <reviewItem>
      <errorID>5c3762f7-a55b-408f-b18f-0fb53ac8e681</errorID>
      <errorWord>胶粘剂</errorWord>
      <group>L1_Word</group>
      <groupName>字词问题</groupName>
      <ability>L2_Typo</ability>
      <abilityName>字词错误</abilityName>
      <candidateList>
        <item>胶黏剂</item>
      </candidateList>
      <explain/>
      <paraID>2343965E</paraID>
      <start>329</start>
      <end>332</end>
      <status>ignored</status>
      <modifiedWord/>
      <trackRevisions>false</trackRevisions>
    </reviewItem>
    <reviewItem>
      <errorID>cb768c31-7ee7-4766-8609-79a8aa47c4f4</errorID>
      <errorWord>粘接</errorWord>
      <group>L1_Word</group>
      <groupName>字词问题</groupName>
      <ability>L2_Typo</ability>
      <abilityName>字词错误</abilityName>
      <candidateList>
        <item>黏接</item>
      </candidateList>
      <explain>存在发音相同字词的误用。</explain>
      <paraID>2343965E</paraID>
      <start>332</start>
      <end>334</end>
      <status>ignored</status>
      <modifiedWord/>
      <trackRevisions>false</trackRevisions>
    </reviewItem>
    <reviewItem>
      <errorID>132e8bf3-6793-4bc3-804d-49b96a8f8bf9</errorID>
      <errorWord>胶粘剂</errorWord>
      <group>L1_Word</group>
      <groupName>字词问题</groupName>
      <ability>L2_Typo</ability>
      <abilityName>字词错误</abilityName>
      <candidateList>
        <item>胶黏剂</item>
      </candidateList>
      <explain/>
      <paraID>2343965E</paraID>
      <start>370</start>
      <end>373</end>
      <status>ignored</status>
      <modifiedWord/>
      <trackRevisions>false</trackRevisions>
    </reviewItem>
    <reviewItem>
      <errorID>ac9a8d08-b15c-4280-a8e5-f5c4989dbe49</errorID>
      <errorWord>胶粘剂</errorWord>
      <group>L1_Word</group>
      <groupName>字词问题</groupName>
      <ability>L2_Typo</ability>
      <abilityName>字词错误</abilityName>
      <candidateList>
        <item>胶黏剂</item>
      </candidateList>
      <explain/>
      <paraID>366205A3</paraID>
      <start>50</start>
      <end>53</end>
      <status>ignored</status>
      <modifiedWord/>
      <trackRevisions>false</trackRevisions>
    </reviewItem>
    <reviewItem>
      <errorID>103d99d9-2e07-46a5-8619-10f66588aa65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65F7939E</paraID>
      <start>0</start>
      <end>3</end>
      <status>ignored</status>
      <modifiedWord/>
      <trackRevisions>false</trackRevisions>
    </reviewItem>
    <reviewItem>
      <errorID>4420d0be-8bca-42d9-88a0-da9d08a5818b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5A27620B</paraID>
      <start>0</start>
      <end>3</end>
      <status>ignored</status>
      <modifiedWord/>
      <trackRevisions>false</trackRevisions>
    </reviewItem>
    <reviewItem>
      <errorID>7bfb509f-a119-4932-b85e-3d86265084b7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6CDE97C</paraID>
      <start>0</start>
      <end>2</end>
      <status>ignored</status>
      <modifiedWord/>
      <trackRevisions>false</trackRevisions>
    </reviewItem>
    <reviewItem>
      <errorID>19ec8c94-201e-4be8-9727-6121b54a36c0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48BE424</paraID>
      <start>0</start>
      <end>2</end>
      <status>ignored</status>
      <modifiedWord/>
      <trackRevisions>false</trackRevisions>
    </reviewItem>
    <reviewItem>
      <errorID>fc43e6ed-6491-4f19-8c44-6c869f38b75e</errorID>
      <errorWord>胶粘剂</errorWord>
      <group>L1_Word</group>
      <groupName>字词问题</groupName>
      <ability>L2_Typo</ability>
      <abilityName>字词错误</abilityName>
      <candidateList>
        <item>胶黏剂</item>
      </candidateList>
      <explain/>
      <paraID>60B49D41</paraID>
      <start>47</start>
      <end>50</end>
      <status>ignored</status>
      <modifiedWord/>
      <trackRevisions>false</trackRevisions>
    </reviewItem>
    <reviewItem>
      <errorID>70fbe536-3086-40f1-a6be-5eb0d01212f5</errorID>
      <errorWord>胶粘剂</errorWord>
      <group>L1_Word</group>
      <groupName>字词问题</groupName>
      <ability>L2_Typo</ability>
      <abilityName>字词错误</abilityName>
      <candidateList>
        <item>胶黏剂</item>
      </candidateList>
      <explain/>
      <paraID>49CFD29E</paraID>
      <start>24</start>
      <end>27</end>
      <status>ignored</status>
      <modifiedWord/>
      <trackRevisions>false</trackRevisions>
    </reviewItem>
    <reviewItem>
      <errorID>967cd036-a7cd-4cb0-96f2-ca74bc1d940f</errorID>
      <errorWord>胶粘剂</errorWord>
      <group>L1_Word</group>
      <groupName>字词问题</groupName>
      <ability>L2_Typo</ability>
      <abilityName>字词错误</abilityName>
      <candidateList>
        <item>胶黏剂</item>
      </candidateList>
      <explain/>
      <paraID> 5B2B46F</paraID>
      <start>10</start>
      <end>13</end>
      <status>ignored</status>
      <modifiedWord/>
      <trackRevisions>false</trackRevisions>
    </reviewItem>
    <reviewItem>
      <errorID>a91b3b0b-f325-4cf2-ad81-bca79137d2d2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14425EF4</paraID>
      <start>0</start>
      <end>3</end>
      <status>ignored</status>
      <modifiedWord/>
      <trackRevisions>false</trackRevisions>
    </reviewItem>
    <reviewItem>
      <errorID>a330e490-f1d0-4580-a8f6-191d01034216</errorID>
      <errorWord>[2016]150号</errorWord>
      <group>L1_Knowledge</group>
      <groupName>知识性问题</groupName>
      <ability>L2_Knowledge</ability>
      <abilityName>其他知识</abilityName>
      <candidateList>
        <item>〔2016〕150号</item>
      </candidateList>
      <explain>发文字号格式错误。</explain>
      <paraID>7CBDF7CA</paraID>
      <start>3</start>
      <end>13</end>
      <status>modified</status>
      <modifiedWord>〔2016〕150号</modifiedWord>
      <trackRevisions>false</trackRevisions>
    </reviewItem>
    <reviewItem>
      <errorID>bd28bc76-a203-415b-b268-cb998c2a2cb3</errorID>
      <errorWord>位于位于</errorWord>
      <group>L1_Word</group>
      <groupName>字词问题</groupName>
      <ability>L2_Typo</ability>
      <abilityName>字词错误</abilityName>
      <candidateList>
        <item>位于</item>
      </candidateList>
      <explain/>
      <paraID>100C8BA9</paraID>
      <start>3</start>
      <end>5</end>
      <status>modified</status>
      <modifiedWord>位于</modifiedWord>
      <trackRevisions>false</trackRevisions>
    </reviewItem>
    <reviewItem>
      <errorID>a66e7c0a-29d4-43df-9494-8cb013bac087</errorID>
      <errorWord>上线</errorWord>
      <group>L1_Word</group>
      <groupName>字词问题</groupName>
      <ability>L2_Typo</ability>
      <abilityName>字词错误</abilityName>
      <candidateList>
        <item>上限</item>
      </candidateList>
      <explain/>
      <paraID>40E9AFCB</paraID>
      <start>57</start>
      <end>59</end>
      <status>ignored</status>
      <modifiedWord/>
      <trackRevisions>false</trackRevisions>
    </reviewItem>
    <reviewItem>
      <errorID>3c5c0aee-b3fd-4cfc-b559-cbf241714bae</errorID>
      <errorWord>上线</errorWord>
      <group>L1_Word</group>
      <groupName>字词问题</groupName>
      <ability>L2_Typo</ability>
      <abilityName>字词错误</abilityName>
      <candidateList>
        <item>上限</item>
      </candidateList>
      <explain/>
      <paraID> A846FF3</paraID>
      <start>102</start>
      <end>104</end>
      <status>ignored</status>
      <modifiedWord/>
      <trackRevisions>false</trackRevisions>
    </reviewItem>
    <reviewItem>
      <errorID>bd7c24b7-a264-4d57-8027-bd589e2fe2d2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29BA86A5</paraID>
      <start>0</start>
      <end>3</end>
      <status>ignored</status>
      <modifiedWord/>
      <trackRevisions>false</trackRevisions>
    </reviewItem>
    <reviewItem>
      <errorID>c32c7d7b-d5a5-461d-8f0c-b395446caeaa</errorID>
      <errorWord>胶粘剂</errorWord>
      <group>L1_Word</group>
      <groupName>字词问题</groupName>
      <ability>L2_Typo</ability>
      <abilityName>字词错误</abilityName>
      <candidateList>
        <item>胶黏剂</item>
      </candidateList>
      <explain/>
      <paraID>16A9D807</paraID>
      <start>494</start>
      <end>497</end>
      <status>ignored</status>
      <modifiedWord/>
      <trackRevisions>false</trackRevisions>
    </reviewItem>
    <reviewItem>
      <errorID>f79ed35f-72b8-4061-8b25-e60bff82650a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4B5051A6</paraID>
      <start>0</start>
      <end>3</end>
      <status>ignored</status>
      <modifiedWord/>
      <trackRevisions>false</trackRevisions>
    </reviewItem>
    <reviewItem>
      <errorID>2186c681-3558-4f02-98ba-0fdde46e5973</errorID>
      <errorWord>胶粘剂</errorWord>
      <group>L1_Word</group>
      <groupName>字词问题</groupName>
      <ability>L2_Typo</ability>
      <abilityName>字词错误</abilityName>
      <candidateList>
        <item>胶黏剂</item>
      </candidateList>
      <explain/>
      <paraID>2219DE48</paraID>
      <start>42</start>
      <end>45</end>
      <status>ignored</status>
      <modifiedWord/>
      <trackRevisions>false</trackRevisions>
    </reviewItem>
    <reviewItem>
      <errorID>674cefdd-8c54-479e-ade4-5359207b0f0d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6C581494</paraID>
      <start>0</start>
      <end>2</end>
      <status>ignored</status>
      <modifiedWord/>
      <trackRevisions>false</trackRevisions>
    </reviewItem>
    <reviewItem>
      <errorID>d30ab019-175b-4227-bfca-15e83fb28ed3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5D42E9B1</paraID>
      <start>222</start>
      <end>223</end>
      <status>ignored</status>
      <modifiedWord/>
      <trackRevisions>false</trackRevisions>
    </reviewItem>
    <reviewItem>
      <errorID>816f3075-e5b6-47a0-a2e5-40263dc4324f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5D42E9B1</paraID>
      <start>225</start>
      <end>226</end>
      <status>ignored</status>
      <modifiedWord/>
      <trackRevisions>false</trackRevisions>
    </reviewItem>
    <reviewItem>
      <errorID>0363d572-0999-4322-b303-bde143cdb7f8</errorID>
      <errorWord>安微省</errorWord>
      <group>L1_Knowledge</group>
      <groupName>知识性问题</groupName>
      <ability>L2_Knowledge</ability>
      <abilityName>其他知识</abilityName>
      <candidateList>
        <item>安徽省</item>
      </candidateList>
      <explain/>
      <paraID>6C1912F5</paraID>
      <start>5</start>
      <end>8</end>
      <status>ignored</status>
      <modifiedWord/>
      <trackRevisions>false</trackRevisions>
    </reviewItem>
    <reviewItem>
      <errorID>1dac8225-063c-4a3c-bbb0-48516b9e7544</errorID>
      <errorWord>融化</errorWord>
      <group>L1_Word</group>
      <groupName>字词问题</groupName>
      <ability>L2_Typo</ability>
      <abilityName>字词错误</abilityName>
      <candidateList>
        <item>熔化</item>
      </candidateList>
      <explain>存在发音相同字词的误用。</explain>
      <paraID>4EDEE6EB</paraID>
      <start>72</start>
      <end>74</end>
      <status>modified</status>
      <modifiedWord>熔化</modifiedWord>
      <trackRevisions>false</trackRevisions>
    </reviewItem>
    <reviewItem>
      <errorID>8c18c476-5ac5-4171-bdcf-ad4409bb6d18</errorID>
      <errorWord>胶粘剂</errorWord>
      <group>L1_Word</group>
      <groupName>字词问题</groupName>
      <ability>L2_Typo</ability>
      <abilityName>字词错误</abilityName>
      <candidateList>
        <item>胶黏剂</item>
      </candidateList>
      <explain/>
      <paraID>33428292</paraID>
      <start>57</start>
      <end>60</end>
      <status>ignored</status>
      <modifiedWord/>
      <trackRevisions>false</trackRevisions>
    </reviewItem>
    <reviewItem>
      <errorID>bffd6ab8-6c24-4181-a046-3b3c84392d90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5121ED27</paraID>
      <start>0</start>
      <end>2</end>
      <status>ignored</status>
      <modifiedWord/>
      <trackRevisions>false</trackRevisions>
    </reviewItem>
    <reviewItem>
      <errorID>31a81e83-a970-4af7-abfe-e05304bdf8e3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27548D3E</paraID>
      <start>0</start>
      <end>2</end>
      <status>ignored</status>
      <modifiedWord/>
      <trackRevisions>false</trackRevisions>
    </reviewItem>
    <reviewItem>
      <errorID>7711935e-20c5-4aaf-aedd-e518d8f171b5</errorID>
      <errorWord>，</errorWord>
      <group>L1_Format</group>
      <groupName>格式问题</groupName>
      <ability>L2_HalfPunc</ability>
      <abilityName>全半角检查</abilityName>
      <candidateList>
        <item>, </item>
      </candidateList>
      <explain>文本全半角错误。</explain>
      <paraID>2856D41A</paraID>
      <start>7</start>
      <end>8</end>
      <status>ignored</status>
      <modifiedWord/>
      <trackRevisions>false</trackRevisions>
    </reviewItem>
    <reviewItem>
      <errorID>20521489-1a3e-4b2a-9eb7-8bf0dd9eb3dc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6AF7BFFD</paraID>
      <start>0</start>
      <end>2</end>
      <status>ignored</status>
      <modifiedWord/>
      <trackRevisions>false</trackRevisions>
    </reviewItem>
    <reviewItem>
      <errorID>a85f81fd-3a52-45e9-b35f-1903d657f00a</errorID>
      <errorWord>外管</errorWord>
      <group>L1_Word</group>
      <groupName>字词问题</groupName>
      <ability>L2_Typo</ability>
      <abilityName>字词错误</abilityName>
      <candidateList>
        <item>外观</item>
      </candidateList>
      <explain/>
      <paraID>37D86496</paraID>
      <start>2</start>
      <end>4</end>
      <status>ignored</status>
      <modifiedWord/>
      <trackRevisions>false</trackRevisions>
    </reviewItem>
    <reviewItem>
      <errorID>ed5f4873-aa70-4679-b77b-7c7ccae2304e</errorID>
      <errorWord>外管</errorWord>
      <group>L1_Word</group>
      <groupName>字词问题</groupName>
      <ability>L2_Typo</ability>
      <abilityName>字词错误</abilityName>
      <candidateList>
        <item>外观</item>
      </candidateList>
      <explain/>
      <paraID>6A9C211A</paraID>
      <start>2</start>
      <end>4</end>
      <status>ignored</status>
      <modifiedWord/>
      <trackRevisions>false</trackRevisions>
    </reviewItem>
    <reviewItem>
      <errorID>281576dd-3287-4ebe-83a5-5a361df80752</errorID>
      <errorWord>91%~94%</errorWord>
      <group>L1_Knowledge</group>
      <groupName>知识性问题</groupName>
      <ability>L2_Knowledge</ability>
      <abilityName>其他知识</abilityName>
      <candidateList>
        <item>91%～94%</item>
      </candidateList>
      <explain>1. “91%~94%”中的单位“%”仅出现在后一个数字上，容易引起歧义；根据《现代汉语标点符号数字用法规范手册》，数字表示范围两边需要使用统一的格式。2. 根据标点国标 4.13 中的规则，数字、时间或地域连接符应使用（视觉上更长的）“—”或“～”。</explain>
      <paraID>3E63D297</paraID>
      <start>44</start>
      <end>51</end>
      <status>ignored</status>
      <modifiedWord/>
      <trackRevisions>false</trackRevisions>
    </reviewItem>
    <reviewItem>
      <errorID>d49e297b-cd6f-45a3-9612-989786dc321b</errorID>
      <errorWord>弹性膜量</errorWord>
      <group>L1_Knowledge</group>
      <groupName>知识性问题</groupName>
      <ability>L2_Term</ability>
      <abilityName>专业术语</abilityName>
      <candidateList>
        <item>弹性模量</item>
      </candidateList>
      <explain/>
      <paraID>3E63D297</paraID>
      <start>127</start>
      <end>131</end>
      <status>ignored</status>
      <modifiedWord/>
      <trackRevisions>false</trackRevisions>
    </reviewItem>
    <reviewItem>
      <errorID>490c4175-b52a-411d-a206-7e4681852a4f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6E88D759</paraID>
      <start>7</start>
      <end>8</end>
      <status>ignored</status>
      <modifiedWord/>
      <trackRevisions>false</trackRevisions>
    </reviewItem>
    <reviewItem>
      <errorID>14e162c3-e737-4a88-9e0b-05ac3074fc7c</errorID>
      <errorWord>粘附</errorWord>
      <group>L1_Word</group>
      <groupName>字词问题</groupName>
      <ability>L2_Alias</ability>
      <abilityName>也作/曾用词</abilityName>
      <candidateList>
        <item>黏附</item>
      </candidateList>
      <explain>词汇[粘附]为不规范表述或旧称，其规范书面表述为[黏附]。</explain>
      <paraID>4FE411F2</paraID>
      <start>70</start>
      <end>72</end>
      <status>ignored</status>
      <modifiedWord/>
      <trackRevisions>false</trackRevisions>
    </reviewItem>
    <reviewItem>
      <errorID>1a460ece-f064-4e50-9a6d-17151e877383</errorID>
      <errorWord>92~94%</errorWord>
      <group>L1_Knowledge</group>
      <groupName>知识性问题</groupName>
      <ability>L2_Knowledge</ability>
      <abilityName>其他知识</abilityName>
      <candidateList>
        <item>92%～94%</item>
      </candidateList>
      <explain>1. “92~94%”中的单位“%”仅出现在后一个数字上，容易引起歧义；根据《现代汉语标点符号数字用法规范手册》，数字表示范围两边需要使用统一的格式。2. 根据标点国标 4.13 中的规则，数字、时间或地域连接符应使用（视觉上更长的）“—”或“～”。</explain>
      <paraID>6A3A837E</paraID>
      <start>52</start>
      <end>58</end>
      <status>ignored</status>
      <modifiedWord/>
      <trackRevisions>false</trackRevisions>
    </reviewItem>
    <reviewItem>
      <errorID>607b22eb-5bc0-4f01-851e-86d6b9087bfa</errorID>
      <errorWord>6~8%</errorWord>
      <group>L1_Knowledge</group>
      <groupName>知识性问题</groupName>
      <ability>L2_Knowledge</ability>
      <abilityName>其他知识</abilityName>
      <candidateList>
        <item>6%～8%</item>
      </candidateList>
      <explain>1. “6~8%”中的单位“%”仅出现在后一个数字上，容易引起歧义；根据《现代汉语标点符号数字用法规范手册》，数字表示范围两边需要使用统一的格式。2. 根据标点国标 4.13 中的规则，数字、时间或地域连接符应使用（视觉上更长的）“—”或“～”。</explain>
      <paraID>6A3A837E</paraID>
      <start>66</start>
      <end>70</end>
      <status>ignored</status>
      <modifiedWord/>
      <trackRevisions>false</trackRevisions>
    </reviewItem>
    <reviewItem>
      <errorID>b635134b-bf71-44e2-925c-ddac8f5c6765</errorID>
      <errorWord>：&gt;</errorWord>
      <group>L1_Punc</group>
      <groupName>标点问题</groupName>
      <ability>L2_Punc</ability>
      <abilityName>标点符号检查</abilityName>
      <candidateList>
        <item>：</item>
      </candidateList>
      <explain/>
      <paraID>6CCF3342</paraID>
      <start>61</start>
      <end>63</end>
      <status>ignored</status>
      <modifiedWord/>
      <trackRevisions>false</trackRevisions>
    </reviewItem>
    <reviewItem>
      <errorID>b7a392d6-1497-4c0b-adcf-255d58bce88f</errorID>
      <errorWord>密</errorWord>
      <group>L1_Word</group>
      <groupName>字词问题</groupName>
      <ability>L2_Typo</ability>
      <abilityName>字词错误</abilityName>
      <candidateList>
        <item>密度</item>
      </candidateList>
      <explain/>
      <paraID>6CCF3342</paraID>
      <start>72</start>
      <end>74</end>
      <status>modified</status>
      <modifiedWord>密度</modifiedWord>
      <trackRevisions>false</trackRevisions>
    </reviewItem>
    <reviewItem>
      <errorID>8aec3bb8-bb85-49e0-860a-dffc6d6efdb0</errorID>
      <errorWord>：&gt;</errorWord>
      <group>L1_Punc</group>
      <groupName>标点问题</groupName>
      <ability>L2_Punc</ability>
      <abilityName>标点符号检查</abilityName>
      <candidateList>
        <item>：</item>
      </candidateList>
      <explain/>
      <paraID>6CCF3342</paraID>
      <start>80</start>
      <end>82</end>
      <status>ignored</status>
      <modifiedWord/>
      <trackRevisions>false</trackRevisions>
    </reviewItem>
    <reviewItem>
      <errorID>c7860716-e489-4ff9-9fa3-0b6f6ca714b3</errorID>
      <errorWord>胶粘剂</errorWord>
      <group>L1_Word</group>
      <groupName>字词问题</groupName>
      <ability>L2_Typo</ability>
      <abilityName>字词错误</abilityName>
      <candidateList>
        <item>胶黏剂</item>
      </candidateList>
      <explain/>
      <paraID>2719B994</paraID>
      <start>3</start>
      <end>6</end>
      <status>ignored</status>
      <modifiedWord/>
      <trackRevisions>false</trackRevisions>
    </reviewItem>
    <reviewItem>
      <errorID>48f53d86-70c6-40ea-953d-d045c920263b</errorID>
      <errorWord>＜</errorWord>
      <group>L1_Format</group>
      <groupName>格式问题</groupName>
      <ability>L2_HalfPunc</ability>
      <abilityName>全半角检查</abilityName>
      <candidateList>
        <item>&lt;</item>
      </candidateList>
      <explain>文本全半角错误。</explain>
      <paraID>767DD2B7</paraID>
      <start>0</start>
      <end>1</end>
      <status>ignored</status>
      <modifiedWord/>
      <trackRevisions>false</trackRevisions>
    </reviewItem>
    <reviewItem>
      <errorID>535bf41a-7f54-4bab-b21a-0c9e45892d0e</errorID>
      <errorWord>胶粘剂</errorWord>
      <group>L1_Word</group>
      <groupName>字词问题</groupName>
      <ability>L2_Typo</ability>
      <abilityName>字词错误</abilityName>
      <candidateList>
        <item>胶黏剂</item>
      </candidateList>
      <explain/>
      <paraID>17EC2CC9</paraID>
      <start>26</start>
      <end>29</end>
      <status>ignored</status>
      <modifiedWord/>
      <trackRevisions>false</trackRevisions>
    </reviewItem>
    <reviewItem>
      <errorID>56428ed9-ba9c-436b-af5c-5bca29969b2d</errorID>
      <errorWord>＜</errorWord>
      <group>L1_Format</group>
      <groupName>格式问题</groupName>
      <ability>L2_HalfPunc</ability>
      <abilityName>全半角检查</abilityName>
      <candidateList>
        <item>&lt;</item>
      </candidateList>
      <explain>文本全半角错误。</explain>
      <paraID>405E9C1E</paraID>
      <start>0</start>
      <end>1</end>
      <status>ignored</status>
      <modifiedWord/>
      <trackRevisions>false</trackRevisions>
    </reviewItem>
    <reviewItem>
      <errorID>c4d4556a-54ab-4d31-af36-2c533d3d3893</errorID>
      <errorWord>＜</errorWord>
      <group>L1_Format</group>
      <groupName>格式问题</groupName>
      <ability>L2_HalfPunc</ability>
      <abilityName>全半角检查</abilityName>
      <candidateList>
        <item>&lt;</item>
      </candidateList>
      <explain>文本全半角错误。</explain>
      <paraID>544F6889</paraID>
      <start>0</start>
      <end>1</end>
      <status>ignored</status>
      <modifiedWord/>
      <trackRevisions>false</trackRevisions>
    </reviewItem>
    <reviewItem>
      <errorID>a2ed7c8e-4f84-41c0-b6bd-6bd41c569035</errorID>
      <errorWord>＜</errorWord>
      <group>L1_Format</group>
      <groupName>格式问题</groupName>
      <ability>L2_HalfPunc</ability>
      <abilityName>全半角检查</abilityName>
      <candidateList>
        <item>&lt;</item>
      </candidateList>
      <explain>文本全半角错误。</explain>
      <paraID>7968E7CC</paraID>
      <start>0</start>
      <end>1</end>
      <status>ignored</status>
      <modifiedWord/>
      <trackRevisions>false</trackRevisions>
    </reviewItem>
    <reviewItem>
      <errorID>b07a9ded-046d-4fa9-88ae-2afd3c0bc0f2</errorID>
      <errorWord>＜</errorWord>
      <group>L1_Format</group>
      <groupName>格式问题</groupName>
      <ability>L2_HalfPunc</ability>
      <abilityName>全半角检查</abilityName>
      <candidateList>
        <item>&lt;</item>
      </candidateList>
      <explain>文本全半角错误。</explain>
      <paraID> 86F0A26</paraID>
      <start>0</start>
      <end>1</end>
      <status>ignored</status>
      <modifiedWord/>
      <trackRevisions>false</trackRevisions>
    </reviewItem>
    <reviewItem>
      <errorID>ea19ea04-056b-4556-ba54-e06e1e73e189</errorID>
      <errorWord>＜</errorWord>
      <group>L1_Format</group>
      <groupName>格式问题</groupName>
      <ability>L2_HalfPunc</ability>
      <abilityName>全半角检查</abilityName>
      <candidateList>
        <item>&lt;</item>
      </candidateList>
      <explain>文本全半角错误。</explain>
      <paraID>282C17C6</paraID>
      <start>0</start>
      <end>1</end>
      <status>ignored</status>
      <modifiedWord/>
      <trackRevisions>false</trackRevisions>
    </reviewItem>
    <reviewItem>
      <errorID>220e0df6-eed9-45ac-9bc1-ab7e691fd7db</errorID>
      <errorWord>＜</errorWord>
      <group>L1_Format</group>
      <groupName>格式问题</groupName>
      <ability>L2_HalfPunc</ability>
      <abilityName>全半角检查</abilityName>
      <candidateList>
        <item>&lt;</item>
      </candidateList>
      <explain>文本全半角错误。</explain>
      <paraID> 6192216</paraID>
      <start>0</start>
      <end>1</end>
      <status>ignored</status>
      <modifiedWord/>
      <trackRevisions>false</trackRevisions>
    </reviewItem>
    <reviewItem>
      <errorID>7df93640-84a2-4f7a-b7b1-9c9ca3876840</errorID>
      <errorWord>＜</errorWord>
      <group>L1_Format</group>
      <groupName>格式问题</groupName>
      <ability>L2_HalfPunc</ability>
      <abilityName>全半角检查</abilityName>
      <candidateList>
        <item>&lt;</item>
      </candidateList>
      <explain>文本全半角错误。</explain>
      <paraID>4CD539CB</paraID>
      <start>0</start>
      <end>1</end>
      <status>ignored</status>
      <modifiedWord/>
      <trackRevisions>false</trackRevisions>
    </reviewItem>
    <reviewItem>
      <errorID>5dcbb42b-d5d7-4fce-ab09-df5978f1f02b</errorID>
      <errorWord>＜</errorWord>
      <group>L1_Format</group>
      <groupName>格式问题</groupName>
      <ability>L2_HalfPunc</ability>
      <abilityName>全半角检查</abilityName>
      <candidateList>
        <item>&lt;</item>
      </candidateList>
      <explain>文本全半角错误。</explain>
      <paraID>24722D8F</paraID>
      <start>0</start>
      <end>1</end>
      <status>ignored</status>
      <modifiedWord/>
      <trackRevisions>false</trackRevisions>
    </reviewItem>
    <reviewItem>
      <errorID>b5aadf81-6a1e-42ee-803d-631dcc37625c</errorID>
      <errorWord>＜</errorWord>
      <group>L1_Format</group>
      <groupName>格式问题</groupName>
      <ability>L2_HalfPunc</ability>
      <abilityName>全半角检查</abilityName>
      <candidateList>
        <item>&lt;</item>
      </candidateList>
      <explain>文本全半角错误。</explain>
      <paraID>2DB5690D</paraID>
      <start>0</start>
      <end>1</end>
      <status>ignored</status>
      <modifiedWord/>
      <trackRevisions>false</trackRevisions>
    </reviewItem>
    <reviewItem>
      <errorID>ced01322-356d-4b6b-9a54-eb2b216f3251</errorID>
      <errorWord>胶粘剂</errorWord>
      <group>L1_Word</group>
      <groupName>字词问题</groupName>
      <ability>L2_Typo</ability>
      <abilityName>字词错误</abilityName>
      <candidateList>
        <item>胶黏剂</item>
      </candidateList>
      <explain/>
      <paraID>4FD52C5F</paraID>
      <start>35</start>
      <end>38</end>
      <status>ignored</status>
      <modifiedWord/>
      <trackRevisions>false</trackRevisions>
    </reviewItem>
    <reviewItem>
      <errorID>69d8f695-4c02-4201-9883-673a8a58c52d</errorID>
      <errorWord>＜</errorWord>
      <group>L1_Format</group>
      <groupName>格式问题</groupName>
      <ability>L2_HalfPunc</ability>
      <abilityName>全半角检查</abilityName>
      <candidateList>
        <item>&lt;</item>
      </candidateList>
      <explain>文本全半角错误。</explain>
      <paraID>6621560B</paraID>
      <start>0</start>
      <end>1</end>
      <status>ignored</status>
      <modifiedWord/>
      <trackRevisions>false</trackRevisions>
    </reviewItem>
    <reviewItem>
      <errorID>17d656be-e391-4edf-9b75-e1547d668961</errorID>
      <errorWord>＜</errorWord>
      <group>L1_Format</group>
      <groupName>格式问题</groupName>
      <ability>L2_HalfPunc</ability>
      <abilityName>全半角检查</abilityName>
      <candidateList>
        <item>&lt;</item>
      </candidateList>
      <explain>文本全半角错误。</explain>
      <paraID>66A3B23B</paraID>
      <start>0</start>
      <end>1</end>
      <status>ignored</status>
      <modifiedWord/>
      <trackRevisions>false</trackRevisions>
    </reviewItem>
    <reviewItem>
      <errorID>449064b2-d45b-4fca-997b-a2a21eaebfa8</errorID>
      <errorWord>＜</errorWord>
      <group>L1_Format</group>
      <groupName>格式问题</groupName>
      <ability>L2_HalfPunc</ability>
      <abilityName>全半角检查</abilityName>
      <candidateList>
        <item>&lt;</item>
      </candidateList>
      <explain>文本全半角错误。</explain>
      <paraID>72ECC98B</paraID>
      <start>0</start>
      <end>1</end>
      <status>ignored</status>
      <modifiedWord/>
      <trackRevisions>false</trackRevisions>
    </reviewItem>
    <reviewItem>
      <errorID>23cdc7b3-0b74-4edb-932b-8108a960d70d</errorID>
      <errorWord>＜</errorWord>
      <group>L1_Format</group>
      <groupName>格式问题</groupName>
      <ability>L2_HalfPunc</ability>
      <abilityName>全半角检查</abilityName>
      <candidateList>
        <item>&lt;</item>
      </candidateList>
      <explain>文本全半角错误。</explain>
      <paraID>6A2001E7</paraID>
      <start>0</start>
      <end>1</end>
      <status>ignored</status>
      <modifiedWord/>
      <trackRevisions>false</trackRevisions>
    </reviewItem>
    <reviewItem>
      <errorID>c5fb7bbb-d691-4620-b0fe-b16c8e66c41d</errorID>
      <errorWord>＜</errorWord>
      <group>L1_Format</group>
      <groupName>格式问题</groupName>
      <ability>L2_HalfPunc</ability>
      <abilityName>全半角检查</abilityName>
      <candidateList>
        <item>&lt;</item>
      </candidateList>
      <explain>文本全半角错误。</explain>
      <paraID>708A1EFB</paraID>
      <start>0</start>
      <end>1</end>
      <status>ignored</status>
      <modifiedWord/>
      <trackRevisions>false</trackRevisions>
    </reviewItem>
    <reviewItem>
      <errorID>aec50d48-c03f-448e-9bb4-a5138c3a6b60</errorID>
      <errorWord>＜</errorWord>
      <group>L1_Format</group>
      <groupName>格式问题</groupName>
      <ability>L2_HalfPunc</ability>
      <abilityName>全半角检查</abilityName>
      <candidateList>
        <item>&lt;</item>
      </candidateList>
      <explain>文本全半角错误。</explain>
      <paraID>51C149D5</paraID>
      <start>0</start>
      <end>1</end>
      <status>ignored</status>
      <modifiedWord/>
      <trackRevisions>false</trackRevisions>
    </reviewItem>
    <reviewItem>
      <errorID>ef0a37df-0512-4b01-8d88-b9b894884b8f</errorID>
      <errorWord>胶粘剂</errorWord>
      <group>L1_Word</group>
      <groupName>字词问题</groupName>
      <ability>L2_Typo</ability>
      <abilityName>字词错误</abilityName>
      <candidateList>
        <item>胶黏剂</item>
      </candidateList>
      <explain/>
      <paraID>7690CCFF</paraID>
      <start>3</start>
      <end>6</end>
      <status>ignored</status>
      <modifiedWord/>
      <trackRevisions>false</trackRevisions>
    </reviewItem>
    <reviewItem>
      <errorID>bf2071c7-a3cd-44ba-be1a-20ef5efebe9a</errorID>
      <errorWord>胶粘</errorWord>
      <group>L1_Word</group>
      <groupName>字词问题</groupName>
      <ability>L2_Typo</ability>
      <abilityName>字词错误</abilityName>
      <candidateList>
        <item>胶黏</item>
      </candidateList>
      <explain/>
      <paraID>430939BC</paraID>
      <start>51</start>
      <end>53</end>
      <status>ignored</status>
      <modifiedWord/>
      <trackRevisions>false</trackRevisions>
    </reviewItem>
    <reviewItem>
      <errorID>dd22ddd2-899e-4d5b-aeea-e416b2c5cf7a</errorID>
      <errorWord>胶粘剂</errorWord>
      <group>L1_Word</group>
      <groupName>字词问题</groupName>
      <ability>L2_Typo</ability>
      <abilityName>字词错误</abilityName>
      <candidateList>
        <item>胶黏剂</item>
      </candidateList>
      <explain/>
      <paraID>430939BC</paraID>
      <start>84</start>
      <end>87</end>
      <status>ignored</status>
      <modifiedWord/>
      <trackRevisions>false</trackRevisions>
    </reviewItem>
    <reviewItem>
      <errorID>b04c4b9e-0489-4ae3-b09c-7887d12ff95e</errorID>
      <errorWord>胶粘剂</errorWord>
      <group>L1_Word</group>
      <groupName>字词问题</groupName>
      <ability>L2_Typo</ability>
      <abilityName>字词错误</abilityName>
      <candidateList>
        <item>胶黏剂</item>
      </candidateList>
      <explain/>
      <paraID>430939BC</paraID>
      <start>99</start>
      <end>102</end>
      <status>ignored</status>
      <modifiedWord/>
      <trackRevisions>false</trackRevisions>
    </reviewItem>
    <reviewItem>
      <errorID>062487fd-c4b7-4508-a0d6-d2b4c100cd89</errorID>
      <errorWord>胶粘</errorWord>
      <group>L1_Word</group>
      <groupName>字词问题</groupName>
      <ability>L2_Typo</ability>
      <abilityName>字词错误</abilityName>
      <candidateList>
        <item>胶黏</item>
      </candidateList>
      <explain/>
      <paraID>5BBD3601</paraID>
      <start>53</start>
      <end>55</end>
      <status>ignored</status>
      <modifiedWord/>
      <trackRevisions>false</trackRevisions>
    </reviewItem>
    <reviewItem>
      <errorID>43b24168-9581-4426-9abd-1942c2405d3e</errorID>
      <errorWord>胶粘剂</errorWord>
      <group>L1_Word</group>
      <groupName>字词问题</groupName>
      <ability>L2_Typo</ability>
      <abilityName>字词错误</abilityName>
      <candidateList>
        <item>胶黏剂</item>
      </candidateList>
      <explain/>
      <paraID>5BBD3601</paraID>
      <start>86</start>
      <end>89</end>
      <status>ignored</status>
      <modifiedWord/>
      <trackRevisions>false</trackRevisions>
    </reviewItem>
    <reviewItem>
      <errorID>fe4b5c3b-0e06-49f0-aaa3-53e4aa4d565f</errorID>
      <errorWord>胶粘剂</errorWord>
      <group>L1_Word</group>
      <groupName>字词问题</groupName>
      <ability>L2_Typo</ability>
      <abilityName>字词错误</abilityName>
      <candidateList>
        <item>胶黏剂</item>
      </candidateList>
      <explain/>
      <paraID>5BBD3601</paraID>
      <start>101</start>
      <end>104</end>
      <status>ignored</status>
      <modifiedWord/>
      <trackRevisions>false</trackRevisions>
    </reviewItem>
    <reviewItem>
      <errorID>1107b1d0-09d4-4ca6-bffa-2f52abfafaf9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6CC43FAF</paraID>
      <start>0</start>
      <end>2</end>
      <status>ignored</status>
      <modifiedWord/>
      <trackRevisions>false</trackRevisions>
    </reviewItem>
    <reviewItem>
      <errorID>194cbe2d-5b97-424e-90b2-b1616152938b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C98892A</paraID>
      <start>0</start>
      <end>2</end>
      <status>ignored</status>
      <modifiedWord/>
      <trackRevisions>false</trackRevisions>
    </reviewItem>
    <reviewItem>
      <errorID>7f7182de-4bf9-4e67-b9d5-cf100e532b1a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1417C45B</paraID>
      <start>0</start>
      <end>2</end>
      <status>ignored</status>
      <modifiedWord/>
      <trackRevisions>false</trackRevisions>
    </reviewItem>
    <reviewItem>
      <errorID>a3bab7de-8b33-4e54-9c80-438d6be35a02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33D74EAA</paraID>
      <start>0</start>
      <end>2</end>
      <status>ignored</status>
      <modifiedWord/>
      <trackRevisions>false</trackRevisions>
    </reviewItem>
    <reviewItem>
      <errorID>e1033638-4c67-4fbc-8a4e-80e1cbcbcc02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E9ED84C</paraID>
      <start>0</start>
      <end>2</end>
      <status>ignored</status>
      <modifiedWord/>
      <trackRevisions>false</trackRevisions>
    </reviewItem>
    <reviewItem>
      <errorID>cb0c7f22-5b3f-4a8e-bc54-5b3a798c861a</errorID>
      <errorWord>震动</errorWord>
      <group>L1_Word</group>
      <groupName>字词问题</groupName>
      <ability>L2_Typo</ability>
      <abilityName>字词错误</abilityName>
      <candidateList>
        <item>振动</item>
      </candidateList>
      <explain>存在发音相同字词的误用。</explain>
      <paraID>5C0074A0</paraID>
      <start>28</start>
      <end>30</end>
      <status>modified</status>
      <modifiedWord>振动</modifiedWord>
      <trackRevisions>false</trackRevisions>
    </reviewItem>
    <reviewItem>
      <errorID>d58a9345-571f-470c-8547-499df31cdfc1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23D0DBC</paraID>
      <start>0</start>
      <end>2</end>
      <status>ignored</status>
      <modifiedWord/>
      <trackRevisions>false</trackRevisions>
    </reviewItem>
    <reviewItem>
      <errorID>d7d6bfb9-9b5b-4cba-9986-6bdaa21ce348</errorID>
      <errorWord>安微省</errorWord>
      <group>L1_Knowledge</group>
      <groupName>知识性问题</groupName>
      <ability>L2_Knowledge</ability>
      <abilityName>其他知识</abilityName>
      <candidateList>
        <item>安徽省</item>
      </candidateList>
      <explain/>
      <paraID>2CD69089</paraID>
      <start>5</start>
      <end>8</end>
      <status>ignored</status>
      <modifiedWord/>
      <trackRevisions>false</trackRevisions>
    </reviewItem>
    <reviewItem>
      <errorID>e14b3395-862e-4190-b52f-e7ff592ef421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329FBE5D</paraID>
      <start>0</start>
      <end>2</end>
      <status>ignored</status>
      <modifiedWord/>
      <trackRevisions>false</trackRevisions>
    </reviewItem>
    <reviewItem>
      <errorID>fc873f5f-ceeb-4f0c-adec-70eda693d81f</errorID>
      <errorWord>(</errorWord>
      <group>L1_Format</group>
      <groupName>格式问题</groupName>
      <ability>L2_HalfPunc</ability>
      <abilityName>全半角检查</abilityName>
      <candidateList>
        <item>（</item>
      </candidateList>
      <explain>文本全半角错误。</explain>
      <paraID>5617C9C9</paraID>
      <start>10</start>
      <end>11</end>
      <status>ignored</status>
      <modifiedWord/>
      <trackRevisions>false</trackRevisions>
    </reviewItem>
    <reviewItem>
      <errorID>a9463fd3-8dab-441e-a999-c20e64211846</errorID>
      <errorWord>)</errorWord>
      <group>L1_Format</group>
      <groupName>格式问题</groupName>
      <ability>L2_HalfPunc</ability>
      <abilityName>全半角检查</abilityName>
      <candidateList>
        <item>）</item>
      </candidateList>
      <explain>文本全半角错误。</explain>
      <paraID>5617C9C9</paraID>
      <start>14</start>
      <end>15</end>
      <status>ignored</status>
      <modifiedWord/>
      <trackRevisions>false</trackRevisions>
    </reviewItem>
    <reviewItem>
      <errorID>a6a9a33e-91d9-42c7-bf26-04f9b4f0a6c3</errorID>
      <errorWord>(</errorWord>
      <group>L1_Format</group>
      <groupName>格式问题</groupName>
      <ability>L2_HalfPunc</ability>
      <abilityName>全半角检查</abilityName>
      <candidateList>
        <item>（</item>
      </candidateList>
      <explain>文本全半角错误。</explain>
      <paraID>5617C9C9</paraID>
      <start>47</start>
      <end>48</end>
      <status>ignored</status>
      <modifiedWord/>
      <trackRevisions>false</trackRevisions>
    </reviewItem>
    <reviewItem>
      <errorID>c39725a8-36d7-4e9f-9b01-7ca58e245ca4</errorID>
      <errorWord>IV类</errorWord>
      <group>L1_Knowledge</group>
      <groupName>知识性问题</groupName>
      <ability>L2_Knowledge</ability>
      <abilityName>其他知识</abilityName>
      <candidateList>
        <item>Ⅳ类</item>
      </candidateList>
      <explain/>
      <paraID>5617C9C9</paraID>
      <start>184</start>
      <end>187</end>
      <status>ignored</status>
      <modifiedWord/>
      <trackRevisions>false</trackRevisions>
    </reviewItem>
    <reviewItem>
      <errorID>135961f9-460f-4e2f-b9c3-198f5c2b94a1</errorID>
      <errorWord>:</errorWord>
      <group>L1_Format</group>
      <groupName>格式问题</groupName>
      <ability>L2_HalfPunc</ability>
      <abilityName>全半角检查</abilityName>
      <candidateList>
        <item>：</item>
      </candidateList>
      <explain>文本全半角错误。</explain>
      <paraID>5617C9C9</paraID>
      <start>237</start>
      <end>238</end>
      <status>modified</status>
      <modifiedWord>：</modifiedWord>
      <trackRevisions>false</trackRevisions>
    </reviewItem>
    <reviewItem>
      <errorID>3a56a4b6-57fb-4dca-92e1-cb579c376f55</errorID>
      <errorWord>(</errorWord>
      <group>L1_Format</group>
      <groupName>格式问题</groupName>
      <ability>L2_HalfPunc</ability>
      <abilityName>全半角检查</abilityName>
      <candidateList>
        <item>（</item>
      </candidateList>
      <explain>文本全半角错误。</explain>
      <paraID>5617C9C9</paraID>
      <start>351</start>
      <end>352</end>
      <status>ignored</status>
      <modifiedWord/>
      <trackRevisions>false</trackRevisions>
    </reviewItem>
    <reviewItem>
      <errorID>b32e453c-fe03-4484-9f95-5bb460f7c075</errorID>
      <errorWord>)</errorWord>
      <group>L1_Format</group>
      <groupName>格式问题</groupName>
      <ability>L2_HalfPunc</ability>
      <abilityName>全半角检查</abilityName>
      <candidateList>
        <item>）</item>
      </candidateList>
      <explain>文本全半角错误。</explain>
      <paraID>5617C9C9</paraID>
      <start>357</start>
      <end>358</end>
      <status>ignored</status>
      <modifiedWord/>
      <trackRevisions>false</trackRevisions>
    </reviewItem>
    <reviewItem>
      <errorID>dc5e6500-faee-4bf3-9654-68c9691b9f0a</errorID>
      <errorWord>(</errorWord>
      <group>L1_Format</group>
      <groupName>格式问题</groupName>
      <ability>L2_HalfPunc</ability>
      <abilityName>全半角检查</abilityName>
      <candidateList>
        <item>（</item>
      </candidateList>
      <explain>文本全半角错误。</explain>
      <paraID>5617C9C9</paraID>
      <start>362</start>
      <end>363</end>
      <status>ignored</status>
      <modifiedWord/>
      <trackRevisions>false</trackRevisions>
    </reviewItem>
    <reviewItem>
      <errorID>604fd631-fa68-4ba2-a5e2-97ff0fe68c0c</errorID>
      <errorWord>)</errorWord>
      <group>L1_Format</group>
      <groupName>格式问题</groupName>
      <ability>L2_HalfPunc</ability>
      <abilityName>全半角检查</abilityName>
      <candidateList>
        <item>）</item>
      </candidateList>
      <explain>文本全半角错误。</explain>
      <paraID>5617C9C9</paraID>
      <start>368</start>
      <end>369</end>
      <status>ignored</status>
      <modifiedWord/>
      <trackRevisions>false</trackRevisions>
    </reviewItem>
    <reviewItem>
      <errorID>f56e02eb-484e-4524-be4e-a58db849acb0</errorID>
      <errorWord>(</errorWord>
      <group>L1_Format</group>
      <groupName>格式问题</groupName>
      <ability>L2_HalfPunc</ability>
      <abilityName>全半角检查</abilityName>
      <candidateList>
        <item>（</item>
      </candidateList>
      <explain>文本全半角错误。</explain>
      <paraID>5617C9C9</paraID>
      <start>375</start>
      <end>376</end>
      <status>ignored</status>
      <modifiedWord/>
      <trackRevisions>false</trackRevisions>
    </reviewItem>
    <reviewItem>
      <errorID>8b15e41c-0f9d-42df-909f-11ed1c2679b8</errorID>
      <errorWord>)</errorWord>
      <group>L1_Format</group>
      <groupName>格式问题</groupName>
      <ability>L2_HalfPunc</ability>
      <abilityName>全半角检查</abilityName>
      <candidateList>
        <item>）</item>
      </candidateList>
      <explain>文本全半角错误。</explain>
      <paraID>5617C9C9</paraID>
      <start>381</start>
      <end>382</end>
      <status>ignored</status>
      <modifiedWord/>
      <trackRevisions>false</trackRevisions>
    </reviewItem>
    <reviewItem>
      <errorID>02633b2a-b566-4227-9710-3f685d878bd5</errorID>
      <errorWord>:</errorWord>
      <group>L1_Format</group>
      <groupName>格式问题</groupName>
      <ability>L2_HalfPunc</ability>
      <abilityName>全半角检查</abilityName>
      <candidateList>
        <item>：</item>
      </candidateList>
      <explain>文本全半角错误。</explain>
      <paraID> 52942B5</paraID>
      <start>2</start>
      <end>3</end>
      <status>modified</status>
      <modifiedWord>：</modifiedWord>
      <trackRevisions>false</trackRevisions>
    </reviewItem>
    <reviewItem>
      <errorID>2ce0b6c2-d4ed-48ad-b381-49ace3088722</errorID>
      <errorWord>IV类</errorWord>
      <group>L1_Knowledge</group>
      <groupName>知识性问题</groupName>
      <ability>L2_Knowledge</ability>
      <abilityName>其他知识</abilityName>
      <candidateList>
        <item>Ⅳ类</item>
      </candidateList>
      <explain/>
      <paraID> 52942B5</paraID>
      <start>47</start>
      <end>50</end>
      <status>ignored</status>
      <modifiedWord/>
      <trackRevisions>false</trackRevisions>
    </reviewItem>
    <reviewItem>
      <errorID>fc1ba693-c2ca-4e18-9cb2-424707e5de47</errorID>
      <errorWord>IV类</errorWord>
      <group>L1_Knowledge</group>
      <groupName>知识性问题</groupName>
      <ability>L2_Knowledge</ability>
      <abilityName>其他知识</abilityName>
      <candidateList>
        <item>Ⅳ类</item>
      </candidateList>
      <explain/>
      <paraID> 52942B5</paraID>
      <start>126</start>
      <end>129</end>
      <status>ignored</status>
      <modifiedWord/>
      <trackRevisions>false</trackRevisions>
    </reviewItem>
    <reviewItem>
      <errorID>6a2deb8e-8b5d-4cc0-8852-1cfacee9507c</errorID>
      <errorWord>(</errorWord>
      <group>L1_Format</group>
      <groupName>格式问题</groupName>
      <ability>L2_HalfPunc</ability>
      <abilityName>全半角检查</abilityName>
      <candidateList>
        <item>（</item>
      </candidateList>
      <explain>文本全半角错误。</explain>
      <paraID>487AE465</paraID>
      <start>33</start>
      <end>34</end>
      <status>ignored</status>
      <modifiedWord/>
      <trackRevisions>false</trackRevisions>
    </reviewItem>
    <reviewItem>
      <errorID>b272c915-17ad-4b7d-b712-1a4400adf14c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2498E0A0</paraID>
      <start>0</start>
      <end>2</end>
      <status>ignored</status>
      <modifiedWord/>
      <trackRevisions>false</trackRevisions>
    </reviewItem>
    <reviewItem>
      <errorID>c9b910c1-6002-4b3d-866b-b50aa3311d4e</errorID>
      <errorWord>安微省</errorWord>
      <group>L1_Knowledge</group>
      <groupName>知识性问题</groupName>
      <ability>L2_Knowledge</ability>
      <abilityName>其他知识</abilityName>
      <candidateList>
        <item>安徽省</item>
      </candidateList>
      <explain/>
      <paraID>  131F2A</paraID>
      <start>5</start>
      <end>8</end>
      <status>ignored</status>
      <modifiedWord/>
      <trackRevisions>false</trackRevisions>
    </reviewItem>
    <reviewItem>
      <errorID>649f5e90-7306-41ea-be46-fbab369ab62e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2AEF8FE5</paraID>
      <start>0</start>
      <end>2</end>
      <status>ignored</status>
      <modifiedWord/>
      <trackRevisions>false</trackRevisions>
    </reviewItem>
    <reviewItem>
      <errorID>dfdedb29-2660-415b-9866-60675bd14a27</errorID>
      <errorWord>安微省</errorWord>
      <group>L1_Knowledge</group>
      <groupName>知识性问题</groupName>
      <ability>L2_Knowledge</ability>
      <abilityName>其他知识</abilityName>
      <candidateList>
        <item>安徽省</item>
      </candidateList>
      <explain/>
      <paraID>52D53B1C</paraID>
      <start>5</start>
      <end>8</end>
      <status>ignored</status>
      <modifiedWord/>
      <trackRevisions>false</trackRevisions>
    </reviewItem>
    <reviewItem>
      <errorID>060204bd-c7aa-41d8-ae59-ee97d54469c4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36608954</paraID>
      <start>0</start>
      <end>2</end>
      <status>ignored</status>
      <modifiedWord/>
      <trackRevisions>false</trackRevisions>
    </reviewItem>
    <reviewItem>
      <errorID>27d64212-bda4-43c5-86c5-987cb4f21b6c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3963D582</paraID>
      <start>0</start>
      <end>2</end>
      <status>ignored</status>
      <modifiedWord/>
      <trackRevisions>false</trackRevisions>
    </reviewItem>
    <reviewItem>
      <errorID>ecbd63b5-ee81-4fc6-8e0d-37e9837eb0fb</errorID>
      <errorWord>。。</errorWord>
      <group>L1_Punc</group>
      <groupName>标点问题</groupName>
      <ability>L2_Punc</ability>
      <abilityName>标点符号检查</abilityName>
      <candidateList>
        <item>。</item>
      </candidateList>
      <explain/>
      <paraID> 6189355</paraID>
      <start>166</start>
      <end>167</end>
      <status>modified</status>
      <modifiedWord>。</modifiedWord>
      <trackRevisions>false</trackRevisions>
    </reviewItem>
    <reviewItem>
      <errorID>b868a93a-9639-4ab4-82fa-f17b72ca1747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16BAE930</paraID>
      <start>0</start>
      <end>2</end>
      <status>ignored</status>
      <modifiedWord/>
      <trackRevisions>false</trackRevisions>
    </reviewItem>
    <reviewItem>
      <errorID>298c613b-4d77-4951-a7a9-73783eee6634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31C5E34A</paraID>
      <start>0</start>
      <end>2</end>
      <status>ignored</status>
      <modifiedWord/>
      <trackRevisions>false</trackRevisions>
    </reviewItem>
    <reviewItem>
      <errorID>f2b8eaea-c2e4-416c-a24c-71008dfff3d3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2A8A8708</paraID>
      <start>0</start>
      <end>2</end>
      <status>ignored</status>
      <modifiedWord/>
      <trackRevisions>false</trackRevisions>
    </reviewItem>
    <reviewItem>
      <errorID>386b29b2-f3e4-4270-8e36-039e5f68fac8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7C76FAE6</paraID>
      <start>0</start>
      <end>2</end>
      <status>ignored</status>
      <modifiedWord/>
      <trackRevisions>false</trackRevisions>
    </reviewItem>
    <reviewItem>
      <errorID>50c74188-e698-4e8c-8598-49d13ca3d8b0</errorID>
      <errorWord>安微省</errorWord>
      <group>L1_Knowledge</group>
      <groupName>知识性问题</groupName>
      <ability>L2_Knowledge</ability>
      <abilityName>其他知识</abilityName>
      <candidateList>
        <item>安徽省</item>
      </candidateList>
      <explain/>
      <paraID>5B299722</paraID>
      <start>5</start>
      <end>8</end>
      <status>ignored</status>
      <modifiedWord/>
      <trackRevisions>false</trackRevisions>
    </reviewItem>
    <reviewItem>
      <errorID>d8997cd2-b04a-4963-b8d3-98e38011f7eb</errorID>
      <errorWord>（</errorWord>
      <group>L1_Format</group>
      <groupName>格式问题</groupName>
      <ability>L2_HalfPunc</ability>
      <abilityName>全半角检查</abilityName>
      <candidateList>
        <item>(</item>
      </candidateList>
      <explain>文本全半角错误。</explain>
      <paraID>30583EBE</paraID>
      <start>0</start>
      <end>1</end>
      <status>ignored</status>
      <modifiedWord/>
      <trackRevisions>false</trackRevisions>
    </reviewItem>
    <reviewItem>
      <errorID>19fd5422-42df-4df4-97fc-554505ae8403</errorID>
      <errorWord>，</errorWord>
      <group>L1_Format</group>
      <groupName>格式问题</groupName>
      <ability>L2_HalfPunc</ability>
      <abilityName>全半角检查</abilityName>
      <candidateList>
        <item>, </item>
      </candidateList>
      <explain>文本全半角错误。</explain>
      <paraID>30583EBE</paraID>
      <start>2</start>
      <end>3</end>
      <status>ignored</status>
      <modifiedWord/>
      <trackRevisions>false</trackRevisions>
    </reviewItem>
    <reviewItem>
      <errorID>c6eabc37-8eff-4c1d-8f61-1726d38d5bf0</errorID>
      <errorWord>）</errorWord>
      <group>L1_Format</group>
      <groupName>格式问题</groupName>
      <ability>L2_HalfPunc</ability>
      <abilityName>全半角检查</abilityName>
      <candidateList>
        <item>)</item>
      </candidateList>
      <explain>文本全半角错误。</explain>
      <paraID>30583EBE</paraID>
      <start>4</start>
      <end>5</end>
      <status>ignored</status>
      <modifiedWord/>
      <trackRevisions>false</trackRevisions>
    </reviewItem>
    <reviewItem>
      <errorID>55dfdb57-c00e-403d-9669-85e900895566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33F5BA7B</paraID>
      <start>0</start>
      <end>2</end>
      <status>ignored</status>
      <modifiedWord/>
      <trackRevisions>false</trackRevisions>
    </reviewItem>
    <reviewItem>
      <errorID>784819ae-dac8-4803-9603-551089d6860c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74CF60B4</paraID>
      <start>0</start>
      <end>2</end>
      <status>ignored</status>
      <modifiedWord/>
      <trackRevisions>false</trackRevisions>
    </reviewItem>
    <reviewItem>
      <errorID>5bc7f619-fe1c-44ef-9135-87d34f896c70</errorID>
      <errorWord>(</errorWord>
      <group>L1_Format</group>
      <groupName>格式问题</groupName>
      <ability>L2_HalfPunc</ability>
      <abilityName>全半角检查</abilityName>
      <candidateList>
        <item>（</item>
      </candidateList>
      <explain>文本全半角错误。</explain>
      <paraID>196F4CF3</paraID>
      <start>35</start>
      <end>36</end>
      <status>modified</status>
      <modifiedWord>（</modifiedWord>
      <trackRevisions>false</trackRevisions>
    </reviewItem>
    <reviewItem>
      <errorID>c613925d-6ea6-42d3-97a0-72d336233908</errorID>
      <errorWord>)</errorWord>
      <group>L1_Format</group>
      <groupName>格式问题</groupName>
      <ability>L2_HalfPunc</ability>
      <abilityName>全半角检查</abilityName>
      <candidateList>
        <item>）</item>
      </candidateList>
      <explain>文本全半角错误。</explain>
      <paraID>196F4CF3</paraID>
      <start>48</start>
      <end>49</end>
      <status>modified</status>
      <modifiedWord>）</modifiedWord>
      <trackRevisions>false</trackRevisions>
    </reviewItem>
    <reviewItem>
      <errorID>571f8462-c818-4602-8de1-f58da78caf6b</errorID>
      <errorWord>（</errorWord>
      <group>L1_Format</group>
      <groupName>格式问题</groupName>
      <ability>L2_HalfPunc</ability>
      <abilityName>全半角检查</abilityName>
      <candidateList>
        <item>(</item>
      </candidateList>
      <explain>文本全半角错误。</explain>
      <paraID>78EA896A</paraID>
      <start>2</start>
      <end>3</end>
      <status>ignored</status>
      <modifiedWord/>
      <trackRevisions>false</trackRevisions>
    </reviewItem>
    <reviewItem>
      <errorID>b574a2cb-e255-4f41-afad-e34a4ab0cbca</errorID>
      <errorWord>）</errorWord>
      <group>L1_Format</group>
      <groupName>格式问题</groupName>
      <ability>L2_HalfPunc</ability>
      <abilityName>全半角检查</abilityName>
      <candidateList>
        <item>)</item>
      </candidateList>
      <explain>文本全半角错误。</explain>
      <paraID>78EA896A</paraID>
      <start>4</start>
      <end>5</end>
      <status>ignored</status>
      <modifiedWord/>
      <trackRevisions>false</trackRevisions>
    </reviewItem>
    <reviewItem>
      <errorID>ab4dcdde-c723-497d-ba29-9fa5a2a64a90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24020B1D</paraID>
      <start>0</start>
      <end>2</end>
      <status>ignored</status>
      <modifiedWord/>
      <trackRevisions>false</trackRevisions>
    </reviewItem>
    <reviewItem>
      <errorID>9c448132-334e-4859-b7db-c70ae77c4d89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40639F32</paraID>
      <start>0</start>
      <end>2</end>
      <status>ignored</status>
      <modifiedWord/>
      <trackRevisions>false</trackRevisions>
    </reviewItem>
    <reviewItem>
      <errorID>64fa9fa0-8dd3-4e94-8e78-56a9dd7467c6</errorID>
      <errorWord>[2013]89号</errorWord>
      <group>L1_Knowledge</group>
      <groupName>知识性问题</groupName>
      <ability>L2_Knowledge</ability>
      <abilityName>其他知识</abilityName>
      <candidateList>
        <item>〔2013〕89号</item>
      </candidateList>
      <explain>发文字号格式错误。</explain>
      <paraID>51B7DA4A</paraID>
      <start>31</start>
      <end>40</end>
      <status>modified</status>
      <modifiedWord>〔2013〕89号</modifiedWord>
      <trackRevisions>false</trackRevisions>
    </reviewItem>
    <reviewItem>
      <errorID>7f6fad48-0d99-4de0-828b-c1957156765c</errorID>
      <errorWord>[2017]19号</errorWord>
      <group>L1_Knowledge</group>
      <groupName>知识性问题</groupName>
      <ability>L2_Knowledge</ability>
      <abilityName>其他知识</abilityName>
      <candidateList>
        <item>〔2017〕19号</item>
      </candidateList>
      <explain>发文字号格式错误。</explain>
      <paraID>51B7DA4A</paraID>
      <start>86</start>
      <end>95</end>
      <status>modified</status>
      <modifiedWord>〔2017〕19号</modifiedWord>
      <trackRevisions>false</trackRevisions>
    </reviewItem>
    <reviewItem>
      <errorID>07805534-4ce5-47c4-a698-32c6bdcb3d2c</errorID>
      <errorWord>除理</errorWord>
      <group>L1_Word</group>
      <groupName>字词问题</groupName>
      <ability>L2_Typo</ability>
      <abilityName>字词错误</abilityName>
      <candidateList>
        <item>处理</item>
      </candidateList>
      <explain/>
      <paraID>6A3B49ED</paraID>
      <start>20</start>
      <end>22</end>
      <status>modified</status>
      <modifiedWord>处理</modifiedWord>
      <trackRevisions>false</trackRevisions>
    </reviewItem>
    <reviewItem>
      <errorID>19c7003e-cf4a-44e0-b8f6-3e9354cbb3a1</errorID>
      <errorWord>除理</errorWord>
      <group>L1_Word</group>
      <groupName>字词问题</groupName>
      <ability>L2_Typo</ability>
      <abilityName>字词错误</abilityName>
      <candidateList>
        <item>处理</item>
      </candidateList>
      <explain/>
      <paraID>78A76429</paraID>
      <start>20</start>
      <end>22</end>
      <status>modified</status>
      <modifiedWord>处理</modifiedWord>
      <trackRevisions>false</trackRevisions>
    </reviewItem>
    <reviewItem>
      <errorID>b2b90b6c-7dfb-4f66-8a25-bcd430bd0df8</errorID>
      <errorWord>，</errorWord>
      <group>L1_Format</group>
      <groupName>格式问题</groupName>
      <ability>L2_HalfPunc</ability>
      <abilityName>全半角检查</abilityName>
      <candidateList>
        <item>, </item>
      </candidateList>
      <explain>文本全半角错误。</explain>
      <paraID> DBC4B4D</paraID>
      <start>14</start>
      <end>15</end>
      <status>ignored</status>
      <modifiedWord/>
      <trackRevisions>false</trackRevisions>
    </reviewItem>
    <reviewItem>
      <errorID>0c791317-3ba5-4b55-9dd6-42b16002bd45</errorID>
      <errorWord>，</errorWord>
      <group>L1_Format</group>
      <groupName>格式问题</groupName>
      <ability>L2_HalfPunc</ability>
      <abilityName>全半角检查</abilityName>
      <candidateList>
        <item>, </item>
      </candidateList>
      <explain>文本全半角错误。</explain>
      <paraID>11DFF006</paraID>
      <start>14</start>
      <end>15</end>
      <status>ignored</status>
      <modifiedWord/>
      <trackRevisions>false</trackRevisions>
    </reviewItem>
    <reviewItem>
      <errorID>3f67c45e-f741-4d9c-9817-01d95b315e58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49238F52</paraID>
      <start>0</start>
      <end>2</end>
      <status>ignored</status>
      <modifiedWord/>
      <trackRevisions>false</trackRevisions>
    </reviewItem>
    <reviewItem>
      <errorID>888996e3-c630-4deb-ad98-11d5f4dc671e</errorID>
      <errorWord>：</errorWord>
      <group>L1_Format</group>
      <groupName>格式问题</groupName>
      <ability>L2_HalfPunc</ability>
      <abilityName>全半角检查</abilityName>
      <candidateList>
        <item>:</item>
      </candidateList>
      <explain>文本全半角错误。</explain>
      <paraID>4EB608ED</paraID>
      <start>212</start>
      <end>213</end>
      <status>ignored</status>
      <modifiedWord/>
      <trackRevisions>false</trackRevisions>
    </reviewItem>
    <reviewItem>
      <errorID>2b041c01-0418-4349-95dd-f270d63772aa</errorID>
      <errorWord>（</errorWord>
      <group>L1_Format</group>
      <groupName>格式问题</groupName>
      <ability>L2_HalfPunc</ability>
      <abilityName>全半角检查</abilityName>
      <candidateList>
        <item>(</item>
      </candidateList>
      <explain>文本全半角错误。</explain>
      <paraID>4B6ECD0F</paraID>
      <start>0</start>
      <end>1</end>
      <status>ignored</status>
      <modifiedWord/>
      <trackRevisions>false</trackRevisions>
    </reviewItem>
    <reviewItem>
      <errorID>7a24199b-2a2b-4129-adfe-a6f92bcb8da1</errorID>
      <errorWord>）</errorWord>
      <group>L1_Format</group>
      <groupName>格式问题</groupName>
      <ability>L2_HalfPunc</ability>
      <abilityName>全半角检查</abilityName>
      <candidateList>
        <item>)</item>
      </candidateList>
      <explain>文本全半角错误。</explain>
      <paraID>4B6ECD0F</paraID>
      <start>4</start>
      <end>5</end>
      <status>ignored</status>
      <modifiedWord/>
      <trackRevisions>false</trackRevisions>
    </reviewItem>
    <reviewItem>
      <errorID>20ed56e2-1552-40dd-816f-96770fd82932</errorID>
      <errorWord>污水污水</errorWord>
      <group>L1_Word</group>
      <groupName>字词问题</groupName>
      <ability>L2_Typo</ability>
      <abilityName>字词错误</abilityName>
      <candidateList>
        <item>污水</item>
      </candidateList>
      <explain/>
      <paraID>77B1E086</paraID>
      <start>67</start>
      <end>69</end>
      <status>modified</status>
      <modifiedWord>污水</modifiedWord>
      <trackRevisions>false</trackRevisions>
    </reviewItem>
    <reviewItem>
      <errorID>b461c42a-7473-4b66-b18b-daf1a75f87d9</errorID>
      <errorWord>（</errorWord>
      <group>L1_Format</group>
      <groupName>格式问题</groupName>
      <ability>L2_HalfPunc</ability>
      <abilityName>全半角检查</abilityName>
      <candidateList>
        <item>(</item>
      </candidateList>
      <explain>文本全半角错误。</explain>
      <paraID>549EB6B0</paraID>
      <start>1</start>
      <end>2</end>
      <status>ignored</status>
      <modifiedWord/>
      <trackRevisions>false</trackRevisions>
    </reviewItem>
    <reviewItem>
      <errorID>69f8d4a3-eced-45a0-9572-c55d175e421a</errorID>
      <errorWord>）</errorWord>
      <group>L1_Format</group>
      <groupName>格式问题</groupName>
      <ability>L2_HalfPunc</ability>
      <abilityName>全半角检查</abilityName>
      <candidateList>
        <item>)</item>
      </candidateList>
      <explain>文本全半角错误。</explain>
      <paraID>549EB6B0</paraID>
      <start>3</start>
      <end>4</end>
      <status>ignored</status>
      <modifiedWord/>
      <trackRevisions>false</trackRevisions>
    </reviewItem>
    <reviewItem>
      <errorID>e4cd3d92-c620-4338-a09e-504c31c9a480</errorID>
      <errorWord>减低</errorWord>
      <group>L1_Grammar</group>
      <groupName>语法问题</groupName>
      <ability>L2_Grammar</ability>
      <abilityName>语法错误</abilityName>
      <candidateList>
        <item>减少</item>
      </candidateList>
      <explain>“减低～影响”搭配不当，建议修改为“减少～影响”。</explain>
      <paraID>419C3350</paraID>
      <start>223</start>
      <end>225</end>
      <status>ignored</status>
      <modifiedWord/>
      <trackRevisions>false</trackRevisions>
    </reviewItem>
    <reviewItem>
      <errorID>d4e69c3e-bcbe-4920-a3ec-55032f6161e4</errorID>
      <errorWord>是</errorWord>
      <group>L1_Word</group>
      <groupName>字词问题</groupName>
      <ability>L2_Typo</ability>
      <abilityName>字词错误</abilityName>
      <candidateList>
        <item>是一</item>
      </candidateList>
      <explain/>
      <paraID>2538992C</paraID>
      <start>11</start>
      <end>12</end>
      <status>ignored</status>
      <modifiedWord/>
      <trackRevisions>false</trackRevisions>
    </reviewItem>
    <reviewItem>
      <errorID>5520e541-73c1-4ae7-a07a-1b256c12bc8b</errorID>
      <errorWord>程</errorWord>
      <group>L1_Word</group>
      <groupName>字词问题</groupName>
      <ability>L2_Typo</ability>
      <abilityName>字词错误</abilityName>
      <candidateList>
        <item>程中</item>
      </candidateList>
      <explain/>
      <paraID>40F69DA3</paraID>
      <start>5</start>
      <end>7</end>
      <status>modified</status>
      <modifiedWord>程中</modifiedWord>
      <trackRevisions>false</trackRevisions>
    </reviewItem>
    <reviewItem>
      <errorID>b4d08951-710a-46a3-83a4-c1bcc50c2e2a</errorID>
      <errorWord>废水废水</errorWord>
      <group>L1_Word</group>
      <groupName>字词问题</groupName>
      <ability>L2_Typo</ability>
      <abilityName>字词错误</abilityName>
      <candidateList>
        <item>废水</item>
      </candidateList>
      <explain/>
      <paraID>2AB777B5</paraID>
      <start>79</start>
      <end>81</end>
      <status>modified</status>
      <modifiedWord>废水</modifiedWord>
      <trackRevisions>false</trackRevisions>
    </reviewItem>
    <reviewItem>
      <errorID>1ae0c1ed-4e1f-4d11-99af-54324bbf012a</errorID>
      <errorWord>胶粘剂</errorWord>
      <group>L1_Word</group>
      <groupName>字词问题</groupName>
      <ability>L2_Typo</ability>
      <abilityName>字词错误</abilityName>
      <candidateList>
        <item>胶黏剂</item>
      </candidateList>
      <explain/>
      <paraID>6A0C8693</paraID>
      <start>2</start>
      <end>5</end>
      <status>ignored</status>
      <modifiedWord/>
      <trackRevisions>false</trackRevisions>
    </reviewItem>
    <reviewItem>
      <errorID>5b86b817-ab70-40b0-b186-b8c8fbcd30aa</errorID>
      <errorWord>胶粘剂</errorWord>
      <group>L1_Word</group>
      <groupName>字词问题</groupName>
      <ability>L2_Typo</ability>
      <abilityName>字词错误</abilityName>
      <candidateList>
        <item>胶黏剂</item>
      </candidateList>
      <explain/>
      <paraID> D0D16BE</paraID>
      <start>10</start>
      <end>13</end>
      <status>ignored</status>
      <modifiedWord/>
      <trackRevisions>false</trackRevisions>
    </reviewItem>
    <reviewItem>
      <errorID>0fc74f63-6c82-4d28-905e-fbafbdfab759</errorID>
      <errorWord>胶粘剂</errorWord>
      <group>L1_Word</group>
      <groupName>字词问题</groupName>
      <ability>L2_Typo</ability>
      <abilityName>字词错误</abilityName>
      <candidateList>
        <item>胶黏剂</item>
      </candidateList>
      <explain/>
      <paraID> D0D16BE</paraID>
      <start>26</start>
      <end>29</end>
      <status>ignored</status>
      <modifiedWord/>
      <trackRevisions>false</trackRevisions>
    </reviewItem>
    <reviewItem>
      <errorID>082230df-c217-4ff2-9051-d8daba88142d</errorID>
      <errorWord>（</errorWord>
      <group>L1_Punc</group>
      <groupName>标点问题</groupName>
      <ability>L2_Punc</ability>
      <abilityName>标点符号检查</abilityName>
      <candidateList/>
      <explain>同一形式括号套用。</explain>
      <paraID>372EEC56</paraID>
      <start>25</start>
      <end>26</end>
      <status>ignored</status>
      <modifiedWord/>
      <trackRevisions>false</trackRevisions>
    </reviewItem>
    <reviewItem>
      <errorID>7e977179-5dc8-43eb-8b93-0214bebe3831</errorID>
      <errorWord>）</errorWord>
      <group>L1_Punc</group>
      <groupName>标点问题</groupName>
      <ability>L2_Punc</ability>
      <abilityName>标点符号检查</abilityName>
      <candidateList/>
      <explain>同一形式括号套用。</explain>
      <paraID>372EEC56</paraID>
      <start>37</start>
      <end>38</end>
      <status>ignored</status>
      <modifiedWord/>
      <trackRevisions>false</trackRevisions>
    </reviewItem>
    <reviewItem>
      <errorID>7b97720d-8a28-43ba-a61f-41a4bdde0d19</errorID>
      <errorWord>（</errorWord>
      <group>L1_Punc</group>
      <groupName>标点问题</groupName>
      <ability>L2_Punc</ability>
      <abilityName>标点符号检查</abilityName>
      <candidateList/>
      <explain>同一形式括号套用。</explain>
      <paraID>372EEC56</paraID>
      <start>41</start>
      <end>42</end>
      <status>ignored</status>
      <modifiedWord/>
      <trackRevisions>false</trackRevisions>
    </reviewItem>
    <reviewItem>
      <errorID>7d35852b-de52-42a8-baf9-a947b16bcddc</errorID>
      <errorWord>）</errorWord>
      <group>L1_Punc</group>
      <groupName>标点问题</groupName>
      <ability>L2_Punc</ability>
      <abilityName>标点符号检查</abilityName>
      <candidateList/>
      <explain>同一形式括号套用。</explain>
      <paraID>372EEC56</paraID>
      <start>54</start>
      <end>55</end>
      <status>ignored</status>
      <modifiedWord/>
      <trackRevisions>false</trackRevisions>
    </reviewItem>
    <reviewItem>
      <errorID>5645e36e-49ca-45ee-a6df-4b7d4d6c6884</errorID>
      <errorWord>胶粘剂</errorWord>
      <group>L1_Word</group>
      <groupName>字词问题</groupName>
      <ability>L2_Typo</ability>
      <abilityName>字词错误</abilityName>
      <candidateList>
        <item>胶黏剂</item>
      </candidateList>
      <explain/>
      <paraID>55EC6FAD</paraID>
      <start>1</start>
      <end>4</end>
      <status>ignored</status>
      <modifiedWord/>
      <trackRevisions>false</trackRevisions>
    </reviewItem>
    <reviewItem>
      <errorID>4cc2be2a-2b09-4bec-83ff-00824584e7ce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402D5793</paraID>
      <start>0</start>
      <end>2</end>
      <status>ignored</status>
      <modifiedWord/>
      <trackRevisions>false</trackRevisions>
    </reviewItem>
    <reviewItem>
      <errorID>044b7928-1456-4bf9-b455-1c15c9b74e5c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5F94064E</paraID>
      <start>0</start>
      <end>2</end>
      <status>ignored</status>
      <modifiedWord/>
      <trackRevisions>false</trackRevisions>
    </reviewItem>
    <reviewItem>
      <errorID>9173a98d-da5c-48b4-8970-04eb2e55cef9</errorID>
      <errorWord>，</errorWord>
      <group>L1_Word</group>
      <groupName>字词问题</groupName>
      <ability>L2_Typo</ability>
      <abilityName>字词错误</abilityName>
      <candidateList>
        <item>，对</item>
      </candidateList>
      <explain/>
      <paraID>5F94064E</paraID>
      <start>14</start>
      <end>15</end>
      <status>ignored</status>
      <modifiedWord/>
      <trackRevisions>false</trackRevisions>
    </reviewItem>
    <reviewItem>
      <errorID>c3a54a75-5923-4d36-9e34-0191c1e88486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5073ED90</paraID>
      <start>0</start>
      <end>2</end>
      <status>ignored</status>
      <modifiedWord/>
      <trackRevisions>false</trackRevisions>
    </reviewItem>
    <reviewItem>
      <errorID>1ea9d0d9-4ada-4eeb-8d3d-0ec29a1e3871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111D214E</paraID>
      <start>0</start>
      <end>2</end>
      <status>ignored</status>
      <modifiedWord/>
      <trackRevisions>false</trackRevisions>
    </reviewItem>
    <reviewItem>
      <errorID>ed3e3f2b-aea5-4620-84d2-0bc875186ff9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558F7D01</paraID>
      <start>55</start>
      <end>56</end>
      <status>ignored</status>
      <modifiedWord/>
      <trackRevisions>false</trackRevisions>
    </reviewItem>
    <reviewItem>
      <errorID>08930f2b-4a2b-4e4d-87f2-e3fa75ff728b</errorID>
      <errorWord>胶粘剂</errorWord>
      <group>L1_Word</group>
      <groupName>字词问题</groupName>
      <ability>L2_Typo</ability>
      <abilityName>字词错误</abilityName>
      <candidateList>
        <item>胶黏剂</item>
      </candidateList>
      <explain/>
      <paraID>64785738</paraID>
      <start>1</start>
      <end>4</end>
      <status>ignored</status>
      <modifiedWord/>
      <trackRevisions>false</trackRevisions>
    </reviewItem>
    <reviewItem>
      <errorID>29db34b9-6376-4d76-bf3d-0fda1b595114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1305E7CB</paraID>
      <start>57</start>
      <end>58</end>
      <status>ignored</status>
      <modifiedWord/>
      <trackRevisions>false</trackRevisions>
    </reviewItem>
    <reviewItem>
      <errorID>e5ca996a-39f8-4f27-9732-359f7e527839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1305E7CB</paraID>
      <start>99</start>
      <end>100</end>
      <status>ignored</status>
      <modifiedWord/>
      <trackRevisions>false</trackRevisions>
    </reviewItem>
    <reviewItem>
      <errorID>ad9189ae-326b-412e-b4bb-283f32659dcd</errorID>
      <errorWord>~</errorWord>
      <group>L1_Format</group>
      <groupName>格式问题</groupName>
      <ability>L2_HalfPunc</ability>
      <abilityName>全半角检查</abilityName>
      <candidateList>
        <item>～</item>
      </candidateList>
      <explain>文本全半角错误。</explain>
      <paraID>5936BF77</paraID>
      <start>2</start>
      <end>3</end>
      <status>ignored</status>
      <modifiedWord/>
      <trackRevisions>false</trackRevisions>
    </reviewItem>
    <reviewItem>
      <errorID>6d0c6924-ed70-4598-89fa-72b73c1a55df</errorID>
      <errorWord>~</errorWord>
      <group>L1_Format</group>
      <groupName>格式问题</groupName>
      <ability>L2_HalfPunc</ability>
      <abilityName>全半角检查</abilityName>
      <candidateList>
        <item>～</item>
      </candidateList>
      <explain>文本全半角错误。</explain>
      <paraID>1B2E8BAB</paraID>
      <start>2</start>
      <end>3</end>
      <status>ignored</status>
      <modifiedWord/>
      <trackRevisions>false</trackRevisions>
    </reviewItem>
    <reviewItem>
      <errorID>fcff4e4c-b3d1-489c-8c38-82eb5536ed9f</errorID>
      <errorWord>~</errorWord>
      <group>L1_Format</group>
      <groupName>格式问题</groupName>
      <ability>L2_HalfPunc</ability>
      <abilityName>全半角检查</abilityName>
      <candidateList>
        <item>～</item>
      </candidateList>
      <explain>文本全半角错误。</explain>
      <paraID>3C064210</paraID>
      <start>2</start>
      <end>3</end>
      <status>ignored</status>
      <modifiedWord/>
      <trackRevisions>false</trackRevisions>
    </reviewItem>
    <reviewItem>
      <errorID>fa4d6d58-ab27-4f4b-b11c-244b64872563</errorID>
      <errorWord>胶粘剂</errorWord>
      <group>L1_Word</group>
      <groupName>字词问题</groupName>
      <ability>L2_Typo</ability>
      <abilityName>字词错误</abilityName>
      <candidateList>
        <item>胶黏剂</item>
      </candidateList>
      <explain/>
      <paraID>3242CC73</paraID>
      <start>149</start>
      <end>152</end>
      <status>ignored</status>
      <modifiedWord/>
      <trackRevisions>false</trackRevisions>
    </reviewItem>
    <reviewItem>
      <errorID>0dba94b0-1213-4deb-8623-1fdf73d27f6d</errorID>
      <errorWord>胶粘剂</errorWord>
      <group>L1_Word</group>
      <groupName>字词问题</groupName>
      <ability>L2_Typo</ability>
      <abilityName>字词错误</abilityName>
      <candidateList>
        <item>胶黏剂</item>
      </candidateList>
      <explain/>
      <paraID>3242CC73</paraID>
      <start>310</start>
      <end>313</end>
      <status>ignored</status>
      <modifiedWord/>
      <trackRevisions>false</trackRevisions>
    </reviewItem>
    <reviewItem>
      <errorID>95e949dd-9c26-44af-9b7b-2741a0a8ddab</errorID>
      <errorWord>胶粘剂</errorWord>
      <group>L1_Word</group>
      <groupName>字词问题</groupName>
      <ability>L2_Typo</ability>
      <abilityName>字词错误</abilityName>
      <candidateList>
        <item>胶黏剂</item>
      </candidateList>
      <explain/>
      <paraID>3F27DEC2</paraID>
      <start>381</start>
      <end>384</end>
      <status>ignored</status>
      <modifiedWord/>
      <trackRevisions>false</trackRevisions>
    </reviewItem>
    <reviewItem>
      <errorID>ca41d1e2-4fbe-4d5b-a374-16e980509919</errorID>
      <errorWord>胶粘剂</errorWord>
      <group>L1_Word</group>
      <groupName>字词问题</groupName>
      <ability>L2_Typo</ability>
      <abilityName>字词错误</abilityName>
      <candidateList>
        <item>胶黏剂</item>
      </candidateList>
      <explain/>
      <paraID>26C5F6B6</paraID>
      <start>1</start>
      <end>4</end>
      <status>ignored</status>
      <modifiedWord/>
      <trackRevisions>false</trackRevisions>
    </reviewItem>
    <reviewItem>
      <errorID>d3501d9a-da50-4956-801a-9a4343ee347e</errorID>
      <errorWord>胶粘剂</errorWord>
      <group>L1_Word</group>
      <groupName>字词问题</groupName>
      <ability>L2_Typo</ability>
      <abilityName>字词错误</abilityName>
      <candidateList>
        <item>胶黏剂</item>
      </candidateList>
      <explain/>
      <paraID>50022EC0</paraID>
      <start>4</start>
      <end>7</end>
      <status>ignored</status>
      <modifiedWord/>
      <trackRevisions>false</trackRevisions>
    </reviewItem>
    <reviewItem>
      <errorID>8db857f0-92e2-4bce-8b73-50390bfe412b</errorID>
      <errorWord>胶粘剂</errorWord>
      <group>L1_Word</group>
      <groupName>字词问题</groupName>
      <ability>L2_Typo</ability>
      <abilityName>字词错误</abilityName>
      <candidateList>
        <item>胶黏剂</item>
      </candidateList>
      <explain/>
      <paraID>4C4A7C04</paraID>
      <start>16</start>
      <end>19</end>
      <status>ignored</status>
      <modifiedWord/>
      <trackRevisions>false</trackRevisions>
    </reviewItem>
    <reviewItem>
      <errorID>4312e95e-1176-4334-a029-88016f056958</errorID>
      <errorWord>法制观念</errorWord>
      <group>L1_Political</group>
      <groupName>政治性问题</groupName>
      <ability>L2_Unpolitical</ability>
      <abilityName>政治敏感错误</abilityName>
      <candidateList>
        <item>法治观念</item>
      </candidateList>
      <explain/>
      <paraID> 4BF6F72</paraID>
      <start>44</start>
      <end>48</end>
      <status>modified</status>
      <modifiedWord>法治观念</modifiedWord>
      <trackRevisions>false</trackRevisions>
    </reviewItem>
    <reviewItem>
      <errorID>eb46027f-e336-4392-933a-2b88695a2415</errorID>
      <errorWord>关头</errorWord>
      <group>L1_Word</group>
      <groupName>字词问题</groupName>
      <ability>L2_Typo</ability>
      <abilityName>字词错误</abilityName>
      <candidateList>
        <item>源头</item>
      </candidateList>
      <explain/>
      <paraID>39CFAE7F</paraID>
      <start>18</start>
      <end>20</end>
      <status>modified</status>
      <modifiedWord>源头</modifiedWord>
      <trackRevisions>false</trackRevisions>
    </reviewItem>
    <reviewItem>
      <errorID>56fa8398-fb0e-408b-9616-f2ceaef9293a</errorID>
      <errorWord>提高</errorWord>
      <group>L1_Grammar</group>
      <groupName>语法问题</groupName>
      <ability>L2_Grammar</ability>
      <abilityName>语法错误</abilityName>
      <candidateList>
        <item>增强</item>
      </candidateList>
      <explain>“提高～意识”搭配不当，建议修改为“增强～意识”。</explain>
      <paraID>4EBF1520</paraID>
      <start>131</start>
      <end>133</end>
      <status>ignored</status>
      <modifiedWord/>
      <trackRevisions>false</trackRevisions>
    </reviewItem>
    <reviewItem>
      <errorID>2a755073-1143-4df3-97d8-06d14cb12965</errorID>
      <errorWord>[1996]470号</errorWord>
      <group>L1_Knowledge</group>
      <groupName>知识性问题</groupName>
      <ability>L2_Knowledge</ability>
      <abilityName>其他知识</abilityName>
      <candidateList>
        <item>〔1996〕470号</item>
      </candidateList>
      <explain>发文字号格式错误。</explain>
      <paraID>776266FA</paraID>
      <start>39</start>
      <end>49</end>
      <status>modified</status>
      <modifiedWord>〔1996〕470号</modifiedWord>
      <trackRevisions>false</trackRevisions>
    </reviewItem>
    <reviewItem>
      <errorID>77d8cca0-0834-4b80-ba20-2f57e2b7656f</errorID>
      <errorWord>水</errorWord>
      <group>L1_Word</group>
      <groupName>字词问题</groupName>
      <ability>L2_Typo</ability>
      <abilityName>字词错误</abilityName>
      <candidateList>
        <item>水口</item>
      </candidateList>
      <explain/>
      <paraID>124301A5</paraID>
      <start>46</start>
      <end>47</end>
      <status>ignored</status>
      <modifiedWord/>
      <trackRevisions>false</trackRevisions>
    </reviewItem>
    <reviewItem>
      <errorID>e2f732e4-3b08-4810-814a-547cbfa1b427</errorID>
      <errorWord>属</errorWord>
      <group>L1_Word</group>
      <groupName>字词问题</groupName>
      <ability>L2_Typo</ability>
      <abilityName>字词错误</abilityName>
      <candidateList>
        <item>属于</item>
      </candidateList>
      <explain/>
      <paraID>70B6FAD3</paraID>
      <start>114</start>
      <end>115</end>
      <status>ignored</status>
      <modifiedWord/>
      <trackRevisions>false</trackRevisions>
    </reviewItem>
    <reviewItem>
      <errorID>7e1f228a-e1d8-4697-a0d7-513884df6b11</errorID>
      <errorWord>胶粘剂</errorWord>
      <group>L1_Word</group>
      <groupName>字词问题</groupName>
      <ability>L2_Typo</ability>
      <abilityName>字词错误</abilityName>
      <candidateList>
        <item>胶黏剂</item>
      </candidateList>
      <explain/>
      <paraID>1CE5E1BF</paraID>
      <start>56</start>
      <end>59</end>
      <status>ignored</status>
      <modifiedWord/>
      <trackRevisions>false</trackRevisions>
    </reviewItem>
    <reviewItem>
      <errorID>0d1afdc8-58a7-4b0c-986c-af63502a055b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43CF6A0E</paraID>
      <start>106</start>
      <end>107</end>
      <status>ignored</status>
      <modifiedWord/>
      <trackRevisions>false</trackRevisions>
    </reviewItem>
    <reviewItem>
      <errorID>9455e621-da78-461b-90ba-d9db189dceb6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43CF6A0E</paraID>
      <start>156</start>
      <end>157</end>
      <status>ignored</status>
      <modifiedWord/>
      <trackRevisions>false</trackRevisions>
    </reviewItem>
    <reviewItem>
      <errorID>ef93826d-c583-47a9-ab87-6fc48f89bc8e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43CF6A0E</paraID>
      <start>298</start>
      <end>299</end>
      <status>ignored</status>
      <modifiedWord/>
      <trackRevisions>false</trackRevisions>
    </reviewItem>
    <reviewItem>
      <errorID>d5e509e4-efaa-441f-a53f-2b2f6a978c22</errorID>
      <errorWord>区</errorWord>
      <group>L1_Word</group>
      <groupName>字词问题</groupName>
      <ability>L2_Typo</ability>
      <abilityName>字词错误</abilityName>
      <candidateList>
        <item>区域</item>
      </candidateList>
      <explain/>
      <paraID>73CB686C</paraID>
      <start>14</start>
      <end>16</end>
      <status>modified</status>
      <modifiedWord>区域</modifiedWord>
      <trackRevisions>false</trackRevisions>
    </reviewItem>
    <reviewItem>
      <errorID>c8cadd75-1cd1-499d-90d9-a888ae755660</errorID>
      <errorWord>胶粘剂</errorWord>
      <group>L1_Word</group>
      <groupName>字词问题</groupName>
      <ability>L2_Typo</ability>
      <abilityName>字词错误</abilityName>
      <candidateList>
        <item>胶黏剂</item>
      </candidateList>
      <explain/>
      <paraID>7A601205</paraID>
      <start>1</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5CEFF-3C67-448B-9A0E-97D71E0949B4}">
  <ds:schemaRefs/>
</ds:datastoreItem>
</file>

<file path=customXml/itemProps3.xml><?xml version="1.0" encoding="utf-8"?>
<ds:datastoreItem xmlns:ds="http://schemas.openxmlformats.org/officeDocument/2006/customXml" ds:itemID="{85B1CFE0-873D-410A-A9C7-21031D858F2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91</Pages>
  <Words>1184</Words>
  <Characters>1284</Characters>
  <Lines>460</Lines>
  <Paragraphs>129</Paragraphs>
  <TotalTime>5</TotalTime>
  <ScaleCrop>false</ScaleCrop>
  <LinksUpToDate>false</LinksUpToDate>
  <CharactersWithSpaces>1288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2025-11-21T02:19:00Z</dcterms:created>
  <dc:creator>86156</dc:creator>
  <cp:lastModifiedBy>姜大师</cp:lastModifiedBy>
  <dcterms:modified xsi:type="dcterms:W3CDTF">2026-02-13T06:02:17Z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01EE33B3DFA847BFA3937DE0A5730907_12</vt:lpwstr>
  </property>
  <property fmtid="{D5CDD505-2E9C-101B-9397-08002B2CF9AE}" pid="4" name="KSOTemplateDocerSaveRecord">
    <vt:lpwstr>eyJoZGlkIjoiYTQxYTUzZDdiNzc4MDNlMzdjOThkYTdlZWU4ZWZlYmMiLCJ1c2VySWQiOiI2NjM4ODE1MjUifQ==</vt:lpwstr>
  </property>
</Properties>
</file>