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A361C">
      <w:pPr>
        <w:rPr>
          <w:rFonts w:ascii="仿宋_GB2312" w:hAnsi="仿宋_GB2312" w:eastAsia="仿宋_GB2312" w:cs="仿宋_GB2312"/>
          <w:szCs w:val="36"/>
        </w:rPr>
      </w:pPr>
    </w:p>
    <w:p w14:paraId="0CBA914A">
      <w:pPr>
        <w:pStyle w:val="8"/>
      </w:pPr>
    </w:p>
    <w:p w14:paraId="6C647170">
      <w:pPr>
        <w:rPr>
          <w:rFonts w:ascii="仿宋_GB2312" w:hAnsi="仿宋_GB2312" w:eastAsia="仿宋_GB2312" w:cs="仿宋_GB2312"/>
          <w:sz w:val="36"/>
          <w:szCs w:val="36"/>
        </w:rPr>
      </w:pPr>
    </w:p>
    <w:p w14:paraId="6460C04F">
      <w:pPr>
        <w:rPr>
          <w:rFonts w:ascii="仿宋_GB2312" w:hAnsi="仿宋_GB2312" w:eastAsia="仿宋_GB2312" w:cs="仿宋_GB2312"/>
          <w:sz w:val="36"/>
          <w:szCs w:val="36"/>
        </w:rPr>
      </w:pPr>
    </w:p>
    <w:p w14:paraId="6EBE82D1">
      <w:pPr>
        <w:rPr>
          <w:rFonts w:ascii="仿宋_GB2312" w:hAnsi="仿宋_GB2312" w:eastAsia="仿宋_GB2312" w:cs="仿宋_GB2312"/>
          <w:sz w:val="36"/>
          <w:szCs w:val="36"/>
        </w:rPr>
      </w:pPr>
    </w:p>
    <w:p w14:paraId="1DAD9040">
      <w:pPr>
        <w:rPr>
          <w:rFonts w:ascii="仿宋_GB2312" w:hAnsi="仿宋_GB2312" w:eastAsia="仿宋_GB2312" w:cs="仿宋_GB2312"/>
          <w:sz w:val="36"/>
          <w:szCs w:val="36"/>
        </w:rPr>
      </w:pPr>
    </w:p>
    <w:p w14:paraId="2683B8B3">
      <w:pPr>
        <w:adjustRightInd w:val="0"/>
        <w:snapToGrid w:val="0"/>
        <w:jc w:val="center"/>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26516F84">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14:paraId="1D2FCF2E">
      <w:pPr>
        <w:rPr>
          <w:rFonts w:ascii="仿宋_GB2312" w:hAnsi="仿宋_GB2312" w:eastAsia="仿宋_GB2312" w:cs="仿宋_GB2312"/>
          <w:sz w:val="36"/>
          <w:szCs w:val="36"/>
        </w:rPr>
      </w:pPr>
    </w:p>
    <w:p w14:paraId="4E2BE257">
      <w:pPr>
        <w:rPr>
          <w:rFonts w:ascii="仿宋_GB2312" w:hAnsi="仿宋_GB2312" w:eastAsia="仿宋_GB2312" w:cs="仿宋_GB2312"/>
          <w:sz w:val="36"/>
          <w:szCs w:val="36"/>
        </w:rPr>
      </w:pPr>
    </w:p>
    <w:p w14:paraId="0496FA27">
      <w:pPr>
        <w:rPr>
          <w:rFonts w:ascii="仿宋_GB2312" w:hAnsi="仿宋_GB2312" w:eastAsia="仿宋_GB2312" w:cs="仿宋_GB2312"/>
          <w:sz w:val="36"/>
          <w:szCs w:val="36"/>
        </w:rPr>
      </w:pPr>
    </w:p>
    <w:p w14:paraId="2F0755C7">
      <w:pPr>
        <w:rPr>
          <w:rFonts w:ascii="仿宋_GB2312" w:hAnsi="仿宋_GB2312" w:eastAsia="仿宋_GB2312" w:cs="仿宋_GB2312"/>
          <w:sz w:val="36"/>
          <w:szCs w:val="36"/>
        </w:rPr>
      </w:pPr>
    </w:p>
    <w:p w14:paraId="47728231">
      <w:pPr>
        <w:rPr>
          <w:rFonts w:ascii="仿宋_GB2312" w:hAnsi="仿宋_GB2312" w:eastAsia="仿宋_GB2312" w:cs="仿宋_GB2312"/>
          <w:sz w:val="36"/>
          <w:szCs w:val="36"/>
        </w:rPr>
      </w:pPr>
    </w:p>
    <w:p w14:paraId="0EF975E9">
      <w:pPr>
        <w:rPr>
          <w:rFonts w:ascii="仿宋_GB2312" w:hAnsi="仿宋_GB2312" w:eastAsia="仿宋_GB2312" w:cs="仿宋_GB2312"/>
          <w:sz w:val="36"/>
          <w:szCs w:val="36"/>
        </w:rPr>
      </w:pPr>
    </w:p>
    <w:p w14:paraId="132D1289">
      <w:pPr>
        <w:rPr>
          <w:rFonts w:ascii="仿宋_GB2312" w:hAnsi="仿宋_GB2312" w:eastAsia="仿宋_GB2312" w:cs="仿宋_GB2312"/>
          <w:sz w:val="36"/>
          <w:szCs w:val="36"/>
        </w:rPr>
      </w:pPr>
    </w:p>
    <w:p w14:paraId="432CCFA9">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项目名称：</w:t>
      </w:r>
      <w:r>
        <w:rPr>
          <w:rFonts w:hint="eastAsia" w:ascii="仿宋_GB2312" w:eastAsia="仿宋_GB2312"/>
          <w:sz w:val="36"/>
          <w:szCs w:val="36"/>
          <w:u w:val="single"/>
        </w:rPr>
        <w:t xml:space="preserve"> 新能源绿色智能智造电缆产业园建设项目  </w:t>
      </w:r>
    </w:p>
    <w:p w14:paraId="29276195">
      <w:pPr>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淮南经开科技有限公</w:t>
      </w:r>
      <w:r>
        <w:rPr>
          <w:rFonts w:ascii="仿宋_GB2312" w:eastAsia="仿宋_GB2312"/>
          <w:sz w:val="36"/>
          <w:szCs w:val="36"/>
          <w:u w:val="single"/>
        </w:rPr>
        <w:t>司</w:t>
      </w:r>
      <w:r>
        <w:rPr>
          <w:rFonts w:hint="eastAsia" w:ascii="仿宋_GB2312" w:eastAsia="仿宋_GB2312"/>
          <w:sz w:val="36"/>
          <w:szCs w:val="36"/>
          <w:u w:val="single"/>
        </w:rPr>
        <w:t xml:space="preserve">       </w:t>
      </w:r>
    </w:p>
    <w:p w14:paraId="66D76D24">
      <w:pPr>
        <w:adjustRightInd w:val="0"/>
        <w:snapToGrid w:val="0"/>
        <w:spacing w:line="288" w:lineRule="auto"/>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二〇二六年二月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7182DA03">
      <w:pPr>
        <w:adjustRightInd w:val="0"/>
        <w:snapToGrid w:val="0"/>
        <w:spacing w:line="288" w:lineRule="auto"/>
        <w:rPr>
          <w:rFonts w:ascii="仿宋_GB2312" w:eastAsia="仿宋_GB2312"/>
          <w:sz w:val="36"/>
          <w:szCs w:val="36"/>
          <w:u w:val="single"/>
        </w:rPr>
      </w:pPr>
      <w:bookmarkStart w:id="0" w:name="_Hlk57884087"/>
    </w:p>
    <w:p w14:paraId="43F2A06C">
      <w:pPr>
        <w:adjustRightInd w:val="0"/>
        <w:snapToGrid w:val="0"/>
        <w:spacing w:line="288" w:lineRule="auto"/>
        <w:rPr>
          <w:rFonts w:ascii="仿宋_GB2312" w:eastAsia="仿宋_GB2312"/>
          <w:sz w:val="36"/>
          <w:szCs w:val="36"/>
        </w:rPr>
      </w:pPr>
    </w:p>
    <w:p w14:paraId="4E012879">
      <w:pPr>
        <w:adjustRightInd w:val="0"/>
        <w:snapToGrid w:val="0"/>
        <w:spacing w:line="288" w:lineRule="auto"/>
        <w:rPr>
          <w:rFonts w:ascii="仿宋_GB2312" w:eastAsia="仿宋_GB2312"/>
          <w:sz w:val="36"/>
          <w:szCs w:val="36"/>
        </w:rPr>
      </w:pPr>
    </w:p>
    <w:p w14:paraId="1D7A909C">
      <w:pPr>
        <w:pStyle w:val="7"/>
        <w:rPr>
          <w:rFonts w:ascii="仿宋_GB2312" w:eastAsia="仿宋_GB2312"/>
          <w:sz w:val="36"/>
          <w:szCs w:val="36"/>
        </w:rPr>
      </w:pPr>
    </w:p>
    <w:p w14:paraId="020A84AC"/>
    <w:bookmarkEnd w:id="0"/>
    <w:p w14:paraId="68905F59">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14:paraId="05A6C144">
      <w:pPr>
        <w:adjustRightInd w:val="0"/>
        <w:snapToGrid w:val="0"/>
        <w:spacing w:line="288" w:lineRule="auto"/>
        <w:ind w:firstLine="1040"/>
        <w:rPr>
          <w:rFonts w:ascii="仿宋_GB2312" w:eastAsia="仿宋_GB2312"/>
          <w:sz w:val="36"/>
          <w:szCs w:val="36"/>
        </w:rPr>
        <w:sectPr>
          <w:headerReference r:id="rId3" w:type="default"/>
          <w:footerReference r:id="rId4" w:type="default"/>
          <w:footerReference r:id="rId5" w:type="even"/>
          <w:pgSz w:w="11906" w:h="16838"/>
          <w:pgMar w:top="1247" w:right="1134" w:bottom="1134" w:left="1247" w:header="851" w:footer="1077" w:gutter="0"/>
          <w:pgNumType w:start="3"/>
          <w:cols w:space="720" w:num="1"/>
          <w:docGrid w:linePitch="312" w:charSpace="0"/>
        </w:sectPr>
      </w:pPr>
    </w:p>
    <w:p w14:paraId="6950EF58">
      <w:pPr>
        <w:pStyle w:val="13"/>
        <w:jc w:val="center"/>
        <w:outlineLvl w:val="0"/>
        <w:rPr>
          <w:rFonts w:ascii="黑体" w:hAnsi="黑体" w:eastAsia="黑体"/>
          <w:snapToGrid w:val="0"/>
          <w:sz w:val="30"/>
          <w:szCs w:val="30"/>
        </w:rPr>
      </w:pPr>
      <w:bookmarkStart w:id="1" w:name="_Toc698820760"/>
      <w:r>
        <w:rPr>
          <w:rFonts w:hint="eastAsia" w:ascii="黑体" w:hAnsi="黑体" w:eastAsia="黑体"/>
          <w:snapToGrid w:val="0"/>
          <w:sz w:val="30"/>
          <w:szCs w:val="30"/>
        </w:rPr>
        <w:t>一、建设项目基本情况</w:t>
      </w:r>
      <w:bookmarkEnd w:id="1"/>
    </w:p>
    <w:tbl>
      <w:tblPr>
        <w:tblStyle w:val="15"/>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744"/>
        <w:gridCol w:w="3023"/>
        <w:gridCol w:w="2585"/>
        <w:gridCol w:w="3098"/>
      </w:tblGrid>
      <w:tr w14:paraId="3DA5A1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60FAF229">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建设项目名称</w:t>
            </w:r>
          </w:p>
        </w:tc>
        <w:tc>
          <w:tcPr>
            <w:tcW w:w="4193" w:type="pct"/>
            <w:gridSpan w:val="3"/>
            <w:vAlign w:val="center"/>
          </w:tcPr>
          <w:p w14:paraId="1628FE04">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新能源绿色智能智造电缆产业园建设项目</w:t>
            </w:r>
          </w:p>
        </w:tc>
      </w:tr>
      <w:tr w14:paraId="1D4CE0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16278D6F">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项目代码</w:t>
            </w:r>
          </w:p>
        </w:tc>
        <w:tc>
          <w:tcPr>
            <w:tcW w:w="4193" w:type="pct"/>
            <w:gridSpan w:val="3"/>
            <w:vAlign w:val="center"/>
          </w:tcPr>
          <w:p w14:paraId="0669A0DD">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2512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340461</w:t>
            </w:r>
            <w:r>
              <w:rPr>
                <w:color w:val="000000" w:themeColor="text1"/>
                <w14:textFill>
                  <w14:solidFill>
                    <w14:schemeClr w14:val="tx1"/>
                  </w14:solidFill>
                </w14:textFill>
              </w:rPr>
              <w:t>-04-0</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630132</w:t>
            </w:r>
          </w:p>
        </w:tc>
      </w:tr>
      <w:tr w14:paraId="7B326F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295FB47B">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建设单位联系人</w:t>
            </w:r>
          </w:p>
        </w:tc>
        <w:tc>
          <w:tcPr>
            <w:tcW w:w="1456" w:type="pct"/>
            <w:vAlign w:val="center"/>
          </w:tcPr>
          <w:p w14:paraId="579BAE78">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刘利</w:t>
            </w:r>
          </w:p>
        </w:tc>
        <w:tc>
          <w:tcPr>
            <w:tcW w:w="1245" w:type="pct"/>
            <w:vAlign w:val="center"/>
          </w:tcPr>
          <w:p w14:paraId="0A811EFE">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联系方式</w:t>
            </w:r>
          </w:p>
        </w:tc>
        <w:tc>
          <w:tcPr>
            <w:tcW w:w="1492" w:type="pct"/>
            <w:vAlign w:val="center"/>
          </w:tcPr>
          <w:p w14:paraId="168EB13F">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18055476677</w:t>
            </w:r>
          </w:p>
        </w:tc>
      </w:tr>
      <w:tr w14:paraId="1FF02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58EBF1B0">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建设地点</w:t>
            </w:r>
          </w:p>
        </w:tc>
        <w:tc>
          <w:tcPr>
            <w:tcW w:w="4193" w:type="pct"/>
            <w:gridSpan w:val="3"/>
            <w:vAlign w:val="center"/>
          </w:tcPr>
          <w:p w14:paraId="6EA3E0B3">
            <w:pPr>
              <w:wordWrap w:val="0"/>
              <w:topLinePunct/>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安徽省，淮南市，</w:t>
            </w:r>
            <w:bookmarkStart w:id="6" w:name="_GoBack"/>
            <w:r>
              <w:rPr>
                <w:rFonts w:hint="eastAsia"/>
                <w:color w:val="000000" w:themeColor="text1"/>
                <w14:textFill>
                  <w14:solidFill>
                    <w14:schemeClr w14:val="tx1"/>
                  </w14:solidFill>
                </w14:textFill>
              </w:rPr>
              <w:t>淮南经济技术开发区</w:t>
            </w:r>
            <w:ins w:id="0" w:author="I  DO" w:date="2026-02-26T15:06:15Z">
              <w:r>
                <w:rPr>
                  <w:rFonts w:hint="eastAsia"/>
                  <w:color w:val="000000" w:themeColor="text1"/>
                  <w:lang w:val="en-US" w:eastAsia="zh-CN"/>
                  <w14:textFill>
                    <w14:solidFill>
                      <w14:schemeClr w14:val="tx1"/>
                    </w14:solidFill>
                  </w14:textFill>
                </w:rPr>
                <w:t>长</w:t>
              </w:r>
            </w:ins>
            <w:ins w:id="1" w:author="I  DO" w:date="2026-02-26T15:06:17Z">
              <w:r>
                <w:rPr>
                  <w:rFonts w:hint="eastAsia"/>
                  <w:color w:val="000000" w:themeColor="text1"/>
                  <w:lang w:val="en-US" w:eastAsia="zh-CN"/>
                  <w14:textFill>
                    <w14:solidFill>
                      <w14:schemeClr w14:val="tx1"/>
                    </w14:solidFill>
                  </w14:textFill>
                </w:rPr>
                <w:t>宁</w:t>
              </w:r>
            </w:ins>
            <w:ins w:id="2" w:author="I  DO" w:date="2026-02-26T15:06:18Z">
              <w:r>
                <w:rPr>
                  <w:rFonts w:hint="eastAsia"/>
                  <w:color w:val="000000" w:themeColor="text1"/>
                  <w:lang w:val="en-US" w:eastAsia="zh-CN"/>
                  <w14:textFill>
                    <w14:solidFill>
                      <w14:schemeClr w14:val="tx1"/>
                    </w14:solidFill>
                  </w14:textFill>
                </w:rPr>
                <w:t>路</w:t>
              </w:r>
              <w:bookmarkEnd w:id="6"/>
            </w:ins>
          </w:p>
        </w:tc>
      </w:tr>
      <w:tr w14:paraId="32C6BD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5AD0A84A">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地理坐标</w:t>
            </w:r>
          </w:p>
        </w:tc>
        <w:tc>
          <w:tcPr>
            <w:tcW w:w="4193" w:type="pct"/>
            <w:gridSpan w:val="3"/>
            <w:vAlign w:val="center"/>
          </w:tcPr>
          <w:p w14:paraId="11D4FBA6">
            <w:pPr>
              <w:pStyle w:val="6"/>
              <w:wordWrap w:val="0"/>
              <w:topLinePunct/>
              <w:ind w:firstLine="240" w:firstLineChars="100"/>
              <w:jc w:val="both"/>
              <w:rPr>
                <w:color w:val="000000" w:themeColor="text1"/>
                <w14:textFill>
                  <w14:solidFill>
                    <w14:schemeClr w14:val="tx1"/>
                  </w14:solidFill>
                </w14:textFill>
              </w:rPr>
            </w:pPr>
            <w:r>
              <w:rPr>
                <w:color w:val="000000" w:themeColor="text1"/>
                <w14:textFill>
                  <w14:solidFill>
                    <w14:schemeClr w14:val="tx1"/>
                  </w14:solidFill>
                </w14:textFill>
              </w:rPr>
              <w:t>（东经</w:t>
            </w:r>
            <w:r>
              <w:rPr>
                <w:color w:val="000000" w:themeColor="text1"/>
                <w:u w:val="single"/>
                <w14:textFill>
                  <w14:solidFill>
                    <w14:schemeClr w14:val="tx1"/>
                  </w14:solidFill>
                </w14:textFill>
              </w:rPr>
              <w:t>117</w:t>
            </w:r>
            <w:r>
              <w:rPr>
                <w:color w:val="000000" w:themeColor="text1"/>
                <w14:textFill>
                  <w14:solidFill>
                    <w14:schemeClr w14:val="tx1"/>
                  </w14:solidFill>
                </w14:textFill>
              </w:rPr>
              <w:t>度</w:t>
            </w:r>
            <w:r>
              <w:rPr>
                <w:color w:val="000000" w:themeColor="text1"/>
                <w:u w:val="single"/>
                <w14:textFill>
                  <w14:solidFill>
                    <w14:schemeClr w14:val="tx1"/>
                  </w14:solidFill>
                </w14:textFill>
              </w:rPr>
              <w:t>5</w:t>
            </w:r>
            <w:r>
              <w:rPr>
                <w:color w:val="000000" w:themeColor="text1"/>
                <w14:textFill>
                  <w14:solidFill>
                    <w14:schemeClr w14:val="tx1"/>
                  </w14:solidFill>
                </w14:textFill>
              </w:rPr>
              <w:t>分</w:t>
            </w:r>
            <w:r>
              <w:rPr>
                <w:rFonts w:hint="eastAsia"/>
                <w:color w:val="000000" w:themeColor="text1"/>
                <w:u w:val="single"/>
                <w14:textFill>
                  <w14:solidFill>
                    <w14:schemeClr w14:val="tx1"/>
                  </w14:solidFill>
                </w14:textFill>
              </w:rPr>
              <w:t>24.302</w:t>
            </w:r>
            <w:r>
              <w:rPr>
                <w:color w:val="000000" w:themeColor="text1"/>
                <w14:textFill>
                  <w14:solidFill>
                    <w14:schemeClr w14:val="tx1"/>
                  </w14:solidFill>
                </w14:textFill>
              </w:rPr>
              <w:t>秒，北纬</w:t>
            </w:r>
            <w:r>
              <w:rPr>
                <w:color w:val="000000" w:themeColor="text1"/>
                <w:u w:val="single"/>
                <w14:textFill>
                  <w14:solidFill>
                    <w14:schemeClr w14:val="tx1"/>
                  </w14:solidFill>
                </w14:textFill>
              </w:rPr>
              <w:t>3</w:t>
            </w:r>
            <w:r>
              <w:rPr>
                <w:rFonts w:hint="eastAsia"/>
                <w:color w:val="000000" w:themeColor="text1"/>
                <w:u w:val="single"/>
                <w14:textFill>
                  <w14:solidFill>
                    <w14:schemeClr w14:val="tx1"/>
                  </w14:solidFill>
                </w14:textFill>
              </w:rPr>
              <w:t>2</w:t>
            </w:r>
            <w:r>
              <w:rPr>
                <w:color w:val="000000" w:themeColor="text1"/>
                <w14:textFill>
                  <w14:solidFill>
                    <w14:schemeClr w14:val="tx1"/>
                  </w14:solidFill>
                </w14:textFill>
              </w:rPr>
              <w:t>度</w:t>
            </w:r>
            <w:r>
              <w:rPr>
                <w:rFonts w:hint="eastAsia"/>
                <w:color w:val="000000" w:themeColor="text1"/>
                <w:u w:val="single"/>
                <w14:textFill>
                  <w14:solidFill>
                    <w14:schemeClr w14:val="tx1"/>
                  </w14:solidFill>
                </w14:textFill>
              </w:rPr>
              <w:t>39</w:t>
            </w:r>
            <w:r>
              <w:rPr>
                <w:color w:val="000000" w:themeColor="text1"/>
                <w14:textFill>
                  <w14:solidFill>
                    <w14:schemeClr w14:val="tx1"/>
                  </w14:solidFill>
                </w14:textFill>
              </w:rPr>
              <w:t>分</w:t>
            </w:r>
            <w:r>
              <w:rPr>
                <w:rFonts w:hint="eastAsia"/>
                <w:color w:val="000000" w:themeColor="text1"/>
                <w:u w:val="single"/>
                <w14:textFill>
                  <w14:solidFill>
                    <w14:schemeClr w14:val="tx1"/>
                  </w14:solidFill>
                </w14:textFill>
              </w:rPr>
              <w:t>14.284</w:t>
            </w:r>
            <w:r>
              <w:rPr>
                <w:color w:val="000000" w:themeColor="text1"/>
                <w14:textFill>
                  <w14:solidFill>
                    <w14:schemeClr w14:val="tx1"/>
                  </w14:solidFill>
                </w14:textFill>
              </w:rPr>
              <w:t>秒）</w:t>
            </w:r>
          </w:p>
        </w:tc>
      </w:tr>
      <w:tr w14:paraId="6C4F4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06" w:type="pct"/>
            <w:tcMar>
              <w:top w:w="16" w:type="dxa"/>
              <w:left w:w="16" w:type="dxa"/>
              <w:right w:w="16" w:type="dxa"/>
            </w:tcMar>
            <w:vAlign w:val="center"/>
          </w:tcPr>
          <w:p w14:paraId="0D6D8CDE">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国民经济行业类别</w:t>
            </w:r>
          </w:p>
        </w:tc>
        <w:tc>
          <w:tcPr>
            <w:tcW w:w="1456" w:type="pct"/>
            <w:vAlign w:val="center"/>
          </w:tcPr>
          <w:p w14:paraId="3EC1D71F">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w:t>
            </w:r>
            <w:r>
              <w:rPr>
                <w:color w:val="000000" w:themeColor="text1"/>
                <w14:textFill>
                  <w14:solidFill>
                    <w14:schemeClr w14:val="tx1"/>
                  </w14:solidFill>
                </w14:textFill>
              </w:rPr>
              <w:t>3831电线、电缆制造</w:t>
            </w:r>
          </w:p>
          <w:p w14:paraId="2D669C20">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C2929塑料零件及其他塑料制品制造</w:t>
            </w:r>
          </w:p>
        </w:tc>
        <w:tc>
          <w:tcPr>
            <w:tcW w:w="1245" w:type="pct"/>
            <w:vAlign w:val="center"/>
          </w:tcPr>
          <w:p w14:paraId="548045A0">
            <w:pPr>
              <w:wordWrap w:val="0"/>
              <w:topLinePunct/>
              <w:adjustRightInd w:val="0"/>
              <w:snapToGrid w:val="0"/>
              <w:jc w:val="center"/>
              <w:rPr>
                <w:color w:val="000000" w:themeColor="text1"/>
                <w14:textFill>
                  <w14:solidFill>
                    <w14:schemeClr w14:val="tx1"/>
                  </w14:solidFill>
                </w14:textFill>
              </w:rPr>
            </w:pPr>
            <w:bookmarkStart w:id="2" w:name="_Hlk49843745"/>
            <w:r>
              <w:rPr>
                <w:color w:val="000000" w:themeColor="text1"/>
                <w14:textFill>
                  <w14:solidFill>
                    <w14:schemeClr w14:val="tx1"/>
                  </w14:solidFill>
                </w14:textFill>
              </w:rPr>
              <w:t>建设项目行业类别</w:t>
            </w:r>
            <w:bookmarkEnd w:id="2"/>
          </w:p>
        </w:tc>
        <w:tc>
          <w:tcPr>
            <w:tcW w:w="1492" w:type="pct"/>
            <w:vAlign w:val="center"/>
          </w:tcPr>
          <w:p w14:paraId="57FBE856">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三十五、电气机械和器材制造业38电线、电缆、光缆及电工器材制造383</w:t>
            </w:r>
          </w:p>
          <w:p w14:paraId="760D0394">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二十六、橡胶和塑料制品业29塑料制品业292</w:t>
            </w:r>
          </w:p>
        </w:tc>
      </w:tr>
      <w:tr w14:paraId="356FC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06" w:type="pct"/>
            <w:tcMar>
              <w:top w:w="16" w:type="dxa"/>
              <w:left w:w="16" w:type="dxa"/>
              <w:right w:w="16" w:type="dxa"/>
            </w:tcMar>
            <w:vAlign w:val="center"/>
          </w:tcPr>
          <w:p w14:paraId="38F8C5B3">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建设性质</w:t>
            </w:r>
          </w:p>
        </w:tc>
        <w:tc>
          <w:tcPr>
            <w:tcW w:w="1456" w:type="pct"/>
            <w:vAlign w:val="center"/>
          </w:tcPr>
          <w:p w14:paraId="3AC538C6">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新建（迁建）</w:t>
            </w:r>
          </w:p>
          <w:p w14:paraId="3B1FC81D">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改建</w:t>
            </w:r>
          </w:p>
          <w:p w14:paraId="4D4CE59D">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扩建</w:t>
            </w:r>
          </w:p>
          <w:p w14:paraId="1A119327">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技术改造</w:t>
            </w:r>
          </w:p>
        </w:tc>
        <w:tc>
          <w:tcPr>
            <w:tcW w:w="1245" w:type="pct"/>
            <w:vAlign w:val="center"/>
          </w:tcPr>
          <w:p w14:paraId="2F46EDDA">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建设项目</w:t>
            </w:r>
          </w:p>
          <w:p w14:paraId="4F1F7DE4">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申报情形</w:t>
            </w:r>
          </w:p>
        </w:tc>
        <w:tc>
          <w:tcPr>
            <w:tcW w:w="1492" w:type="pct"/>
            <w:vAlign w:val="center"/>
          </w:tcPr>
          <w:p w14:paraId="062D686D">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首次申报项目</w:t>
            </w:r>
          </w:p>
          <w:p w14:paraId="170BD3D9">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不予批准后再次申报项目</w:t>
            </w:r>
          </w:p>
          <w:p w14:paraId="3BCAF2CA">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超五年重新审核项目</w:t>
            </w:r>
          </w:p>
          <w:p w14:paraId="73D109BE">
            <w:pPr>
              <w:wordWrap w:val="0"/>
              <w:topLinePunct/>
              <w:jc w:val="left"/>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重大变动重新报批项目</w:t>
            </w:r>
          </w:p>
        </w:tc>
      </w:tr>
      <w:tr w14:paraId="67717E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06" w:type="pct"/>
            <w:tcMar>
              <w:top w:w="16" w:type="dxa"/>
              <w:left w:w="16" w:type="dxa"/>
              <w:right w:w="16" w:type="dxa"/>
            </w:tcMar>
            <w:vAlign w:val="center"/>
          </w:tcPr>
          <w:p w14:paraId="1B37C4F1">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w:t>
            </w:r>
          </w:p>
          <w:p w14:paraId="458B0301">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备案）部门（选填）</w:t>
            </w:r>
          </w:p>
        </w:tc>
        <w:tc>
          <w:tcPr>
            <w:tcW w:w="1456" w:type="pct"/>
            <w:vAlign w:val="center"/>
          </w:tcPr>
          <w:p w14:paraId="00FF12B6">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淮南经开区经济发展局</w:t>
            </w:r>
          </w:p>
        </w:tc>
        <w:tc>
          <w:tcPr>
            <w:tcW w:w="1245" w:type="pct"/>
            <w:vAlign w:val="center"/>
          </w:tcPr>
          <w:p w14:paraId="547D7F52">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项目审批（核准/</w:t>
            </w:r>
          </w:p>
          <w:p w14:paraId="6D8A5743">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备案）文号（选填）</w:t>
            </w:r>
          </w:p>
        </w:tc>
        <w:tc>
          <w:tcPr>
            <w:tcW w:w="1492" w:type="pct"/>
            <w:vAlign w:val="center"/>
          </w:tcPr>
          <w:p w14:paraId="6F428EE9">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r w14:paraId="11998E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08071AFB">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总投资（万元）</w:t>
            </w:r>
          </w:p>
        </w:tc>
        <w:tc>
          <w:tcPr>
            <w:tcW w:w="1456" w:type="pct"/>
            <w:vAlign w:val="center"/>
          </w:tcPr>
          <w:p w14:paraId="13A2BBD8">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103000</w:t>
            </w:r>
          </w:p>
        </w:tc>
        <w:tc>
          <w:tcPr>
            <w:tcW w:w="1245" w:type="pct"/>
            <w:tcMar>
              <w:top w:w="16" w:type="dxa"/>
              <w:left w:w="16" w:type="dxa"/>
              <w:right w:w="16" w:type="dxa"/>
            </w:tcMar>
            <w:vAlign w:val="center"/>
          </w:tcPr>
          <w:p w14:paraId="650D0AD5">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环保投资（万元）</w:t>
            </w:r>
          </w:p>
        </w:tc>
        <w:tc>
          <w:tcPr>
            <w:tcW w:w="1492" w:type="pct"/>
            <w:vAlign w:val="center"/>
          </w:tcPr>
          <w:p w14:paraId="40658484">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244</w:t>
            </w:r>
          </w:p>
        </w:tc>
      </w:tr>
      <w:tr w14:paraId="166119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4AFAAB17">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环保投资占比（%）</w:t>
            </w:r>
          </w:p>
        </w:tc>
        <w:tc>
          <w:tcPr>
            <w:tcW w:w="1456" w:type="pct"/>
            <w:vAlign w:val="center"/>
          </w:tcPr>
          <w:p w14:paraId="0D827EFB">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0.237</w:t>
            </w:r>
          </w:p>
        </w:tc>
        <w:tc>
          <w:tcPr>
            <w:tcW w:w="1245" w:type="pct"/>
            <w:tcMar>
              <w:top w:w="16" w:type="dxa"/>
              <w:left w:w="16" w:type="dxa"/>
              <w:right w:w="16" w:type="dxa"/>
            </w:tcMar>
            <w:vAlign w:val="center"/>
          </w:tcPr>
          <w:p w14:paraId="624E0CB1">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施工工期</w:t>
            </w:r>
          </w:p>
        </w:tc>
        <w:tc>
          <w:tcPr>
            <w:tcW w:w="1492" w:type="pct"/>
            <w:vAlign w:val="center"/>
          </w:tcPr>
          <w:p w14:paraId="6749D444">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个月</w:t>
            </w:r>
          </w:p>
        </w:tc>
      </w:tr>
      <w:tr w14:paraId="038581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260D09EF">
            <w:pPr>
              <w:wordWrap w:val="0"/>
              <w:topLinePunct/>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是否开工建设</w:t>
            </w:r>
          </w:p>
        </w:tc>
        <w:tc>
          <w:tcPr>
            <w:tcW w:w="1456" w:type="pct"/>
            <w:vAlign w:val="center"/>
          </w:tcPr>
          <w:p w14:paraId="5D42E998">
            <w:pPr>
              <w:wordWrap w:val="0"/>
              <w:topLinePunct/>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sym w:font="Wingdings 2" w:char="0052"/>
            </w:r>
            <w:r>
              <w:rPr>
                <w:color w:val="000000" w:themeColor="text1"/>
                <w14:textFill>
                  <w14:solidFill>
                    <w14:schemeClr w14:val="tx1"/>
                  </w14:solidFill>
                </w14:textFill>
              </w:rPr>
              <w:t>否</w:t>
            </w:r>
          </w:p>
          <w:p w14:paraId="6B0848E7">
            <w:pPr>
              <w:wordWrap w:val="0"/>
              <w:topLinePunct/>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sym w:font="Wingdings 2" w:char="00A3"/>
            </w:r>
            <w:r>
              <w:rPr>
                <w:color w:val="000000" w:themeColor="text1"/>
                <w14:textFill>
                  <w14:solidFill>
                    <w14:schemeClr w14:val="tx1"/>
                  </w14:solidFill>
                </w14:textFill>
              </w:rPr>
              <w:t>是：</w:t>
            </w:r>
            <w:r>
              <w:rPr>
                <w:color w:val="000000" w:themeColor="text1"/>
                <w:u w:val="single"/>
                <w14:textFill>
                  <w14:solidFill>
                    <w14:schemeClr w14:val="tx1"/>
                  </w14:solidFill>
                </w14:textFill>
              </w:rPr>
              <w:t xml:space="preserve">             </w:t>
            </w:r>
          </w:p>
        </w:tc>
        <w:tc>
          <w:tcPr>
            <w:tcW w:w="1245" w:type="pct"/>
            <w:tcMar>
              <w:top w:w="16" w:type="dxa"/>
              <w:left w:w="16" w:type="dxa"/>
              <w:right w:w="16" w:type="dxa"/>
            </w:tcMar>
            <w:vAlign w:val="center"/>
          </w:tcPr>
          <w:p w14:paraId="37E1BA35">
            <w:pPr>
              <w:wordWrap w:val="0"/>
              <w:topLinePunct/>
              <w:adjustRightInd w:val="0"/>
              <w:snapToGrid w:val="0"/>
              <w:jc w:val="center"/>
              <w:rPr>
                <w:color w:val="000000" w:themeColor="text1"/>
                <w:spacing w:val="-6"/>
                <w14:textFill>
                  <w14:solidFill>
                    <w14:schemeClr w14:val="tx1"/>
                  </w14:solidFill>
                </w14:textFill>
              </w:rPr>
            </w:pPr>
            <w:r>
              <w:rPr>
                <w:color w:val="000000" w:themeColor="text1"/>
                <w:spacing w:val="-6"/>
                <w14:textFill>
                  <w14:solidFill>
                    <w14:schemeClr w14:val="tx1"/>
                  </w14:solidFill>
                </w14:textFill>
              </w:rPr>
              <w:t>用地（用海）</w:t>
            </w:r>
          </w:p>
          <w:p w14:paraId="69B1597F">
            <w:pPr>
              <w:wordWrap w:val="0"/>
              <w:topLinePunct/>
              <w:adjustRightInd w:val="0"/>
              <w:snapToGrid w:val="0"/>
              <w:jc w:val="center"/>
              <w:rPr>
                <w:color w:val="000000" w:themeColor="text1"/>
                <w14:textFill>
                  <w14:solidFill>
                    <w14:schemeClr w14:val="tx1"/>
                  </w14:solidFill>
                </w14:textFill>
              </w:rPr>
            </w:pPr>
            <w:r>
              <w:rPr>
                <w:color w:val="000000" w:themeColor="text1"/>
                <w:spacing w:val="-6"/>
                <w14:textFill>
                  <w14:solidFill>
                    <w14:schemeClr w14:val="tx1"/>
                  </w14:solidFill>
                </w14:textFill>
              </w:rPr>
              <w:t>面积（m</w:t>
            </w:r>
            <w:r>
              <w:rPr>
                <w:color w:val="000000" w:themeColor="text1"/>
                <w:spacing w:val="-6"/>
                <w:vertAlign w:val="superscript"/>
                <w14:textFill>
                  <w14:solidFill>
                    <w14:schemeClr w14:val="tx1"/>
                  </w14:solidFill>
                </w14:textFill>
              </w:rPr>
              <w:t>2</w:t>
            </w:r>
            <w:r>
              <w:rPr>
                <w:color w:val="000000" w:themeColor="text1"/>
                <w:spacing w:val="-6"/>
                <w14:textFill>
                  <w14:solidFill>
                    <w14:schemeClr w14:val="tx1"/>
                  </w14:solidFill>
                </w14:textFill>
              </w:rPr>
              <w:t>）</w:t>
            </w:r>
          </w:p>
        </w:tc>
        <w:tc>
          <w:tcPr>
            <w:tcW w:w="1492" w:type="pct"/>
            <w:vAlign w:val="center"/>
          </w:tcPr>
          <w:p w14:paraId="53C33999">
            <w:pPr>
              <w:wordWrap w:val="0"/>
              <w:topLinePunct/>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60545.40</w:t>
            </w:r>
          </w:p>
        </w:tc>
      </w:tr>
      <w:tr w14:paraId="42103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06" w:type="pct"/>
            <w:vAlign w:val="center"/>
          </w:tcPr>
          <w:p w14:paraId="33D7C356">
            <w:pPr>
              <w:wordWrap w:val="0"/>
              <w:topLinePunct/>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专项评价设置情况</w:t>
            </w:r>
          </w:p>
        </w:tc>
        <w:tc>
          <w:tcPr>
            <w:tcW w:w="4193" w:type="pct"/>
            <w:gridSpan w:val="3"/>
            <w:vAlign w:val="center"/>
          </w:tcPr>
          <w:p w14:paraId="776D9594">
            <w:pPr>
              <w:wordWrap w:val="0"/>
              <w:topLinePunct/>
              <w:adjustRightInd w:val="0"/>
              <w:snapToGrid w:val="0"/>
              <w:jc w:val="center"/>
              <w:rPr>
                <w:color w:val="000000" w:themeColor="text1"/>
                <w:kern w:val="0"/>
                <w14:textFill>
                  <w14:solidFill>
                    <w14:schemeClr w14:val="tx1"/>
                  </w14:solidFill>
                </w14:textFill>
              </w:rPr>
            </w:pPr>
            <w:r>
              <w:rPr>
                <w:color w:val="000000" w:themeColor="text1"/>
                <w:lang w:bidi="ar"/>
                <w14:textFill>
                  <w14:solidFill>
                    <w14:schemeClr w14:val="tx1"/>
                  </w14:solidFill>
                </w14:textFill>
              </w:rPr>
              <w:t>无</w:t>
            </w:r>
          </w:p>
        </w:tc>
      </w:tr>
      <w:tr w14:paraId="29A77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806" w:type="pct"/>
            <w:vAlign w:val="center"/>
          </w:tcPr>
          <w:p w14:paraId="035C9854">
            <w:pPr>
              <w:wordWrap w:val="0"/>
              <w:topLinePunct/>
              <w:adjustRightInd w:val="0"/>
              <w:snapToGrid w:val="0"/>
              <w:jc w:val="center"/>
              <w:rPr>
                <w:color w:val="000000" w:themeColor="text1"/>
                <w:kern w:val="0"/>
                <w14:textFill>
                  <w14:solidFill>
                    <w14:schemeClr w14:val="tx1"/>
                  </w14:solidFill>
                </w14:textFill>
              </w:rPr>
            </w:pPr>
            <w:r>
              <w:rPr>
                <w:color w:val="000000" w:themeColor="text1"/>
                <w14:textFill>
                  <w14:solidFill>
                    <w14:schemeClr w14:val="tx1"/>
                  </w14:solidFill>
                </w14:textFill>
              </w:rPr>
              <w:t>规划情况</w:t>
            </w:r>
          </w:p>
        </w:tc>
        <w:tc>
          <w:tcPr>
            <w:tcW w:w="4193" w:type="pct"/>
            <w:gridSpan w:val="3"/>
            <w:vAlign w:val="center"/>
          </w:tcPr>
          <w:p w14:paraId="124C8BCF">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1、规划名称：</w:t>
            </w:r>
            <w:r>
              <w:rPr>
                <w:rFonts w:hint="eastAsia"/>
                <w:color w:val="000000" w:themeColor="text1"/>
                <w14:textFill>
                  <w14:solidFill>
                    <w14:schemeClr w14:val="tx1"/>
                  </w14:solidFill>
                </w14:textFill>
              </w:rPr>
              <w:t>《淮南经济技术开发区总体发展规划》</w:t>
            </w:r>
          </w:p>
          <w:p w14:paraId="1D9C4E02">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审批机关：</w:t>
            </w:r>
            <w:r>
              <w:rPr>
                <w:rFonts w:hint="eastAsia"/>
                <w:color w:val="000000" w:themeColor="text1"/>
                <w14:textFill>
                  <w14:solidFill>
                    <w14:schemeClr w14:val="tx1"/>
                  </w14:solidFill>
                </w14:textFill>
              </w:rPr>
              <w:t>安徽省人民政府</w:t>
            </w:r>
          </w:p>
          <w:p w14:paraId="106952FC">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审批文件：</w:t>
            </w:r>
            <w:r>
              <w:rPr>
                <w:rFonts w:hint="eastAsia"/>
                <w:color w:val="000000" w:themeColor="text1"/>
                <w14:textFill>
                  <w14:solidFill>
                    <w14:schemeClr w14:val="tx1"/>
                  </w14:solidFill>
                </w14:textFill>
              </w:rPr>
              <w:t>《关于淮南经济开发区总体规划的批复》</w:t>
            </w:r>
          </w:p>
          <w:p w14:paraId="33A14020">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审批文号：</w:t>
            </w:r>
            <w:r>
              <w:rPr>
                <w:rFonts w:hint="eastAsia"/>
                <w:color w:val="000000" w:themeColor="text1"/>
                <w14:textFill>
                  <w14:solidFill>
                    <w14:schemeClr w14:val="tx1"/>
                  </w14:solidFill>
                </w14:textFill>
              </w:rPr>
              <w:t>皖政秘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1995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88号</w:t>
            </w:r>
          </w:p>
          <w:p w14:paraId="4C25D667">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2、规划名称：</w:t>
            </w:r>
            <w:r>
              <w:rPr>
                <w:rFonts w:hint="eastAsia"/>
                <w:color w:val="000000" w:themeColor="text1"/>
                <w14:textFill>
                  <w14:solidFill>
                    <w14:schemeClr w14:val="tx1"/>
                  </w14:solidFill>
                </w14:textFill>
              </w:rPr>
              <w:t>《淮南市东部工业区总体规划（2008-2020）》</w:t>
            </w:r>
          </w:p>
          <w:p w14:paraId="629F11E5">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审批机关：</w:t>
            </w:r>
            <w:r>
              <w:rPr>
                <w:rFonts w:hint="eastAsia"/>
                <w:color w:val="000000" w:themeColor="text1"/>
                <w14:textFill>
                  <w14:solidFill>
                    <w14:schemeClr w14:val="tx1"/>
                  </w14:solidFill>
                </w14:textFill>
              </w:rPr>
              <w:t>淮南市人民政府</w:t>
            </w:r>
          </w:p>
          <w:p w14:paraId="0B7E6E4A">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审批文件名称：</w:t>
            </w:r>
            <w:r>
              <w:rPr>
                <w:rFonts w:hint="eastAsia"/>
                <w:color w:val="000000" w:themeColor="text1"/>
                <w14:textFill>
                  <w14:solidFill>
                    <w14:schemeClr w14:val="tx1"/>
                  </w14:solidFill>
                </w14:textFill>
              </w:rPr>
              <w:t>《关于淮南东部工业区总体规划的批复》</w:t>
            </w:r>
          </w:p>
          <w:p w14:paraId="0C59B62C">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审批文号：</w:t>
            </w:r>
            <w:r>
              <w:rPr>
                <w:rFonts w:hint="eastAsia"/>
                <w:color w:val="000000" w:themeColor="text1"/>
                <w14:textFill>
                  <w14:solidFill>
                    <w14:schemeClr w14:val="tx1"/>
                  </w14:solidFill>
                </w14:textFill>
              </w:rPr>
              <w:t>淮府秘</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09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118号。</w:t>
            </w:r>
          </w:p>
          <w:p w14:paraId="68AE6CAE">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根据原淮南市环保局出具的《淮南市东部工业区总体规划环境影响报告书》审查意见（淮环函</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130号文），淮南东部工业区与安徽淮南经济开发区规划用地范围完全一致，淮南东部工业区即安徽淮南经济技术开发区。四至范围为南至合徐高速公路淮南连接线、西至田大路、东至洛九路、北至电厂路，总面积为20平方公里。</w:t>
            </w:r>
          </w:p>
          <w:p w14:paraId="068C3FFB">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3、规划名称：</w:t>
            </w:r>
            <w:r>
              <w:rPr>
                <w:rFonts w:hint="eastAsia"/>
                <w:color w:val="000000" w:themeColor="text1"/>
                <w14:textFill>
                  <w14:solidFill>
                    <w14:schemeClr w14:val="tx1"/>
                  </w14:solidFill>
                </w14:textFill>
              </w:rPr>
              <w:t>《淮南市国土空间总体规划》（2021-2035年）</w:t>
            </w:r>
          </w:p>
          <w:p w14:paraId="4D7F41D2">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审批机关：</w:t>
            </w:r>
            <w:r>
              <w:rPr>
                <w:rFonts w:hint="eastAsia"/>
                <w:color w:val="000000" w:themeColor="text1"/>
                <w14:textFill>
                  <w14:solidFill>
                    <w14:schemeClr w14:val="tx1"/>
                  </w14:solidFill>
                </w14:textFill>
              </w:rPr>
              <w:t>安徽省人民政府</w:t>
            </w:r>
          </w:p>
          <w:p w14:paraId="260CF3A0">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审批文件名称：</w:t>
            </w:r>
            <w:r>
              <w:rPr>
                <w:rFonts w:hint="eastAsia"/>
                <w:color w:val="000000" w:themeColor="text1"/>
                <w14:textFill>
                  <w14:solidFill>
                    <w14:schemeClr w14:val="tx1"/>
                  </w14:solidFill>
                </w14:textFill>
              </w:rPr>
              <w:t>安徽省人民政府关于《淮南市国土空间总体规划（2021一2035年）》的批复</w:t>
            </w:r>
          </w:p>
          <w:p w14:paraId="59EB0EE6">
            <w:pPr>
              <w:wordWrap w:val="0"/>
              <w:topLinePunct/>
              <w:adjustRightInd w:val="0"/>
              <w:snapToGrid w:val="0"/>
              <w:spacing w:line="360" w:lineRule="auto"/>
              <w:rPr>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审批文号：</w:t>
            </w:r>
            <w:r>
              <w:rPr>
                <w:rFonts w:hint="eastAsia"/>
                <w:color w:val="000000" w:themeColor="text1"/>
                <w14:textFill>
                  <w14:solidFill>
                    <w14:schemeClr w14:val="tx1"/>
                  </w14:solidFill>
                </w14:textFill>
              </w:rPr>
              <w:t>皖政秘（2024）46号。</w:t>
            </w:r>
          </w:p>
        </w:tc>
      </w:tr>
      <w:tr w14:paraId="2F026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vAlign w:val="center"/>
          </w:tcPr>
          <w:p w14:paraId="19557B6A">
            <w:pPr>
              <w:wordWrap w:val="0"/>
              <w:topLinePunct/>
              <w:adjustRightInd w:val="0"/>
              <w:snapToGrid w:val="0"/>
              <w:jc w:val="center"/>
              <w:rPr>
                <w:color w:val="000000" w:themeColor="text1"/>
                <w:kern w:val="0"/>
                <w14:textFill>
                  <w14:solidFill>
                    <w14:schemeClr w14:val="tx1"/>
                  </w14:solidFill>
                </w14:textFill>
              </w:rPr>
            </w:pPr>
            <w:r>
              <w:rPr>
                <w:color w:val="000000" w:themeColor="text1"/>
                <w14:textFill>
                  <w14:solidFill>
                    <w14:schemeClr w14:val="tx1"/>
                  </w14:solidFill>
                </w14:textFill>
              </w:rPr>
              <w:t>规划环境影响评价情况</w:t>
            </w:r>
          </w:p>
        </w:tc>
        <w:tc>
          <w:tcPr>
            <w:tcW w:w="4193" w:type="pct"/>
            <w:gridSpan w:val="3"/>
            <w:vAlign w:val="center"/>
          </w:tcPr>
          <w:p w14:paraId="7F6C49C7">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1、规划环评名称：</w:t>
            </w:r>
            <w:r>
              <w:rPr>
                <w:rFonts w:hint="eastAsia"/>
                <w:color w:val="000000" w:themeColor="text1"/>
                <w14:textFill>
                  <w14:solidFill>
                    <w14:schemeClr w14:val="tx1"/>
                  </w14:solidFill>
                </w14:textFill>
              </w:rPr>
              <w:t>《淮南市东部工业区总体规划环境影响报告书》</w:t>
            </w:r>
          </w:p>
          <w:p w14:paraId="785740F0">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审批机关：</w:t>
            </w:r>
            <w:r>
              <w:rPr>
                <w:rFonts w:hint="eastAsia"/>
                <w:color w:val="000000" w:themeColor="text1"/>
                <w14:textFill>
                  <w14:solidFill>
                    <w14:schemeClr w14:val="tx1"/>
                  </w14:solidFill>
                </w14:textFill>
              </w:rPr>
              <w:t>原淮南市环境保护局</w:t>
            </w:r>
          </w:p>
          <w:p w14:paraId="46633BE3">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审批文件：</w:t>
            </w:r>
            <w:r>
              <w:rPr>
                <w:rFonts w:hint="eastAsia"/>
                <w:color w:val="000000" w:themeColor="text1"/>
                <w14:textFill>
                  <w14:solidFill>
                    <w14:schemeClr w14:val="tx1"/>
                  </w14:solidFill>
                </w14:textFill>
              </w:rPr>
              <w:t>《关于淮南市东部工业园区总体规划环境影响报告书的审查意见函》</w:t>
            </w:r>
          </w:p>
          <w:p w14:paraId="67FD4150">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审批文号：</w:t>
            </w:r>
            <w:r>
              <w:rPr>
                <w:rFonts w:hint="eastAsia"/>
                <w:color w:val="000000" w:themeColor="text1"/>
                <w14:textFill>
                  <w14:solidFill>
                    <w14:schemeClr w14:val="tx1"/>
                  </w14:solidFill>
                </w14:textFill>
              </w:rPr>
              <w:t>淮环函</w:t>
            </w:r>
            <w:r>
              <w:rPr>
                <w:color w:val="000000" w:themeColor="text1"/>
                <w14:textFill>
                  <w14:solidFill>
                    <w14:schemeClr w14:val="tx1"/>
                  </w14:solidFill>
                </w14:textFill>
              </w:rPr>
              <w:t>[201</w:t>
            </w:r>
            <w:r>
              <w:rPr>
                <w:rFonts w:hint="eastAsia"/>
                <w:color w:val="000000" w:themeColor="text1"/>
                <w14:textFill>
                  <w14:solidFill>
                    <w14:schemeClr w14:val="tx1"/>
                  </w14:solidFill>
                </w14:textFill>
              </w:rPr>
              <w:t>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130号</w:t>
            </w:r>
          </w:p>
          <w:p w14:paraId="79BF8FB2">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2、规划跟踪评价名称：</w:t>
            </w:r>
            <w:r>
              <w:rPr>
                <w:rFonts w:hint="eastAsia"/>
                <w:color w:val="000000" w:themeColor="text1"/>
                <w14:textFill>
                  <w14:solidFill>
                    <w14:schemeClr w14:val="tx1"/>
                  </w14:solidFill>
                </w14:textFill>
              </w:rPr>
              <w:t>《淮南经济技术开发区总体发展规划环境影响跟踪评价报告书》</w:t>
            </w:r>
          </w:p>
          <w:p w14:paraId="44F8A69C">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审批机关：</w:t>
            </w:r>
            <w:r>
              <w:rPr>
                <w:rFonts w:hint="eastAsia"/>
                <w:color w:val="000000" w:themeColor="text1"/>
                <w14:textFill>
                  <w14:solidFill>
                    <w14:schemeClr w14:val="tx1"/>
                  </w14:solidFill>
                </w14:textFill>
              </w:rPr>
              <w:t>安徽省生态环境厅</w:t>
            </w:r>
          </w:p>
          <w:p w14:paraId="121C8DC2">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审批文件：</w:t>
            </w:r>
            <w:r>
              <w:rPr>
                <w:rFonts w:hint="eastAsia"/>
                <w:color w:val="000000" w:themeColor="text1"/>
                <w14:textFill>
                  <w14:solidFill>
                    <w14:schemeClr w14:val="tx1"/>
                  </w14:solidFill>
                </w14:textFill>
              </w:rPr>
              <w:t>关于印发《淮南经济技术开发区总体发展规划环境影响跟踪评价报告书审核意见》的函</w:t>
            </w:r>
          </w:p>
          <w:p w14:paraId="6C771235">
            <w:pPr>
              <w:wordWrap w:val="0"/>
              <w:topLinePunct/>
              <w:adjustRightInd w:val="0"/>
              <w:snapToGrid w:val="0"/>
              <w:spacing w:line="360" w:lineRule="auto"/>
              <w:rPr>
                <w:color w:val="000000" w:themeColor="text1"/>
                <w14:textFill>
                  <w14:solidFill>
                    <w14:schemeClr w14:val="tx1"/>
                  </w14:solidFill>
                </w14:textFill>
              </w:rPr>
            </w:pPr>
            <w:r>
              <w:rPr>
                <w:rFonts w:hint="eastAsia"/>
                <w:b/>
                <w:bCs/>
                <w:color w:val="000000" w:themeColor="text1"/>
                <w14:textFill>
                  <w14:solidFill>
                    <w14:schemeClr w14:val="tx1"/>
                  </w14:solidFill>
                </w14:textFill>
              </w:rPr>
              <w:t>审批文号：</w:t>
            </w:r>
            <w:r>
              <w:rPr>
                <w:rFonts w:hint="eastAsia"/>
                <w:color w:val="000000" w:themeColor="text1"/>
                <w14:textFill>
                  <w14:solidFill>
                    <w14:schemeClr w14:val="tx1"/>
                  </w14:solidFill>
                </w14:textFill>
              </w:rPr>
              <w:t>皖环函</w:t>
            </w:r>
            <w:r>
              <w:rPr>
                <w:color w:val="000000" w:themeColor="text1"/>
                <w14:textFill>
                  <w14:solidFill>
                    <w14:schemeClr w14:val="tx1"/>
                  </w14:solidFill>
                </w14:textFill>
              </w:rPr>
              <w:t>[2020]411</w:t>
            </w:r>
            <w:r>
              <w:rPr>
                <w:rFonts w:hint="eastAsia"/>
                <w:color w:val="000000" w:themeColor="text1"/>
                <w14:textFill>
                  <w14:solidFill>
                    <w14:schemeClr w14:val="tx1"/>
                  </w14:solidFill>
                </w14:textFill>
              </w:rPr>
              <w:t>号</w:t>
            </w:r>
          </w:p>
        </w:tc>
      </w:tr>
      <w:tr w14:paraId="4F9BD3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vAlign w:val="center"/>
          </w:tcPr>
          <w:p w14:paraId="0A392C6E">
            <w:pPr>
              <w:wordWrap w:val="0"/>
              <w:topLinePunct/>
              <w:adjustRightInd w:val="0"/>
              <w:snapToGrid w:val="0"/>
              <w:jc w:val="center"/>
              <w:rPr>
                <w:color w:val="000000" w:themeColor="text1"/>
                <w14:textFill>
                  <w14:solidFill>
                    <w14:schemeClr w14:val="tx1"/>
                  </w14:solidFill>
                </w14:textFill>
              </w:rPr>
            </w:pPr>
            <w:r>
              <w:rPr>
                <w:color w:val="000000" w:themeColor="text1"/>
                <w:kern w:val="0"/>
                <w14:textFill>
                  <w14:solidFill>
                    <w14:schemeClr w14:val="tx1"/>
                  </w14:solidFill>
                </w14:textFill>
              </w:rPr>
              <w:t>规划及规划环境影响评价符合性分析</w:t>
            </w:r>
          </w:p>
        </w:tc>
        <w:tc>
          <w:tcPr>
            <w:tcW w:w="4193" w:type="pct"/>
            <w:gridSpan w:val="3"/>
            <w:vAlign w:val="center"/>
          </w:tcPr>
          <w:p w14:paraId="4E6A3A59">
            <w:pPr>
              <w:wordWrap w:val="0"/>
              <w:topLinePunct/>
              <w:adjustRightInd w:val="0"/>
              <w:snapToGrid w:val="0"/>
              <w:spacing w:line="360" w:lineRule="auto"/>
              <w:rPr>
                <w:rFonts w:ascii="宋体" w:hAnsi="宋体" w:cs="宋体"/>
                <w:b/>
                <w:bCs/>
                <w:color w:val="000000" w:themeColor="text1"/>
                <w14:textFill>
                  <w14:solidFill>
                    <w14:schemeClr w14:val="tx1"/>
                  </w14:solidFill>
                </w14:textFill>
              </w:rPr>
            </w:pPr>
            <w:r>
              <w:rPr>
                <w:rFonts w:hint="eastAsia" w:ascii="宋体" w:hAnsi="宋体" w:cs="宋体"/>
                <w:b/>
                <w:bCs/>
                <w:color w:val="000000" w:themeColor="text1"/>
                <w14:textFill>
                  <w14:solidFill>
                    <w14:schemeClr w14:val="tx1"/>
                  </w14:solidFill>
                </w14:textFill>
              </w:rPr>
              <w:t>1、与园区规划符合性分析</w:t>
            </w:r>
          </w:p>
          <w:p w14:paraId="5C4D3F9F">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1995年5月5日，安徽省人民政府批复（皖政秘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1995</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88号）淮南经济技术开发区总体规划，批准规划面积为4.29km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，其中第一期开发建设面积为2km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。四至范围为：东至中兴路，南至合阜铁路，西至建兴路-国庆东路-建设路，北至电厂路。主导产业为“专用设备、医药”。</w:t>
            </w:r>
          </w:p>
          <w:p w14:paraId="1A8EA80E">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2008年，淮南市人民政府委托编制完成《淮南市东部工业区总体规划（2008-2020）》，规划范围为：南至合徐高速公路淮南连接线、西至田大路、东至洛九路、北至电厂路，规划面积20km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，规划主导产业为“生物医药、纺织服装、化学工业、机械电子与新型材料、食品加工、商贸流通”。</w:t>
            </w:r>
          </w:p>
          <w:p w14:paraId="6DD1ED23">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2011年7月24日，安徽省人民政府批准《关于同意安徽淮南经济开发区扩区的批复》（皖政秘</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252号），扩区后淮南经济开发区总体规划面积为20平方公里，规划范围为：东至206国道（洛九路），南至合徐高速淮南连接线公路，西至田大路，北至电厂路。</w:t>
            </w:r>
          </w:p>
          <w:p w14:paraId="29833F91">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2013年3月，中华人民共和国国务院办公厅以国办函[2013]42号文同意安徽淮南经济开发区升级为国家级经济技术开发区，定名为淮南经济技术开发区，四至范围为：东至中兴路，南至合阜铁路，西至建兴路-国庆东路-建设路，北至电厂路。同时，根据《中国开发区审核公告目录》（2018年版），淮南经济技术开发区的主导产业为专用设备、医药，核准面积4.29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2B2A6E3A">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C3831电线电缆制造，位于安徽淮南经济开发区长宁路。结合项目所处的地理位置、区位条件、主导产业特征以及淮南市国土空间规划发展等，依托现状的产业基础，考虑城市产业升级和结构转型的总体要求，按照“以发展资金、技术密集型产业为主、以兴办高新技术企业和现代制造业为主、以生产出口创汇产品为主”的指导思想，确定淮南经济开发区的六大主导产业为：生物医药、纺织服装、化学工业、机械电子与新型材料、食品加工、商贸流通。根据《淮南市国土空间总体规划（2021-2035年）》中心城区土地使用规划图，本项目用地类型为工业用地，符合规划用地要求。本项目不属于规划产业禁止类、限制类项目，可视为允许类，符合规划主导产业要求。</w:t>
            </w:r>
          </w:p>
          <w:p w14:paraId="15D364AA">
            <w:pPr>
              <w:pStyle w:val="8"/>
            </w:pPr>
            <w:r>
              <w:drawing>
                <wp:inline distT="0" distB="0" distL="114300" distR="114300">
                  <wp:extent cx="5388610" cy="3291205"/>
                  <wp:effectExtent l="0" t="0" r="2540" b="444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0"/>
                          <a:stretch>
                            <a:fillRect/>
                          </a:stretch>
                        </pic:blipFill>
                        <pic:spPr>
                          <a:xfrm>
                            <a:off x="0" y="0"/>
                            <a:ext cx="5388610" cy="3291205"/>
                          </a:xfrm>
                          <a:prstGeom prst="rect">
                            <a:avLst/>
                          </a:prstGeom>
                          <a:noFill/>
                          <a:ln>
                            <a:noFill/>
                          </a:ln>
                        </pic:spPr>
                      </pic:pic>
                    </a:graphicData>
                  </a:graphic>
                </wp:inline>
              </w:drawing>
            </w:r>
          </w:p>
          <w:p w14:paraId="69C98D12">
            <w:pPr>
              <w:wordWrap w:val="0"/>
              <w:topLinePunct/>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淮南市国土空间总体规划叠图</w:t>
            </w:r>
          </w:p>
          <w:p w14:paraId="7435D808">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2、与园区规划环评及规划环评审查意见符合性分析</w:t>
            </w:r>
          </w:p>
          <w:p w14:paraId="50ADABB5">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对比《淮南市东部工业区总体规划环境影响报告书》及《关于淮南市东部工业园区总体规划环境影响报告书的审查意见函》（淮环函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130号），本项目与园区规划环评及规划环评审查意见相符性分析见下表所示。</w:t>
            </w:r>
          </w:p>
          <w:p w14:paraId="31A121E3">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 xml:space="preserve">  与规划环评及审查意见符合性分析一览表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
              <w:gridCol w:w="4007"/>
              <w:gridCol w:w="3345"/>
              <w:gridCol w:w="647"/>
            </w:tblGrid>
            <w:tr w14:paraId="7E67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0D9DC0DC">
                  <w:pPr>
                    <w:pStyle w:val="30"/>
                    <w:wordWrap w:val="0"/>
                    <w:topLinePunct/>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序号</w:t>
                  </w:r>
                </w:p>
              </w:tc>
              <w:tc>
                <w:tcPr>
                  <w:tcW w:w="3556" w:type="dxa"/>
                  <w:vAlign w:val="center"/>
                </w:tcPr>
                <w:p w14:paraId="77FC5EA8">
                  <w:pPr>
                    <w:pStyle w:val="30"/>
                    <w:wordWrap w:val="0"/>
                    <w:topLinePunct/>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规划环境影报告书及其审查意见要求</w:t>
                  </w:r>
                </w:p>
              </w:tc>
              <w:tc>
                <w:tcPr>
                  <w:tcW w:w="2968" w:type="dxa"/>
                  <w:vAlign w:val="center"/>
                </w:tcPr>
                <w:p w14:paraId="27C84FB7">
                  <w:pPr>
                    <w:pStyle w:val="30"/>
                    <w:wordWrap w:val="0"/>
                    <w:topLinePunct/>
                    <w:rPr>
                      <w:rFonts w:hint="default"/>
                      <w:b/>
                      <w:color w:val="000000" w:themeColor="text1"/>
                      <w14:textFill>
                        <w14:solidFill>
                          <w14:schemeClr w14:val="tx1"/>
                        </w14:solidFill>
                      </w14:textFill>
                    </w:rPr>
                  </w:pPr>
                  <w:r>
                    <w:rPr>
                      <w:rFonts w:hint="default"/>
                      <w:b/>
                      <w:color w:val="000000" w:themeColor="text1"/>
                      <w14:textFill>
                        <w14:solidFill>
                          <w14:schemeClr w14:val="tx1"/>
                        </w14:solidFill>
                      </w14:textFill>
                    </w:rPr>
                    <w:t>本项目情况分析</w:t>
                  </w:r>
                </w:p>
              </w:tc>
              <w:tc>
                <w:tcPr>
                  <w:tcW w:w="574" w:type="dxa"/>
                  <w:vAlign w:val="center"/>
                </w:tcPr>
                <w:p w14:paraId="4AA6DC8C">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符合性</w:t>
                  </w:r>
                </w:p>
              </w:tc>
            </w:tr>
            <w:tr w14:paraId="52C08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6D8F023D">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p>
              </w:tc>
              <w:tc>
                <w:tcPr>
                  <w:tcW w:w="3556" w:type="dxa"/>
                  <w:vAlign w:val="center"/>
                </w:tcPr>
                <w:p w14:paraId="2255DC6B">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按照《报告书》提出的布局调整意见，进一步完善东部工业区规划，优化用地布局，节约用地，提高土地利用率</w:t>
                  </w:r>
                  <w:r>
                    <w:rPr>
                      <w:color w:val="000000" w:themeColor="text1"/>
                      <w14:textFill>
                        <w14:solidFill>
                          <w14:schemeClr w14:val="tx1"/>
                        </w14:solidFill>
                      </w14:textFill>
                    </w:rPr>
                    <w:t>。</w:t>
                  </w:r>
                </w:p>
              </w:tc>
              <w:tc>
                <w:tcPr>
                  <w:tcW w:w="2968" w:type="dxa"/>
                  <w:vAlign w:val="center"/>
                </w:tcPr>
                <w:p w14:paraId="52F5AAE5">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color w:val="000000" w:themeColor="text1"/>
                      <w:lang w:val="en-US"/>
                      <w14:textFill>
                        <w14:solidFill>
                          <w14:schemeClr w14:val="tx1"/>
                        </w14:solidFill>
                      </w14:textFill>
                    </w:rPr>
                    <w:t>在淮南经济技术开发区规划范围内，</w:t>
                  </w:r>
                  <w:r>
                    <w:rPr>
                      <w:rFonts w:hint="default"/>
                      <w:color w:val="000000" w:themeColor="text1"/>
                      <w14:textFill>
                        <w14:solidFill>
                          <w14:schemeClr w14:val="tx1"/>
                        </w14:solidFill>
                      </w14:textFill>
                    </w:rPr>
                    <w:t>用地类型为工业用地</w:t>
                  </w:r>
                  <w:r>
                    <w:rPr>
                      <w:color w:val="000000" w:themeColor="text1"/>
                      <w14:textFill>
                        <w14:solidFill>
                          <w14:schemeClr w14:val="tx1"/>
                        </w14:solidFill>
                      </w14:textFill>
                    </w:rPr>
                    <w:t>。</w:t>
                  </w:r>
                </w:p>
              </w:tc>
              <w:tc>
                <w:tcPr>
                  <w:tcW w:w="574" w:type="dxa"/>
                  <w:vAlign w:val="center"/>
                </w:tcPr>
                <w:p w14:paraId="35A9EB9C">
                  <w:pPr>
                    <w:pStyle w:val="30"/>
                    <w:wordWrap w:val="0"/>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C9F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3DFCB43C">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2</w:t>
                  </w:r>
                </w:p>
              </w:tc>
              <w:tc>
                <w:tcPr>
                  <w:tcW w:w="3556" w:type="dxa"/>
                  <w:vAlign w:val="center"/>
                </w:tcPr>
                <w:p w14:paraId="229B28E8">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优化集聚区产业结构，提高入区项目技术含量，采用新型清洁生产工艺和设备。严格控制污染严重和有重大环境风险隐患的企业入区，不符合国家产业政策、环保政策及产业要求的项目不得入区</w:t>
                  </w:r>
                  <w:r>
                    <w:rPr>
                      <w:color w:val="000000" w:themeColor="text1"/>
                      <w14:textFill>
                        <w14:solidFill>
                          <w14:schemeClr w14:val="tx1"/>
                        </w14:solidFill>
                      </w14:textFill>
                    </w:rPr>
                    <w:t>。</w:t>
                  </w:r>
                </w:p>
              </w:tc>
              <w:tc>
                <w:tcPr>
                  <w:tcW w:w="2968" w:type="dxa"/>
                  <w:vAlign w:val="center"/>
                </w:tcPr>
                <w:p w14:paraId="357D0E38">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选用的110kV悬链式(CCV)生产线，采用的是国际先进的氮气保护干法交联工艺，配备在线测偏及应力消除系统，主要用于生产高压及超高压电缆。该工艺完全不同于《产业结构调整指导目录(2024年本)》中限制的</w:t>
                  </w:r>
                  <w:r>
                    <w:rPr>
                      <w:color w:val="000000" w:themeColor="text1"/>
                      <w14:textFill>
                        <w14:solidFill>
                          <w14:schemeClr w14:val="tx1"/>
                        </w14:solidFill>
                      </w14:textFill>
                    </w:rPr>
                    <w:t>“</w:t>
                  </w:r>
                  <w:r>
                    <w:rPr>
                      <w:rFonts w:hint="default"/>
                      <w:color w:val="000000" w:themeColor="text1"/>
                      <w14:textFill>
                        <w14:solidFill>
                          <w14:schemeClr w14:val="tx1"/>
                        </w14:solidFill>
                      </w14:textFill>
                    </w:rPr>
                    <w:t>6千伏及以上干法交联</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或落后的蒸汽交联工艺，属于国家鼓励的高端装备制造范畴。本项目已取得</w:t>
                  </w:r>
                  <w:r>
                    <w:rPr>
                      <w:color w:val="000000" w:themeColor="text1"/>
                      <w:lang w:val="en-US"/>
                      <w14:textFill>
                        <w14:solidFill>
                          <w14:schemeClr w14:val="tx1"/>
                        </w14:solidFill>
                      </w14:textFill>
                    </w:rPr>
                    <w:t>淮南经济技术开发区经济发展局</w:t>
                  </w:r>
                  <w:r>
                    <w:rPr>
                      <w:rFonts w:hint="default"/>
                      <w:color w:val="000000" w:themeColor="text1"/>
                      <w14:textFill>
                        <w14:solidFill>
                          <w14:schemeClr w14:val="tx1"/>
                        </w14:solidFill>
                      </w14:textFill>
                    </w:rPr>
                    <w:t>批复的备案</w:t>
                  </w:r>
                  <w:r>
                    <w:rPr>
                      <w:color w:val="000000" w:themeColor="text1"/>
                      <w:lang w:val="en-US"/>
                      <w14:textFill>
                        <w14:solidFill>
                          <w14:schemeClr w14:val="tx1"/>
                        </w14:solidFill>
                      </w14:textFill>
                    </w:rPr>
                    <w:t>表</w:t>
                  </w:r>
                  <w:r>
                    <w:rPr>
                      <w:rFonts w:hint="default"/>
                      <w:color w:val="000000" w:themeColor="text1"/>
                      <w14:textFill>
                        <w14:solidFill>
                          <w14:schemeClr w14:val="tx1"/>
                        </w14:solidFill>
                      </w14:textFill>
                    </w:rPr>
                    <w:t>。。项目建设过程中，将严格执行国家关于能耗、环保、安全的强制性标准，采用低能耗设备和环保材料</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符合国家产业政策、环保政策及产业要求</w:t>
                  </w:r>
                  <w:r>
                    <w:rPr>
                      <w:color w:val="000000" w:themeColor="text1"/>
                      <w14:textFill>
                        <w14:solidFill>
                          <w14:schemeClr w14:val="tx1"/>
                        </w14:solidFill>
                      </w14:textFill>
                    </w:rPr>
                    <w:t>。</w:t>
                  </w:r>
                </w:p>
              </w:tc>
              <w:tc>
                <w:tcPr>
                  <w:tcW w:w="574" w:type="dxa"/>
                  <w:vAlign w:val="center"/>
                </w:tcPr>
                <w:p w14:paraId="19974E31">
                  <w:pPr>
                    <w:pStyle w:val="30"/>
                    <w:wordWrap w:val="0"/>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59EF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6ADC4185">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3</w:t>
                  </w:r>
                </w:p>
              </w:tc>
              <w:tc>
                <w:tcPr>
                  <w:tcW w:w="3556" w:type="dxa"/>
                  <w:vAlign w:val="center"/>
                </w:tcPr>
                <w:p w14:paraId="1ECA884D">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排水采取雨污分流制。远期实现工业废水和生活污水分系统排放。生活污水纳入城市污水管网，进入淮南市第一污水处理厂。工业区污水处理厂和污水管网建成后，区内各企业污废水自行处理达到接管标准后进入区内污水处理厂，区内污水处理厂和污水管网未建成，各企业废水必须处理后达到《污水综合排放标准》（GB8978—1996）一级标准的要求</w:t>
                  </w:r>
                </w:p>
              </w:tc>
              <w:tc>
                <w:tcPr>
                  <w:tcW w:w="2968" w:type="dxa"/>
                  <w:vAlign w:val="center"/>
                </w:tcPr>
                <w:p w14:paraId="5ADBA48C">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本项目采取雨污分流制，项目位于淮南经济技术开发区工业污水处理厂服务范围内。项目废水经预处理后达到淮南经济技术开发区工业污水处理厂接管标准后，接管入淮南经济技术开发区工业污水处理厂</w:t>
                  </w:r>
                  <w:r>
                    <w:rPr>
                      <w:color w:val="000000" w:themeColor="text1"/>
                      <w14:textFill>
                        <w14:solidFill>
                          <w14:schemeClr w14:val="tx1"/>
                        </w14:solidFill>
                      </w14:textFill>
                    </w:rPr>
                    <w:t>，尾水外排执行《城镇污水处理厂污染物排放标准》（GB18918-2002）</w:t>
                  </w:r>
                  <w:r>
                    <w:rPr>
                      <w:color w:val="000000" w:themeColor="text1"/>
                      <w:lang w:val="en-US"/>
                      <w14:textFill>
                        <w14:solidFill>
                          <w14:schemeClr w14:val="tx1"/>
                        </w14:solidFill>
                      </w14:textFill>
                    </w:rPr>
                    <w:t>及修改单</w:t>
                  </w:r>
                  <w:r>
                    <w:rPr>
                      <w:color w:val="000000" w:themeColor="text1"/>
                      <w14:textFill>
                        <w14:solidFill>
                          <w14:schemeClr w14:val="tx1"/>
                        </w14:solidFill>
                      </w14:textFill>
                    </w:rPr>
                    <w:t>一级标准中的A标准。</w:t>
                  </w:r>
                </w:p>
              </w:tc>
              <w:tc>
                <w:tcPr>
                  <w:tcW w:w="574" w:type="dxa"/>
                  <w:vAlign w:val="center"/>
                </w:tcPr>
                <w:p w14:paraId="37448000">
                  <w:pPr>
                    <w:pStyle w:val="30"/>
                    <w:wordWrap w:val="0"/>
                    <w:topLinePunc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符合</w:t>
                  </w:r>
                </w:p>
              </w:tc>
            </w:tr>
            <w:tr w14:paraId="35C7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4FEE8C6A">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4</w:t>
                  </w:r>
                </w:p>
              </w:tc>
              <w:tc>
                <w:tcPr>
                  <w:tcW w:w="3556" w:type="dxa"/>
                  <w:vAlign w:val="center"/>
                </w:tcPr>
                <w:p w14:paraId="0D8D8E29">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按照循环经济的要求，提高工业区固废的综合利用率，严禁企业随意弃置。生活垃圾由环卫部门统一清运。企业产生的危险固废的收集、贮存应满足《危险废物贮存污染控制标准》(GB18597—2001）的要求，并送有资质的危险废物处置单位处置，危险废物的转运应执行《危险废物转移联单管理办法》的有关规定</w:t>
                  </w:r>
                </w:p>
              </w:tc>
              <w:tc>
                <w:tcPr>
                  <w:tcW w:w="2968" w:type="dxa"/>
                  <w:vAlign w:val="center"/>
                </w:tcPr>
                <w:p w14:paraId="0A937199">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本项目生活垃圾、由环卫部门统一清运，一般固废综合利用或委托处置，企业产生的危险固废的收集、贮存满足《危险废物贮存污染控制标准》(GB18597-20</w:t>
                  </w:r>
                  <w:r>
                    <w:rPr>
                      <w:rFonts w:hint="default"/>
                      <w:color w:val="000000" w:themeColor="text1"/>
                      <w:lang w:val="en-US"/>
                      <w14:textFill>
                        <w14:solidFill>
                          <w14:schemeClr w14:val="tx1"/>
                        </w14:solidFill>
                      </w14:textFill>
                    </w:rPr>
                    <w:t>23</w:t>
                  </w:r>
                  <w:r>
                    <w:rPr>
                      <w:rFonts w:hint="default"/>
                      <w:color w:val="000000" w:themeColor="text1"/>
                      <w14:textFill>
                        <w14:solidFill>
                          <w14:schemeClr w14:val="tx1"/>
                        </w14:solidFill>
                      </w14:textFill>
                    </w:rPr>
                    <w:t>)的要求，危险废物的转运执行《危险废物转移联单管理办法》的有关规定</w:t>
                  </w:r>
                </w:p>
              </w:tc>
              <w:tc>
                <w:tcPr>
                  <w:tcW w:w="574" w:type="dxa"/>
                  <w:vAlign w:val="center"/>
                </w:tcPr>
                <w:p w14:paraId="55799E9F">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符合</w:t>
                  </w:r>
                </w:p>
              </w:tc>
            </w:tr>
            <w:tr w14:paraId="3939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dxa"/>
                  <w:vAlign w:val="center"/>
                </w:tcPr>
                <w:p w14:paraId="3367142D">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5</w:t>
                  </w:r>
                </w:p>
              </w:tc>
              <w:tc>
                <w:tcPr>
                  <w:tcW w:w="3556" w:type="dxa"/>
                  <w:vAlign w:val="center"/>
                </w:tcPr>
                <w:p w14:paraId="147DD020">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工业区内采用清洁能源，禁止使用燃煤锅炉</w:t>
                  </w:r>
                </w:p>
              </w:tc>
              <w:tc>
                <w:tcPr>
                  <w:tcW w:w="2968" w:type="dxa"/>
                  <w:vAlign w:val="center"/>
                </w:tcPr>
                <w:p w14:paraId="39A623EE">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本项目工艺不涉及燃煤锅炉，不使用天然气等化石燃料，属于典型的清洁能源利用型工业项目。</w:t>
                  </w:r>
                </w:p>
              </w:tc>
              <w:tc>
                <w:tcPr>
                  <w:tcW w:w="574" w:type="dxa"/>
                  <w:vAlign w:val="center"/>
                </w:tcPr>
                <w:p w14:paraId="35BD462A">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符合</w:t>
                  </w:r>
                </w:p>
              </w:tc>
            </w:tr>
          </w:tbl>
          <w:p w14:paraId="7184EF79">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综上所述，本项目建设可满足《淮南市东部工业区总体规划环境影响报告书》及《关于淮南市东部工业园区总体规划环境影响报告书的审查意见函》（淮环函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130号）要求。</w:t>
            </w:r>
          </w:p>
          <w:p w14:paraId="13E3F982">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3、园区规划环评跟踪评价及跟踪评价审查意见符合性分析</w:t>
            </w:r>
          </w:p>
          <w:p w14:paraId="2BE7B024">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比《淮南经济技术开发区总体发展规划环境影响跟踪评价报告书》及《关于印发淮南经济技术开发区总体发展规划环境影响跟踪评价报告书审核意见的函》（皖环函[2020]411号），本项目与园区规划环评跟踪评价及跟踪评价审查意见相符性分析见下表。</w:t>
            </w:r>
          </w:p>
          <w:p w14:paraId="725D2C97">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 xml:space="preserve">  与跟踪评价及跟踪评价审查意见符合性分析一览表</w:t>
            </w:r>
          </w:p>
          <w:tbl>
            <w:tblPr>
              <w:tblStyle w:val="16"/>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3460"/>
              <w:gridCol w:w="3197"/>
              <w:gridCol w:w="957"/>
            </w:tblGrid>
            <w:tr w14:paraId="67FF9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vAlign w:val="center"/>
                </w:tcPr>
                <w:p w14:paraId="7B84A30C">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14:textFill>
                        <w14:solidFill>
                          <w14:schemeClr w14:val="tx1"/>
                        </w14:solidFill>
                      </w14:textFill>
                    </w:rPr>
                    <w:t>序号</w:t>
                  </w:r>
                </w:p>
              </w:tc>
              <w:tc>
                <w:tcPr>
                  <w:tcW w:w="2040" w:type="pct"/>
                  <w:vAlign w:val="center"/>
                </w:tcPr>
                <w:p w14:paraId="2A700FDA">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14:textFill>
                        <w14:solidFill>
                          <w14:schemeClr w14:val="tx1"/>
                        </w14:solidFill>
                      </w14:textFill>
                    </w:rPr>
                    <w:t>跟踪评价及审查意见</w:t>
                  </w:r>
                </w:p>
              </w:tc>
              <w:tc>
                <w:tcPr>
                  <w:tcW w:w="1885" w:type="pct"/>
                  <w:vAlign w:val="center"/>
                </w:tcPr>
                <w:p w14:paraId="281CE7DA">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14:textFill>
                        <w14:solidFill>
                          <w14:schemeClr w14:val="tx1"/>
                        </w14:solidFill>
                      </w14:textFill>
                    </w:rPr>
                    <w:t>本项目情况</w:t>
                  </w:r>
                </w:p>
              </w:tc>
              <w:tc>
                <w:tcPr>
                  <w:tcW w:w="564" w:type="pct"/>
                  <w:vAlign w:val="center"/>
                </w:tcPr>
                <w:p w14:paraId="77F75EDF">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符合性</w:t>
                  </w:r>
                </w:p>
              </w:tc>
            </w:tr>
            <w:tr w14:paraId="3BC2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vAlign w:val="center"/>
                </w:tcPr>
                <w:p w14:paraId="538C700D">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p>
              </w:tc>
              <w:tc>
                <w:tcPr>
                  <w:tcW w:w="2040" w:type="pct"/>
                  <w:vAlign w:val="center"/>
                </w:tcPr>
                <w:p w14:paraId="4DB39536">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组织开展规划环评编制，鉴于开发区现行规划未开展规划环评报生态环境部审查，建议开发区结合淮南市国土空间规划编制，重新组织开展区域总体发展规划编制，并同步开展规划环评报生态环境部审查。</w:t>
                  </w:r>
                </w:p>
              </w:tc>
              <w:tc>
                <w:tcPr>
                  <w:tcW w:w="1885" w:type="pct"/>
                  <w:vAlign w:val="center"/>
                </w:tcPr>
                <w:p w14:paraId="7D70276F">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本项目参照开发区规划部门与结合淮南市国土空间规划，按照国家有关规定，履行环境影响评价</w:t>
                  </w:r>
                  <w:r>
                    <w:rPr>
                      <w:color w:val="000000" w:themeColor="text1"/>
                      <w:lang w:val="en-US"/>
                      <w14:textFill>
                        <w14:solidFill>
                          <w14:schemeClr w14:val="tx1"/>
                        </w14:solidFill>
                      </w14:textFill>
                    </w:rPr>
                    <w:t>手续</w:t>
                  </w:r>
                  <w:r>
                    <w:rPr>
                      <w:rFonts w:hint="default"/>
                      <w:color w:val="000000" w:themeColor="text1"/>
                      <w14:textFill>
                        <w14:solidFill>
                          <w14:schemeClr w14:val="tx1"/>
                        </w14:solidFill>
                      </w14:textFill>
                    </w:rPr>
                    <w:t>。</w:t>
                  </w:r>
                </w:p>
              </w:tc>
              <w:tc>
                <w:tcPr>
                  <w:tcW w:w="564" w:type="pct"/>
                  <w:vAlign w:val="center"/>
                </w:tcPr>
                <w:p w14:paraId="52A5BFF7">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符合</w:t>
                  </w:r>
                </w:p>
              </w:tc>
            </w:tr>
            <w:tr w14:paraId="5B457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vAlign w:val="center"/>
                </w:tcPr>
                <w:p w14:paraId="25B57867">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2040" w:type="pct"/>
                  <w:vAlign w:val="center"/>
                </w:tcPr>
                <w:p w14:paraId="3DD8D651">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完善环境基础设施建设。加快中水回用规划实施，做好管网等配套措施建设，提高中水回用率，完善雨污管网分流改造；现有燃煤工业炉窑不得扩大规模，并实施安徽省大气特别排放限值达标改造</w:t>
                  </w:r>
                  <w:r>
                    <w:rPr>
                      <w:color w:val="000000" w:themeColor="text1"/>
                      <w14:textFill>
                        <w14:solidFill>
                          <w14:schemeClr w14:val="tx1"/>
                        </w14:solidFill>
                      </w14:textFill>
                    </w:rPr>
                    <w:t>。</w:t>
                  </w:r>
                </w:p>
              </w:tc>
              <w:tc>
                <w:tcPr>
                  <w:tcW w:w="1885" w:type="pct"/>
                  <w:vAlign w:val="center"/>
                </w:tcPr>
                <w:p w14:paraId="42A2C588">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14:textFill>
                        <w14:solidFill>
                          <w14:schemeClr w14:val="tx1"/>
                        </w14:solidFill>
                      </w14:textFill>
                    </w:rPr>
                    <w:t>本项目实施雨污分流，位于淮南经济技术开发区，区内基础设施及市政管网配套措施建设完善</w:t>
                  </w:r>
                  <w:r>
                    <w:rPr>
                      <w:color w:val="000000" w:themeColor="text1"/>
                      <w14:textFill>
                        <w14:solidFill>
                          <w14:schemeClr w14:val="tx1"/>
                        </w14:solidFill>
                      </w14:textFill>
                    </w:rPr>
                    <w:t>；</w:t>
                  </w:r>
                  <w:r>
                    <w:rPr>
                      <w:rFonts w:hint="default"/>
                      <w:color w:val="000000" w:themeColor="text1"/>
                      <w14:textFill>
                        <w14:solidFill>
                          <w14:schemeClr w14:val="tx1"/>
                        </w14:solidFill>
                      </w14:textFill>
                    </w:rPr>
                    <w:t>不涉及燃煤工业炉窑。</w:t>
                  </w:r>
                </w:p>
              </w:tc>
              <w:tc>
                <w:tcPr>
                  <w:tcW w:w="564" w:type="pct"/>
                  <w:vAlign w:val="center"/>
                </w:tcPr>
                <w:p w14:paraId="7980BFA7">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符合</w:t>
                  </w:r>
                </w:p>
              </w:tc>
            </w:tr>
            <w:tr w14:paraId="47BB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vAlign w:val="center"/>
                </w:tcPr>
                <w:p w14:paraId="128AEFDC">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2040" w:type="pct"/>
                  <w:vAlign w:val="center"/>
                </w:tcPr>
                <w:p w14:paraId="77208E81">
                  <w:pPr>
                    <w:pStyle w:val="30"/>
                    <w:wordWrap w:val="0"/>
                    <w:topLinePunct/>
                    <w:jc w:val="left"/>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强化区域环境质量改善。以改善区域环境质量为核心，细化开发区“三线一单”并落实。进一步削减现有项目大气污染物排放，提高尾水回用率、降低生产废水排放量，加大地下水和土壤防护力度。</w:t>
                  </w:r>
                </w:p>
              </w:tc>
              <w:tc>
                <w:tcPr>
                  <w:tcW w:w="1885" w:type="pct"/>
                  <w:vAlign w:val="center"/>
                </w:tcPr>
                <w:p w14:paraId="3707E4EC">
                  <w:pPr>
                    <w:pStyle w:val="30"/>
                    <w:wordWrap w:val="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项目实施后严格落实大气污染防治防范措施，实施清洁生产降低生产废水的排放量，采取分区防渗保护措施，促进区域水环境和土壤环境质量改善。</w:t>
                  </w:r>
                </w:p>
              </w:tc>
              <w:tc>
                <w:tcPr>
                  <w:tcW w:w="564" w:type="pct"/>
                  <w:vAlign w:val="center"/>
                </w:tcPr>
                <w:p w14:paraId="44E60787">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0B0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9" w:type="pct"/>
                  <w:vAlign w:val="center"/>
                </w:tcPr>
                <w:p w14:paraId="03D1D433">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4</w:t>
                  </w:r>
                </w:p>
              </w:tc>
              <w:tc>
                <w:tcPr>
                  <w:tcW w:w="2040" w:type="pct"/>
                  <w:vAlign w:val="center"/>
                </w:tcPr>
                <w:p w14:paraId="23C66286">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强化开发区环境管理。督促相关企业完成整改要求。组织区内企业开展环境风险自查，排查环境风险隐患，落实应急预案。结合区域评估相关要求，制订并落实区域环境质量跟踪监测计划</w:t>
                  </w:r>
                  <w:r>
                    <w:rPr>
                      <w:color w:val="000000" w:themeColor="text1"/>
                      <w14:textFill>
                        <w14:solidFill>
                          <w14:schemeClr w14:val="tx1"/>
                        </w14:solidFill>
                      </w14:textFill>
                    </w:rPr>
                    <w:t>。</w:t>
                  </w:r>
                </w:p>
              </w:tc>
              <w:tc>
                <w:tcPr>
                  <w:tcW w:w="1885" w:type="pct"/>
                  <w:vAlign w:val="center"/>
                </w:tcPr>
                <w:p w14:paraId="0CBE78CA">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w:t>
                  </w:r>
                  <w:r>
                    <w:rPr>
                      <w:color w:val="000000" w:themeColor="text1"/>
                      <w:lang w:val="en-US"/>
                      <w14:textFill>
                        <w14:solidFill>
                          <w14:schemeClr w14:val="tx1"/>
                        </w14:solidFill>
                      </w14:textFill>
                    </w:rPr>
                    <w:t>建成后，根据生产运行情况制定突发环境事件应急预案，同时加强生产厂区环境风险防范</w:t>
                  </w:r>
                  <w:r>
                    <w:rPr>
                      <w:rFonts w:hint="default"/>
                      <w:color w:val="000000" w:themeColor="text1"/>
                      <w14:textFill>
                        <w14:solidFill>
                          <w14:schemeClr w14:val="tx1"/>
                        </w14:solidFill>
                      </w14:textFill>
                    </w:rPr>
                    <w:t>。</w:t>
                  </w:r>
                </w:p>
              </w:tc>
              <w:tc>
                <w:tcPr>
                  <w:tcW w:w="564" w:type="pct"/>
                  <w:vAlign w:val="center"/>
                </w:tcPr>
                <w:p w14:paraId="022C8327">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符合</w:t>
                  </w:r>
                </w:p>
              </w:tc>
            </w:tr>
          </w:tbl>
          <w:p w14:paraId="7D93039E">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淮南经济技术开发区规划确定的主导产业发展方向，遵循循环经济理念和生态工业园区的要求，大力引进和发展低污染企业。在开发区今后发展中，要始终按照开发区规划确定的主导产业发展方向的要求，改造现有产业，同时限制浪费资源、污染环境的产业发展。跟踪评价结合区域生态保护红线、环境质量底线、资源利用上线、环境影响等综合考虑，提出开发区产业准入负面清单，具体见下表。在后续发展过程中，可按照国家、安徽省和淮南市最新的产业政策和规划，对产业发展环境准入负面清单及准入清单进行动态更新。</w:t>
            </w:r>
          </w:p>
          <w:p w14:paraId="0BFEB1CB">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3</w:t>
            </w:r>
            <w:r>
              <w:rPr>
                <w:b/>
                <w:bCs/>
                <w:color w:val="000000" w:themeColor="text1"/>
                <w14:textFill>
                  <w14:solidFill>
                    <w14:schemeClr w14:val="tx1"/>
                  </w14:solidFill>
                </w14:textFill>
              </w:rPr>
              <w:t xml:space="preserve">  与产业发展环境准入负面清单符合性分析</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5"/>
              <w:gridCol w:w="785"/>
              <w:gridCol w:w="3110"/>
              <w:gridCol w:w="2875"/>
              <w:gridCol w:w="1102"/>
            </w:tblGrid>
            <w:tr w14:paraId="641E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44F760AF">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14:textFill>
                        <w14:solidFill>
                          <w14:schemeClr w14:val="tx1"/>
                        </w14:solidFill>
                      </w14:textFill>
                    </w:rPr>
                    <w:t>序号</w:t>
                  </w:r>
                </w:p>
              </w:tc>
              <w:tc>
                <w:tcPr>
                  <w:tcW w:w="463" w:type="pct"/>
                  <w:vAlign w:val="center"/>
                </w:tcPr>
                <w:p w14:paraId="6144EC4B">
                  <w:pPr>
                    <w:pStyle w:val="30"/>
                    <w:wordWrap w:val="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类型</w:t>
                  </w:r>
                </w:p>
              </w:tc>
              <w:tc>
                <w:tcPr>
                  <w:tcW w:w="1834" w:type="pct"/>
                  <w:vAlign w:val="center"/>
                </w:tcPr>
                <w:p w14:paraId="2C29E778">
                  <w:pPr>
                    <w:pStyle w:val="30"/>
                    <w:wordWrap w:val="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负面清单要求</w:t>
                  </w:r>
                </w:p>
              </w:tc>
              <w:tc>
                <w:tcPr>
                  <w:tcW w:w="1695" w:type="pct"/>
                  <w:vAlign w:val="center"/>
                </w:tcPr>
                <w:p w14:paraId="5EA1A17C">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14:textFill>
                        <w14:solidFill>
                          <w14:schemeClr w14:val="tx1"/>
                        </w14:solidFill>
                      </w14:textFill>
                    </w:rPr>
                    <w:t>本项目情况</w:t>
                  </w:r>
                </w:p>
              </w:tc>
              <w:tc>
                <w:tcPr>
                  <w:tcW w:w="649" w:type="pct"/>
                  <w:vAlign w:val="center"/>
                </w:tcPr>
                <w:p w14:paraId="79BD0968">
                  <w:pPr>
                    <w:pStyle w:val="30"/>
                    <w:wordWrap w:val="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符合性</w:t>
                  </w:r>
                </w:p>
              </w:tc>
            </w:tr>
            <w:tr w14:paraId="6424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0B0C5207">
                  <w:pPr>
                    <w:pStyle w:val="30"/>
                    <w:wordWrap w:val="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1</w:t>
                  </w:r>
                </w:p>
              </w:tc>
              <w:tc>
                <w:tcPr>
                  <w:tcW w:w="463" w:type="pct"/>
                  <w:vMerge w:val="restart"/>
                  <w:vAlign w:val="center"/>
                </w:tcPr>
                <w:p w14:paraId="72B39EEC">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产业导向</w:t>
                  </w:r>
                </w:p>
              </w:tc>
              <w:tc>
                <w:tcPr>
                  <w:tcW w:w="1834" w:type="pct"/>
                  <w:vAlign w:val="center"/>
                </w:tcPr>
                <w:p w14:paraId="6FE4AF67">
                  <w:pPr>
                    <w:pStyle w:val="30"/>
                    <w:wordWrap w:val="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禁止引入国家明令禁止建设或投资的、列入《产业结构调整指导目录》（2024年本）、《鼓励外商投资产业目录(2025年版)》 2025年第37号令、《市场准入负面清单（2025年版）》等相关产业政策中禁止或淘汰类的项目。</w:t>
                  </w:r>
                </w:p>
              </w:tc>
              <w:tc>
                <w:tcPr>
                  <w:tcW w:w="1695" w:type="pct"/>
                  <w:vMerge w:val="restart"/>
                  <w:vAlign w:val="center"/>
                </w:tcPr>
                <w:p w14:paraId="332A035F">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本项目为C3831电线电缆制造</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对照相应国家名录，本项目不属于禁止类、限制类产业，可视为允许类，与开发区规划和产业功能定位不冲突，符合淮南经开区产业政策要求。</w:t>
                  </w:r>
                </w:p>
              </w:tc>
              <w:tc>
                <w:tcPr>
                  <w:tcW w:w="649" w:type="pct"/>
                  <w:vAlign w:val="center"/>
                </w:tcPr>
                <w:p w14:paraId="6DD01E36">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76A43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545A0C9F">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463" w:type="pct"/>
                  <w:vMerge w:val="continue"/>
                  <w:vAlign w:val="center"/>
                </w:tcPr>
                <w:p w14:paraId="1DA32567">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16DE9AA4">
                  <w:pPr>
                    <w:pStyle w:val="30"/>
                    <w:wordWrap w:val="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禁止引进国家、安徽省明确规定不得审批的建设项目。</w:t>
                  </w:r>
                </w:p>
              </w:tc>
              <w:tc>
                <w:tcPr>
                  <w:tcW w:w="1695" w:type="pct"/>
                  <w:vMerge w:val="continue"/>
                  <w:vAlign w:val="center"/>
                </w:tcPr>
                <w:p w14:paraId="74DF3E39">
                  <w:pPr>
                    <w:pStyle w:val="30"/>
                    <w:wordWrap w:val="0"/>
                    <w:topLinePunct/>
                    <w:jc w:val="left"/>
                    <w:rPr>
                      <w:rFonts w:hint="default"/>
                      <w:color w:val="000000" w:themeColor="text1"/>
                      <w:lang w:val="en-US"/>
                      <w14:textFill>
                        <w14:solidFill>
                          <w14:schemeClr w14:val="tx1"/>
                        </w14:solidFill>
                      </w14:textFill>
                    </w:rPr>
                  </w:pPr>
                </w:p>
              </w:tc>
              <w:tc>
                <w:tcPr>
                  <w:tcW w:w="649" w:type="pct"/>
                  <w:vAlign w:val="center"/>
                </w:tcPr>
                <w:p w14:paraId="3362F6D6">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67CF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153AC6BD">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463" w:type="pct"/>
                  <w:vMerge w:val="continue"/>
                  <w:vAlign w:val="center"/>
                </w:tcPr>
                <w:p w14:paraId="0AE6FBA2">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5A502774">
                  <w:pPr>
                    <w:pStyle w:val="30"/>
                    <w:wordWrap w:val="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禁止引进钢铁、焦化、电解铝、铸造、水泥和平板玻璃等产能类项目</w:t>
                  </w:r>
                </w:p>
              </w:tc>
              <w:tc>
                <w:tcPr>
                  <w:tcW w:w="1695" w:type="pct"/>
                  <w:vAlign w:val="center"/>
                </w:tcPr>
                <w:p w14:paraId="5006706C">
                  <w:pPr>
                    <w:pStyle w:val="30"/>
                    <w:wordWrap w:val="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本项目不涉及。</w:t>
                  </w:r>
                </w:p>
              </w:tc>
              <w:tc>
                <w:tcPr>
                  <w:tcW w:w="649" w:type="pct"/>
                  <w:vAlign w:val="center"/>
                </w:tcPr>
                <w:p w14:paraId="2213AC90">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58F18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2B31D00D">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4</w:t>
                  </w:r>
                </w:p>
              </w:tc>
              <w:tc>
                <w:tcPr>
                  <w:tcW w:w="463" w:type="pct"/>
                  <w:vMerge w:val="continue"/>
                  <w:vAlign w:val="center"/>
                </w:tcPr>
                <w:p w14:paraId="31075F1C">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02D88D97">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禁止新引入农药制造等污染较重的化工类项目。</w:t>
                  </w:r>
                </w:p>
              </w:tc>
              <w:tc>
                <w:tcPr>
                  <w:tcW w:w="1695" w:type="pct"/>
                  <w:vAlign w:val="center"/>
                </w:tcPr>
                <w:p w14:paraId="48BC9A38">
                  <w:pPr>
                    <w:pStyle w:val="30"/>
                    <w:wordWrap w:val="0"/>
                    <w:topLinePunct/>
                    <w:jc w:val="left"/>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本项目不涉及。</w:t>
                  </w:r>
                </w:p>
              </w:tc>
              <w:tc>
                <w:tcPr>
                  <w:tcW w:w="649" w:type="pct"/>
                  <w:vAlign w:val="center"/>
                </w:tcPr>
                <w:p w14:paraId="06753150">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29B93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440DC16F">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5</w:t>
                  </w:r>
                </w:p>
              </w:tc>
              <w:tc>
                <w:tcPr>
                  <w:tcW w:w="463" w:type="pct"/>
                  <w:vMerge w:val="continue"/>
                  <w:vAlign w:val="center"/>
                </w:tcPr>
                <w:p w14:paraId="5EC293FE">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69B45ADA">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禁止引进化学制浆造纸企业和印染、制革、化工、电镀、酿造等污染严重的小型企业。</w:t>
                  </w:r>
                </w:p>
              </w:tc>
              <w:tc>
                <w:tcPr>
                  <w:tcW w:w="1695" w:type="pct"/>
                  <w:vAlign w:val="center"/>
                </w:tcPr>
                <w:p w14:paraId="470E4665">
                  <w:pPr>
                    <w:pStyle w:val="30"/>
                    <w:wordWrap w:val="0"/>
                    <w:topLinePunct/>
                    <w:jc w:val="left"/>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本项目不涉及。</w:t>
                  </w:r>
                </w:p>
              </w:tc>
              <w:tc>
                <w:tcPr>
                  <w:tcW w:w="649" w:type="pct"/>
                  <w:vAlign w:val="center"/>
                </w:tcPr>
                <w:p w14:paraId="09AF6B6F">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57EF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40FA9058">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6</w:t>
                  </w:r>
                </w:p>
              </w:tc>
              <w:tc>
                <w:tcPr>
                  <w:tcW w:w="463" w:type="pct"/>
                  <w:vMerge w:val="continue"/>
                  <w:vAlign w:val="center"/>
                </w:tcPr>
                <w:p w14:paraId="678052B0">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40F11828">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严格控制化学药品原药制造等污染较重的项目。</w:t>
                  </w:r>
                </w:p>
              </w:tc>
              <w:tc>
                <w:tcPr>
                  <w:tcW w:w="1695" w:type="pct"/>
                  <w:vAlign w:val="center"/>
                </w:tcPr>
                <w:p w14:paraId="7C3897C9">
                  <w:pPr>
                    <w:pStyle w:val="30"/>
                    <w:wordWrap w:val="0"/>
                    <w:topLinePunct/>
                    <w:jc w:val="left"/>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本项目不涉及。</w:t>
                  </w:r>
                </w:p>
              </w:tc>
              <w:tc>
                <w:tcPr>
                  <w:tcW w:w="649" w:type="pct"/>
                  <w:vAlign w:val="center"/>
                </w:tcPr>
                <w:p w14:paraId="2223F162">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3D03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2CE52967">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7</w:t>
                  </w:r>
                </w:p>
              </w:tc>
              <w:tc>
                <w:tcPr>
                  <w:tcW w:w="463" w:type="pct"/>
                  <w:vMerge w:val="continue"/>
                  <w:vAlign w:val="center"/>
                </w:tcPr>
                <w:p w14:paraId="6E7218AD">
                  <w:pPr>
                    <w:pStyle w:val="30"/>
                    <w:wordWrap w:val="0"/>
                    <w:topLinePunct/>
                    <w:rPr>
                      <w:rFonts w:hint="default"/>
                      <w:color w:val="000000" w:themeColor="text1"/>
                      <w:lang w:val="en-US"/>
                      <w14:textFill>
                        <w14:solidFill>
                          <w14:schemeClr w14:val="tx1"/>
                        </w14:solidFill>
                      </w14:textFill>
                    </w:rPr>
                  </w:pPr>
                </w:p>
              </w:tc>
              <w:tc>
                <w:tcPr>
                  <w:tcW w:w="1834" w:type="pct"/>
                  <w:vAlign w:val="center"/>
                </w:tcPr>
                <w:p w14:paraId="2A2990E5">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严格控制非主导产业高污染、高能耗类项目。</w:t>
                  </w:r>
                </w:p>
              </w:tc>
              <w:tc>
                <w:tcPr>
                  <w:tcW w:w="1695" w:type="pct"/>
                  <w:vAlign w:val="center"/>
                </w:tcPr>
                <w:p w14:paraId="17A87856">
                  <w:pPr>
                    <w:pStyle w:val="30"/>
                    <w:wordWrap w:val="0"/>
                    <w:topLinePunct/>
                    <w:jc w:val="left"/>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本项目属于C3831电线电缆制造，对照</w:t>
                  </w:r>
                  <w:r>
                    <w:rPr>
                      <w:color w:val="000000" w:themeColor="text1"/>
                      <w14:textFill>
                        <w14:solidFill>
                          <w14:schemeClr w14:val="tx1"/>
                        </w14:solidFill>
                      </w14:textFill>
                    </w:rPr>
                    <w:t>安徽省“两高”项目重点管理范围（2025年版）</w:t>
                  </w:r>
                  <w:r>
                    <w:rPr>
                      <w:rFonts w:hint="default"/>
                      <w:color w:val="000000" w:themeColor="text1"/>
                      <w14:textFill>
                        <w14:solidFill>
                          <w14:schemeClr w14:val="tx1"/>
                        </w14:solidFill>
                      </w14:textFill>
                    </w:rPr>
                    <w:t>，不在两高项目范围内，不属于高污染、高能耗类项目。</w:t>
                  </w:r>
                </w:p>
              </w:tc>
              <w:tc>
                <w:tcPr>
                  <w:tcW w:w="649" w:type="pct"/>
                  <w:vAlign w:val="center"/>
                </w:tcPr>
                <w:p w14:paraId="351D383C">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r w14:paraId="24164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7" w:type="pct"/>
                  <w:vAlign w:val="center"/>
                </w:tcPr>
                <w:p w14:paraId="3D729B75">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8</w:t>
                  </w:r>
                </w:p>
              </w:tc>
              <w:tc>
                <w:tcPr>
                  <w:tcW w:w="463" w:type="pct"/>
                  <w:vAlign w:val="center"/>
                </w:tcPr>
                <w:p w14:paraId="70C2AEF1">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生产工艺</w:t>
                  </w:r>
                </w:p>
              </w:tc>
              <w:tc>
                <w:tcPr>
                  <w:tcW w:w="1834" w:type="pct"/>
                  <w:vAlign w:val="center"/>
                </w:tcPr>
                <w:p w14:paraId="77BE52C7">
                  <w:pPr>
                    <w:pStyle w:val="30"/>
                    <w:wordWrap w:val="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禁止引进炼油、产生致癌、致畸、致突变物质的项目。</w:t>
                  </w:r>
                </w:p>
              </w:tc>
              <w:tc>
                <w:tcPr>
                  <w:tcW w:w="1695" w:type="pct"/>
                  <w:vAlign w:val="center"/>
                </w:tcPr>
                <w:p w14:paraId="5B7A869D">
                  <w:pPr>
                    <w:pStyle w:val="30"/>
                    <w:wordWrap w:val="0"/>
                    <w:topLinePunct/>
                    <w:jc w:val="left"/>
                    <w:rPr>
                      <w:rFonts w:hint="default"/>
                      <w:color w:val="000000" w:themeColor="text1"/>
                      <w14:textFill>
                        <w14:solidFill>
                          <w14:schemeClr w14:val="tx1"/>
                        </w14:solidFill>
                      </w14:textFill>
                    </w:rPr>
                  </w:pPr>
                  <w:r>
                    <w:rPr>
                      <w:rFonts w:hint="default"/>
                      <w:color w:val="000000" w:themeColor="text1"/>
                      <w:lang w:val="en-US"/>
                      <w14:textFill>
                        <w14:solidFill>
                          <w14:schemeClr w14:val="tx1"/>
                        </w14:solidFill>
                      </w14:textFill>
                    </w:rPr>
                    <w:t>本项目不涉及。</w:t>
                  </w:r>
                </w:p>
              </w:tc>
              <w:tc>
                <w:tcPr>
                  <w:tcW w:w="649" w:type="pct"/>
                  <w:vAlign w:val="center"/>
                </w:tcPr>
                <w:p w14:paraId="068B2BA7">
                  <w:pPr>
                    <w:pStyle w:val="30"/>
                    <w:wordWrap w:val="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相符</w:t>
                  </w:r>
                </w:p>
              </w:tc>
            </w:tr>
          </w:tbl>
          <w:p w14:paraId="05BD70C4">
            <w:pPr>
              <w:wordWrap w:val="0"/>
              <w:topLinePunct/>
              <w:adjustRightInd w:val="0"/>
              <w:snapToGrid w:val="0"/>
              <w:spacing w:line="360" w:lineRule="auto"/>
              <w:ind w:firstLine="480" w:firstLineChars="200"/>
              <w:rPr>
                <w:b/>
                <w:bCs/>
                <w:color w:val="000000" w:themeColor="text1"/>
                <w14:textFill>
                  <w14:solidFill>
                    <w14:schemeClr w14:val="tx1"/>
                  </w14:solidFill>
                </w14:textFill>
              </w:rPr>
            </w:pPr>
            <w:r>
              <w:rPr>
                <w:rFonts w:hint="eastAsia"/>
                <w:color w:val="000000" w:themeColor="text1"/>
                <w14:textFill>
                  <w14:solidFill>
                    <w14:schemeClr w14:val="tx1"/>
                  </w14:solidFill>
                </w14:textFill>
              </w:rPr>
              <w:t>综上所述，本项目建设可满足《淮南经济技术开发区总体发展规划环境影响跟踪评价报告书》及《关于印发淮南经济技术开发区总体发展规划环境影响跟踪评价报告书审核意见的函》（皖环函[2020]411号）要求。</w:t>
            </w:r>
          </w:p>
        </w:tc>
      </w:tr>
      <w:tr w14:paraId="21C8F7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806" w:type="pct"/>
            <w:vAlign w:val="center"/>
          </w:tcPr>
          <w:p w14:paraId="281AA145">
            <w:pPr>
              <w:wordWrap w:val="0"/>
              <w:topLinePunct/>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4193" w:type="pct"/>
            <w:gridSpan w:val="3"/>
            <w:vAlign w:val="center"/>
          </w:tcPr>
          <w:p w14:paraId="20A99675">
            <w:pPr>
              <w:wordWrap w:val="0"/>
              <w:topLinePunct/>
              <w:adjustRightInd w:val="0"/>
              <w:snapToGrid w:val="0"/>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1、产业政策符合性分析</w:t>
            </w:r>
          </w:p>
          <w:p w14:paraId="24FDB76F">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本项目为C3831电线电缆制造，对照《产业结构调整指导目录》（2024年本）、</w:t>
            </w:r>
            <w:r>
              <w:rPr>
                <w:color w:val="000000" w:themeColor="text1"/>
                <w:szCs w:val="32"/>
                <w:lang w:bidi="ar"/>
                <w14:textFill>
                  <w14:solidFill>
                    <w14:schemeClr w14:val="tx1"/>
                  </w14:solidFill>
                </w14:textFill>
              </w:rPr>
              <w:t>《安徽省工业产业结构调整指导目录（2007年本）》</w:t>
            </w:r>
            <w:r>
              <w:rPr>
                <w:rFonts w:hint="eastAsia"/>
                <w:color w:val="000000" w:themeColor="text1"/>
                <w14:textFill>
                  <w14:solidFill>
                    <w14:schemeClr w14:val="tx1"/>
                  </w14:solidFill>
                </w14:textFill>
              </w:rPr>
              <w:t>，本项目不属于禁止类、限制类产业，可视为允许类。对照《市场准入负面清单》（2025年版），本项目不涉及清单禁止准入的事项，属于市场准入负面清单以外的行业，可依法平等进入。因此，本项目建设与国家及地方的产业政策的要求不冲突，基本符合国家及地方的产业政策的要求。</w:t>
            </w:r>
          </w:p>
          <w:p w14:paraId="3472E841">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2026年1月4日，新能源绿色智能智造电缆产业园建设项目已由淮南经济技术开发区管委会经济发展局同意备案，项目备案号为2512-340461-04-01-630132。</w:t>
            </w:r>
          </w:p>
          <w:p w14:paraId="3744D1AB">
            <w:pPr>
              <w:pStyle w:val="13"/>
              <w:widowControl w:val="0"/>
              <w:wordWrap w:val="0"/>
              <w:topLinePunct/>
              <w:spacing w:before="0" w:beforeAutospacing="0" w:after="0" w:afterAutospacing="0" w:line="360" w:lineRule="auto"/>
              <w:jc w:val="both"/>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kern w:val="2"/>
                <w:szCs w:val="24"/>
                <w:lang w:bidi="ar"/>
                <w14:textFill>
                  <w14:solidFill>
                    <w14:schemeClr w14:val="tx1"/>
                  </w14:solidFill>
                </w14:textFill>
              </w:rPr>
              <w:t>2、规划</w:t>
            </w:r>
            <w:r>
              <w:rPr>
                <w:rFonts w:cs="宋体"/>
                <w:b/>
                <w:bCs/>
                <w:color w:val="000000" w:themeColor="text1"/>
                <w:szCs w:val="24"/>
                <w14:textFill>
                  <w14:solidFill>
                    <w14:schemeClr w14:val="tx1"/>
                  </w14:solidFill>
                </w14:textFill>
              </w:rPr>
              <w:t>选址</w:t>
            </w:r>
            <w:r>
              <w:rPr>
                <w:rFonts w:ascii="Times New Roman" w:hAnsi="Times New Roman"/>
                <w:b/>
                <w:bCs/>
                <w:color w:val="000000" w:themeColor="text1"/>
                <w:kern w:val="2"/>
                <w:szCs w:val="24"/>
                <w:lang w:bidi="ar"/>
                <w14:textFill>
                  <w14:solidFill>
                    <w14:schemeClr w14:val="tx1"/>
                  </w14:solidFill>
                </w14:textFill>
              </w:rPr>
              <w:t>的符合性分析</w:t>
            </w:r>
          </w:p>
          <w:p w14:paraId="662C4E9B">
            <w:pPr>
              <w:wordWrap w:val="0"/>
              <w:topLinePunct/>
              <w:spacing w:line="360" w:lineRule="auto"/>
              <w:ind w:firstLine="480" w:firstLineChars="200"/>
              <w:jc w:val="left"/>
              <w:rPr>
                <w:color w:val="000000" w:themeColor="text1"/>
                <w:lang w:bidi="ar"/>
                <w14:textFill>
                  <w14:solidFill>
                    <w14:schemeClr w14:val="tx1"/>
                  </w14:solidFill>
                </w14:textFill>
              </w:rPr>
            </w:pPr>
            <w:r>
              <w:rPr>
                <w:color w:val="000000" w:themeColor="text1"/>
                <w:szCs w:val="32"/>
                <w:lang w:bidi="ar"/>
                <w14:textFill>
                  <w14:solidFill>
                    <w14:schemeClr w14:val="tx1"/>
                  </w14:solidFill>
                </w14:textFill>
              </w:rPr>
              <w:t>本项目</w:t>
            </w:r>
            <w:r>
              <w:rPr>
                <w:rFonts w:hint="eastAsia"/>
                <w:color w:val="000000" w:themeColor="text1"/>
                <w:szCs w:val="32"/>
                <w:lang w:bidi="ar"/>
                <w14:textFill>
                  <w14:solidFill>
                    <w14:schemeClr w14:val="tx1"/>
                  </w14:solidFill>
                </w14:textFill>
              </w:rPr>
              <w:t>位于</w:t>
            </w:r>
            <w:r>
              <w:rPr>
                <w:color w:val="000000" w:themeColor="text1"/>
                <w:szCs w:val="32"/>
                <w:lang w:bidi="ar"/>
                <w14:textFill>
                  <w14:solidFill>
                    <w14:schemeClr w14:val="tx1"/>
                  </w14:solidFill>
                </w14:textFill>
              </w:rPr>
              <w:t>淮南经济技术开发区</w:t>
            </w:r>
            <w:r>
              <w:rPr>
                <w:rFonts w:hint="eastAsia"/>
                <w:color w:val="000000" w:themeColor="text1"/>
                <w:szCs w:val="32"/>
                <w:lang w:bidi="ar"/>
                <w14:textFill>
                  <w14:solidFill>
                    <w14:schemeClr w14:val="tx1"/>
                  </w14:solidFill>
                </w14:textFill>
              </w:rPr>
              <w:t>长宁路以南</w:t>
            </w:r>
            <w:r>
              <w:rPr>
                <w:color w:val="000000" w:themeColor="text1"/>
                <w:szCs w:val="32"/>
                <w:lang w:bidi="ar"/>
                <w14:textFill>
                  <w14:solidFill>
                    <w14:schemeClr w14:val="tx1"/>
                  </w14:solidFill>
                </w14:textFill>
              </w:rPr>
              <w:t>，</w:t>
            </w:r>
            <w:r>
              <w:rPr>
                <w:rFonts w:hint="eastAsia"/>
                <w:color w:val="000000" w:themeColor="text1"/>
                <w:szCs w:val="32"/>
                <w:lang w:bidi="ar"/>
                <w14:textFill>
                  <w14:solidFill>
                    <w14:schemeClr w14:val="tx1"/>
                  </w14:solidFill>
                </w14:textFill>
              </w:rPr>
              <w:t>G206西侧，</w:t>
            </w:r>
            <w:r>
              <w:rPr>
                <w:color w:val="000000" w:themeColor="text1"/>
                <w14:textFill>
                  <w14:solidFill>
                    <w14:schemeClr w14:val="tx1"/>
                  </w14:solidFill>
                </w14:textFill>
              </w:rPr>
              <w:t>占</w:t>
            </w:r>
            <w:r>
              <w:rPr>
                <w:color w:val="000000" w:themeColor="text1"/>
                <w:lang w:bidi="ar"/>
                <w14:textFill>
                  <w14:solidFill>
                    <w14:schemeClr w14:val="tx1"/>
                  </w14:solidFill>
                </w14:textFill>
              </w:rPr>
              <w:t>地面积</w:t>
            </w:r>
            <w:r>
              <w:rPr>
                <w:rFonts w:hint="eastAsia"/>
                <w:color w:val="000000" w:themeColor="text1"/>
                <w:lang w:bidi="ar"/>
                <w14:textFill>
                  <w14:solidFill>
                    <w14:schemeClr w14:val="tx1"/>
                  </w14:solidFill>
                </w14:textFill>
              </w:rPr>
              <w:t>60545.40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w:t>
            </w:r>
            <w:r>
              <w:rPr>
                <w:color w:val="000000" w:themeColor="text1"/>
                <w:szCs w:val="32"/>
                <w:lang w:bidi="ar"/>
                <w14:textFill>
                  <w14:solidFill>
                    <w14:schemeClr w14:val="tx1"/>
                  </w14:solidFill>
                </w14:textFill>
              </w:rPr>
              <w:t>根据</w:t>
            </w:r>
            <w:r>
              <w:rPr>
                <w:rFonts w:hint="eastAsia"/>
                <w:color w:val="000000" w:themeColor="text1"/>
                <w:szCs w:val="32"/>
                <w:lang w:bidi="ar"/>
                <w14:textFill>
                  <w14:solidFill>
                    <w14:schemeClr w14:val="tx1"/>
                  </w14:solidFill>
                </w14:textFill>
              </w:rPr>
              <w:t>开发区</w:t>
            </w:r>
            <w:r>
              <w:rPr>
                <w:color w:val="000000" w:themeColor="text1"/>
                <w:szCs w:val="32"/>
                <w:lang w:bidi="ar"/>
                <w14:textFill>
                  <w14:solidFill>
                    <w14:schemeClr w14:val="tx1"/>
                  </w14:solidFill>
                </w14:textFill>
              </w:rPr>
              <w:t>总体规划</w:t>
            </w:r>
            <w:r>
              <w:rPr>
                <w:rFonts w:hint="eastAsia"/>
                <w:color w:val="000000" w:themeColor="text1"/>
                <w:szCs w:val="32"/>
                <w:lang w:bidi="ar"/>
                <w14:textFill>
                  <w14:solidFill>
                    <w14:schemeClr w14:val="tx1"/>
                  </w14:solidFill>
                </w14:textFill>
              </w:rPr>
              <w:t>土地使用规划</w:t>
            </w:r>
            <w:r>
              <w:rPr>
                <w:color w:val="000000" w:themeColor="text1"/>
                <w:szCs w:val="32"/>
                <w:lang w:bidi="ar"/>
                <w14:textFill>
                  <w14:solidFill>
                    <w14:schemeClr w14:val="tx1"/>
                  </w14:solidFill>
                </w14:textFill>
              </w:rPr>
              <w:t>图，项目所在地属于工业用地，符合</w:t>
            </w:r>
            <w:r>
              <w:rPr>
                <w:rFonts w:hint="eastAsia"/>
                <w:color w:val="000000" w:themeColor="text1"/>
                <w:szCs w:val="32"/>
                <w:lang w:bidi="ar"/>
                <w14:textFill>
                  <w14:solidFill>
                    <w14:schemeClr w14:val="tx1"/>
                  </w14:solidFill>
                </w14:textFill>
              </w:rPr>
              <w:t>开发区规划</w:t>
            </w:r>
            <w:r>
              <w:rPr>
                <w:color w:val="000000" w:themeColor="text1"/>
                <w:szCs w:val="32"/>
                <w:lang w:bidi="ar"/>
                <w14:textFill>
                  <w14:solidFill>
                    <w14:schemeClr w14:val="tx1"/>
                  </w14:solidFill>
                </w14:textFill>
              </w:rPr>
              <w:t>。</w:t>
            </w:r>
          </w:p>
          <w:p w14:paraId="4CD08712">
            <w:pPr>
              <w:wordWrap w:val="0"/>
              <w:topLinePunct/>
              <w:spacing w:line="36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建设项目厂址地理位置优越，</w:t>
            </w:r>
            <w:r>
              <w:rPr>
                <w:rFonts w:hint="eastAsia"/>
                <w:color w:val="000000" w:themeColor="text1"/>
                <w14:textFill>
                  <w14:solidFill>
                    <w14:schemeClr w14:val="tx1"/>
                  </w14:solidFill>
                </w14:textFill>
              </w:rPr>
              <w:t>地形规整，地质条件稳定，紧邻城市主干道，物流交通网络发达，市政公用设施（水、电、气、排污）配套齐全，满足建设大型现代化工业厂房的各项规定要求。</w:t>
            </w:r>
            <w:r>
              <w:rPr>
                <w:color w:val="000000" w:themeColor="text1"/>
                <w14:textFill>
                  <w14:solidFill>
                    <w14:schemeClr w14:val="tx1"/>
                  </w14:solidFill>
                </w14:textFill>
              </w:rPr>
              <w:t>通过对厂区合理布局，加强绿化，并落实各项污染防治措施后，污染物均可达标排放，不会对项目所在区域环境造成较大影响。</w:t>
            </w:r>
          </w:p>
          <w:p w14:paraId="76DA938E">
            <w:pPr>
              <w:pStyle w:val="13"/>
              <w:widowControl w:val="0"/>
              <w:wordWrap w:val="0"/>
              <w:topLinePunct/>
              <w:spacing w:before="0" w:beforeAutospacing="0" w:after="0" w:afterAutospacing="0" w:line="360" w:lineRule="auto"/>
              <w:jc w:val="both"/>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kern w:val="2"/>
                <w:szCs w:val="24"/>
                <w:lang w:bidi="ar"/>
                <w14:textFill>
                  <w14:solidFill>
                    <w14:schemeClr w14:val="tx1"/>
                  </w14:solidFill>
                </w14:textFill>
              </w:rPr>
              <w:t>3、淮南市“三区三线”符合性分析</w:t>
            </w:r>
          </w:p>
          <w:p w14:paraId="3A5B9C82">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本项目位于淮南经济技术开发区，用地性质为工业用地，根据《淮南市国土空间总体规划（2021-2035年）》，本项目不在淮南市生态红线范围内。建设项目影响范围内无重要生态影响功能区域、无自然保护区、风景名胜区、森林公园、地质公园、重要湿地等特殊生态敏感区以及重要生态敏感区。因此，本项目的建设不违背生态红线区域保护规划的要求。淮南市“三区三线”划定图如下所示：</w:t>
            </w:r>
          </w:p>
          <w:p w14:paraId="678FECAF">
            <w:pPr>
              <w:wordWrap w:val="0"/>
              <w:topLinePunct/>
              <w:spacing w:line="360" w:lineRule="auto"/>
              <w:jc w:val="center"/>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drawing>
                <wp:inline distT="0" distB="0" distL="114300" distR="114300">
                  <wp:extent cx="4344670" cy="5791200"/>
                  <wp:effectExtent l="0" t="0" r="17780" b="0"/>
                  <wp:docPr id="6" name="图片 6" descr="C:/Users/SAMSUNG/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SAMSUNG/Desktop/图片1.png图片1"/>
                          <pic:cNvPicPr>
                            <a:picLocks noChangeAspect="1"/>
                          </pic:cNvPicPr>
                        </pic:nvPicPr>
                        <pic:blipFill>
                          <a:blip r:embed="rId11"/>
                          <a:srcRect t="7" b="7"/>
                          <a:stretch>
                            <a:fillRect/>
                          </a:stretch>
                        </pic:blipFill>
                        <pic:spPr>
                          <a:xfrm>
                            <a:off x="0" y="0"/>
                            <a:ext cx="4344670" cy="5791200"/>
                          </a:xfrm>
                          <a:prstGeom prst="rect">
                            <a:avLst/>
                          </a:prstGeom>
                        </pic:spPr>
                      </pic:pic>
                    </a:graphicData>
                  </a:graphic>
                </wp:inline>
              </w:drawing>
            </w:r>
          </w:p>
          <w:p w14:paraId="1777DE07">
            <w:pPr>
              <w:wordWrap w:val="0"/>
              <w:topLinePunct/>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1</w:t>
            </w:r>
            <w:r>
              <w:rPr>
                <w:b/>
                <w:bCs/>
                <w:color w:val="000000" w:themeColor="text1"/>
                <w14:textFill>
                  <w14:solidFill>
                    <w14:schemeClr w14:val="tx1"/>
                  </w14:solidFill>
                </w14:textFill>
              </w:rPr>
              <w:t xml:space="preserve">  与</w:t>
            </w:r>
            <w:r>
              <w:rPr>
                <w:rStyle w:val="19"/>
                <w:rFonts w:hint="eastAsia"/>
                <w:kern w:val="0"/>
              </w:rPr>
              <w:t>淮南市“三区三线”叠图</w:t>
            </w:r>
          </w:p>
          <w:p w14:paraId="6C8D6DF5">
            <w:pPr>
              <w:pStyle w:val="13"/>
              <w:widowControl w:val="0"/>
              <w:wordWrap w:val="0"/>
              <w:topLinePunct/>
              <w:spacing w:before="0" w:beforeAutospacing="0" w:after="0" w:afterAutospacing="0" w:line="360" w:lineRule="auto"/>
              <w:jc w:val="both"/>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kern w:val="2"/>
                <w:szCs w:val="24"/>
                <w:lang w:bidi="ar"/>
                <w14:textFill>
                  <w14:solidFill>
                    <w14:schemeClr w14:val="tx1"/>
                  </w14:solidFill>
                </w14:textFill>
              </w:rPr>
              <w:t>4、淮南市“三线一单”符合性分析</w:t>
            </w:r>
          </w:p>
          <w:p w14:paraId="08C051C9">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（1）生态保护红线</w:t>
            </w:r>
          </w:p>
          <w:p w14:paraId="550E3035">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本项目位于淮南经济技术开发区</w:t>
            </w:r>
            <w:r>
              <w:rPr>
                <w:rFonts w:hint="eastAsia"/>
                <w:color w:val="000000" w:themeColor="text1"/>
                <w:szCs w:val="32"/>
                <w:lang w:bidi="ar"/>
                <w14:textFill>
                  <w14:solidFill>
                    <w14:schemeClr w14:val="tx1"/>
                  </w14:solidFill>
                </w14:textFill>
              </w:rPr>
              <w:t>长宁路</w:t>
            </w:r>
            <w:r>
              <w:rPr>
                <w:color w:val="000000" w:themeColor="text1"/>
                <w:szCs w:val="32"/>
                <w:lang w:bidi="ar"/>
                <w14:textFill>
                  <w14:solidFill>
                    <w14:schemeClr w14:val="tx1"/>
                  </w14:solidFill>
                </w14:textFill>
              </w:rPr>
              <w:t>，用地性质为工业用地，不在生态红线范围内。本项目用地范围内无自然保护区、风景名胜区、森林公园、地质公园、重要湿地等特殊生态敏感区以及重要生态敏感区，符合生态保护红线管控要求和一般生态空间管控要求。</w:t>
            </w:r>
          </w:p>
          <w:p w14:paraId="1C5C5732">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（2）</w:t>
            </w:r>
            <w:r>
              <w:rPr>
                <w:rFonts w:hint="eastAsia"/>
                <w:color w:val="000000" w:themeColor="text1"/>
                <w:szCs w:val="32"/>
                <w:lang w:bidi="ar"/>
                <w14:textFill>
                  <w14:solidFill>
                    <w14:schemeClr w14:val="tx1"/>
                  </w14:solidFill>
                </w14:textFill>
              </w:rPr>
              <w:t>环境质量底线</w:t>
            </w:r>
          </w:p>
          <w:p w14:paraId="1D89C8E5">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①</w:t>
            </w:r>
            <w:r>
              <w:rPr>
                <w:color w:val="000000" w:themeColor="text1"/>
                <w:szCs w:val="32"/>
                <w:lang w:bidi="ar"/>
                <w14:textFill>
                  <w14:solidFill>
                    <w14:schemeClr w14:val="tx1"/>
                  </w14:solidFill>
                </w14:textFill>
              </w:rPr>
              <w:t>大气环境</w:t>
            </w:r>
          </w:p>
          <w:p w14:paraId="49ECC7B7">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根据淮南市生态环境局发布</w:t>
            </w:r>
            <w:r>
              <w:rPr>
                <w:rFonts w:hint="eastAsia"/>
                <w:color w:val="000000" w:themeColor="text1"/>
                <w:szCs w:val="32"/>
                <w:lang w:bidi="ar"/>
                <w14:textFill>
                  <w14:solidFill>
                    <w14:schemeClr w14:val="tx1"/>
                  </w14:solidFill>
                </w14:textFill>
              </w:rPr>
              <w:t>的</w:t>
            </w:r>
            <w:r>
              <w:rPr>
                <w:color w:val="000000" w:themeColor="text1"/>
                <w:szCs w:val="32"/>
                <w:lang w:bidi="ar"/>
                <w14:textFill>
                  <w14:solidFill>
                    <w14:schemeClr w14:val="tx1"/>
                  </w14:solidFill>
                </w14:textFill>
              </w:rPr>
              <w:t>《2024年淮南市生态环境状况公报》，淮南市环境空气</w:t>
            </w:r>
            <w:r>
              <w:rPr>
                <w:rFonts w:hint="eastAsia"/>
                <w:color w:val="000000" w:themeColor="text1"/>
                <w:szCs w:val="32"/>
                <w:lang w:bidi="ar"/>
                <w14:textFill>
                  <w14:solidFill>
                    <w14:schemeClr w14:val="tx1"/>
                  </w14:solidFill>
                </w14:textFill>
              </w:rPr>
              <w:t>二氧化硫（</w:t>
            </w:r>
            <w:r>
              <w:rPr>
                <w:color w:val="000000" w:themeColor="text1"/>
                <w:szCs w:val="32"/>
                <w:lang w:bidi="ar"/>
                <w14:textFill>
                  <w14:solidFill>
                    <w14:schemeClr w14:val="tx1"/>
                  </w14:solidFill>
                </w14:textFill>
              </w:rPr>
              <w:t>SO</w:t>
            </w:r>
            <w:r>
              <w:rPr>
                <w:color w:val="000000" w:themeColor="text1"/>
                <w:szCs w:val="32"/>
                <w:vertAlign w:val="subscript"/>
                <w:lang w:bidi="ar"/>
                <w14:textFill>
                  <w14:solidFill>
                    <w14:schemeClr w14:val="tx1"/>
                  </w14:solidFill>
                </w14:textFill>
              </w:rPr>
              <w:t>2</w:t>
            </w:r>
            <w:r>
              <w:rPr>
                <w:rFonts w:hint="eastAsia"/>
                <w:color w:val="000000" w:themeColor="text1"/>
                <w:szCs w:val="32"/>
                <w:lang w:bidi="ar"/>
                <w14:textFill>
                  <w14:solidFill>
                    <w14:schemeClr w14:val="tx1"/>
                  </w14:solidFill>
                </w14:textFill>
              </w:rPr>
              <w:t>）、二氧化氮（</w:t>
            </w:r>
            <w:r>
              <w:rPr>
                <w:color w:val="000000" w:themeColor="text1"/>
                <w:szCs w:val="32"/>
                <w:lang w:bidi="ar"/>
                <w14:textFill>
                  <w14:solidFill>
                    <w14:schemeClr w14:val="tx1"/>
                  </w14:solidFill>
                </w14:textFill>
              </w:rPr>
              <w:t>NO</w:t>
            </w:r>
            <w:r>
              <w:rPr>
                <w:color w:val="000000" w:themeColor="text1"/>
                <w:szCs w:val="32"/>
                <w:vertAlign w:val="subscript"/>
                <w:lang w:bidi="ar"/>
                <w14:textFill>
                  <w14:solidFill>
                    <w14:schemeClr w14:val="tx1"/>
                  </w14:solidFill>
                </w14:textFill>
              </w:rPr>
              <w:t>2</w:t>
            </w:r>
            <w:r>
              <w:rPr>
                <w:rFonts w:hint="eastAsia"/>
                <w:color w:val="000000" w:themeColor="text1"/>
                <w:szCs w:val="32"/>
                <w:lang w:bidi="ar"/>
                <w14:textFill>
                  <w14:solidFill>
                    <w14:schemeClr w14:val="tx1"/>
                  </w14:solidFill>
                </w14:textFill>
              </w:rPr>
              <w:t>）、一氧化碳（</w:t>
            </w:r>
            <w:r>
              <w:rPr>
                <w:color w:val="000000" w:themeColor="text1"/>
                <w:szCs w:val="32"/>
                <w:lang w:bidi="ar"/>
                <w14:textFill>
                  <w14:solidFill>
                    <w14:schemeClr w14:val="tx1"/>
                  </w14:solidFill>
                </w14:textFill>
              </w:rPr>
              <w:t>CO</w:t>
            </w:r>
            <w:r>
              <w:rPr>
                <w:rFonts w:hint="eastAsia"/>
                <w:color w:val="000000" w:themeColor="text1"/>
                <w:szCs w:val="32"/>
                <w:lang w:bidi="ar"/>
                <w14:textFill>
                  <w14:solidFill>
                    <w14:schemeClr w14:val="tx1"/>
                  </w14:solidFill>
                </w14:textFill>
              </w:rPr>
              <w:t>）、可吸入颗粒物（</w:t>
            </w:r>
            <w:r>
              <w:rPr>
                <w:color w:val="000000" w:themeColor="text1"/>
                <w:szCs w:val="32"/>
                <w:lang w:bidi="ar"/>
                <w14:textFill>
                  <w14:solidFill>
                    <w14:schemeClr w14:val="tx1"/>
                  </w14:solidFill>
                </w14:textFill>
              </w:rPr>
              <w:t>PM</w:t>
            </w:r>
            <w:r>
              <w:rPr>
                <w:color w:val="000000" w:themeColor="text1"/>
                <w:szCs w:val="32"/>
                <w:vertAlign w:val="subscript"/>
                <w:lang w:bidi="ar"/>
                <w14:textFill>
                  <w14:solidFill>
                    <w14:schemeClr w14:val="tx1"/>
                  </w14:solidFill>
                </w14:textFill>
              </w:rPr>
              <w:t>10</w:t>
            </w:r>
            <w:r>
              <w:rPr>
                <w:rFonts w:hint="eastAsia"/>
                <w:color w:val="000000" w:themeColor="text1"/>
                <w:szCs w:val="32"/>
                <w:lang w:bidi="ar"/>
                <w14:textFill>
                  <w14:solidFill>
                    <w14:schemeClr w14:val="tx1"/>
                  </w14:solidFill>
                </w14:textFill>
              </w:rPr>
              <w:t>）、臭氧（</w:t>
            </w:r>
            <w:r>
              <w:rPr>
                <w:color w:val="000000" w:themeColor="text1"/>
                <w:szCs w:val="32"/>
                <w:lang w:bidi="ar"/>
                <w14:textFill>
                  <w14:solidFill>
                    <w14:schemeClr w14:val="tx1"/>
                  </w14:solidFill>
                </w14:textFill>
              </w:rPr>
              <w:t>O</w:t>
            </w:r>
            <w:r>
              <w:rPr>
                <w:color w:val="000000" w:themeColor="text1"/>
                <w:szCs w:val="32"/>
                <w:vertAlign w:val="subscript"/>
                <w:lang w:bidi="ar"/>
                <w14:textFill>
                  <w14:solidFill>
                    <w14:schemeClr w14:val="tx1"/>
                  </w14:solidFill>
                </w14:textFill>
              </w:rPr>
              <w:t>3</w:t>
            </w:r>
            <w:r>
              <w:rPr>
                <w:rFonts w:hint="eastAsia"/>
                <w:color w:val="000000" w:themeColor="text1"/>
                <w:szCs w:val="32"/>
                <w:lang w:bidi="ar"/>
                <w14:textFill>
                  <w14:solidFill>
                    <w14:schemeClr w14:val="tx1"/>
                  </w14:solidFill>
                </w14:textFill>
              </w:rPr>
              <w:t>）均符合《环境空气质量标准》（</w:t>
            </w:r>
            <w:r>
              <w:rPr>
                <w:color w:val="000000" w:themeColor="text1"/>
                <w:szCs w:val="32"/>
                <w:lang w:bidi="ar"/>
                <w14:textFill>
                  <w14:solidFill>
                    <w14:schemeClr w14:val="tx1"/>
                  </w14:solidFill>
                </w14:textFill>
              </w:rPr>
              <w:t>GB3095-2012</w:t>
            </w:r>
            <w:r>
              <w:rPr>
                <w:rFonts w:hint="eastAsia"/>
                <w:color w:val="000000" w:themeColor="text1"/>
                <w:szCs w:val="32"/>
                <w:lang w:bidi="ar"/>
                <w14:textFill>
                  <w14:solidFill>
                    <w14:schemeClr w14:val="tx1"/>
                  </w14:solidFill>
                </w14:textFill>
              </w:rPr>
              <w:t>）及</w:t>
            </w:r>
            <w:r>
              <w:rPr>
                <w:color w:val="000000" w:themeColor="text1"/>
                <w:szCs w:val="32"/>
                <w:lang w:bidi="ar"/>
                <w14:textFill>
                  <w14:solidFill>
                    <w14:schemeClr w14:val="tx1"/>
                  </w14:solidFill>
                </w14:textFill>
              </w:rPr>
              <w:t>2018</w:t>
            </w:r>
            <w:r>
              <w:rPr>
                <w:rFonts w:hint="eastAsia"/>
                <w:color w:val="000000" w:themeColor="text1"/>
                <w:szCs w:val="32"/>
                <w:lang w:bidi="ar"/>
                <w14:textFill>
                  <w14:solidFill>
                    <w14:schemeClr w14:val="tx1"/>
                  </w14:solidFill>
                </w14:textFill>
              </w:rPr>
              <w:t>年修改单中二级标准，细颗粒物（</w:t>
            </w:r>
            <w:r>
              <w:rPr>
                <w:color w:val="000000" w:themeColor="text1"/>
                <w:szCs w:val="32"/>
                <w:lang w:bidi="ar"/>
                <w14:textFill>
                  <w14:solidFill>
                    <w14:schemeClr w14:val="tx1"/>
                  </w14:solidFill>
                </w14:textFill>
              </w:rPr>
              <w:t>PM</w:t>
            </w:r>
            <w:r>
              <w:rPr>
                <w:color w:val="000000" w:themeColor="text1"/>
                <w:szCs w:val="32"/>
                <w:vertAlign w:val="subscript"/>
                <w:lang w:bidi="ar"/>
                <w14:textFill>
                  <w14:solidFill>
                    <w14:schemeClr w14:val="tx1"/>
                  </w14:solidFill>
                </w14:textFill>
              </w:rPr>
              <w:t>2.5</w:t>
            </w:r>
            <w:r>
              <w:rPr>
                <w:rFonts w:hint="eastAsia"/>
                <w:color w:val="000000" w:themeColor="text1"/>
                <w:szCs w:val="32"/>
                <w:lang w:bidi="ar"/>
                <w14:textFill>
                  <w14:solidFill>
                    <w14:schemeClr w14:val="tx1"/>
                  </w14:solidFill>
                </w14:textFill>
              </w:rPr>
              <w:t>）年均浓度超过《环境空气质量标准》（</w:t>
            </w:r>
            <w:r>
              <w:rPr>
                <w:color w:val="000000" w:themeColor="text1"/>
                <w:szCs w:val="32"/>
                <w:lang w:bidi="ar"/>
                <w14:textFill>
                  <w14:solidFill>
                    <w14:schemeClr w14:val="tx1"/>
                  </w14:solidFill>
                </w14:textFill>
              </w:rPr>
              <w:t>GB3095-2012</w:t>
            </w:r>
            <w:r>
              <w:rPr>
                <w:rFonts w:hint="eastAsia"/>
                <w:color w:val="000000" w:themeColor="text1"/>
                <w:szCs w:val="32"/>
                <w:lang w:bidi="ar"/>
                <w14:textFill>
                  <w14:solidFill>
                    <w14:schemeClr w14:val="tx1"/>
                  </w14:solidFill>
                </w14:textFill>
              </w:rPr>
              <w:t>）及</w:t>
            </w:r>
            <w:r>
              <w:rPr>
                <w:color w:val="000000" w:themeColor="text1"/>
                <w:szCs w:val="32"/>
                <w:lang w:bidi="ar"/>
                <w14:textFill>
                  <w14:solidFill>
                    <w14:schemeClr w14:val="tx1"/>
                  </w14:solidFill>
                </w14:textFill>
              </w:rPr>
              <w:t>2018</w:t>
            </w:r>
            <w:r>
              <w:rPr>
                <w:rFonts w:hint="eastAsia"/>
                <w:color w:val="000000" w:themeColor="text1"/>
                <w:szCs w:val="32"/>
                <w:lang w:bidi="ar"/>
                <w14:textFill>
                  <w14:solidFill>
                    <w14:schemeClr w14:val="tx1"/>
                  </w14:solidFill>
                </w14:textFill>
              </w:rPr>
              <w:t>年修改单中二级标准限值要求。因此，项目所在评价区域为不达标区。</w:t>
            </w:r>
          </w:p>
          <w:p w14:paraId="1BB69F1C">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淮南市生态环境局就空气质量不达标提出一系列举措，为确保淮南市大气污染防治工作有效推进，目前，淮南市已制订《淮南市“十四五”大气污染防治规划（</w:t>
            </w:r>
            <w:r>
              <w:rPr>
                <w:color w:val="000000" w:themeColor="text1"/>
                <w:szCs w:val="32"/>
                <w:lang w:bidi="ar"/>
                <w14:textFill>
                  <w14:solidFill>
                    <w14:schemeClr w14:val="tx1"/>
                  </w14:solidFill>
                </w14:textFill>
              </w:rPr>
              <w:t>2021-2025</w:t>
            </w:r>
            <w:r>
              <w:rPr>
                <w:rFonts w:hint="eastAsia"/>
                <w:color w:val="000000" w:themeColor="text1"/>
                <w:szCs w:val="32"/>
                <w:lang w:bidi="ar"/>
                <w14:textFill>
                  <w14:solidFill>
                    <w14:schemeClr w14:val="tx1"/>
                  </w14:solidFill>
                </w14:textFill>
              </w:rPr>
              <w:t>年）》，围绕工业大气污染治理、扬（烟）尘污染防治等开展专项治理活动，进一步削减大气污染物排放</w:t>
            </w:r>
            <w:r>
              <w:rPr>
                <w:color w:val="000000" w:themeColor="text1"/>
                <w:szCs w:val="32"/>
                <w:lang w:bidi="ar"/>
                <w14:textFill>
                  <w14:solidFill>
                    <w14:schemeClr w14:val="tx1"/>
                  </w14:solidFill>
                </w14:textFill>
              </w:rPr>
              <w:t>。</w:t>
            </w:r>
          </w:p>
          <w:p w14:paraId="4802B0AA">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②</w:t>
            </w:r>
            <w:r>
              <w:rPr>
                <w:color w:val="000000" w:themeColor="text1"/>
                <w:szCs w:val="32"/>
                <w:lang w:bidi="ar"/>
                <w14:textFill>
                  <w14:solidFill>
                    <w14:schemeClr w14:val="tx1"/>
                  </w14:solidFill>
                </w14:textFill>
              </w:rPr>
              <w:t>地表水环境</w:t>
            </w:r>
          </w:p>
          <w:p w14:paraId="2A404C24">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本项目纳污水体为淮河。</w:t>
            </w:r>
            <w:r>
              <w:rPr>
                <w:rFonts w:hint="eastAsia"/>
                <w:color w:val="000000" w:themeColor="text1"/>
                <w:szCs w:val="32"/>
                <w:lang w:bidi="ar"/>
                <w14:textFill>
                  <w14:solidFill>
                    <w14:schemeClr w14:val="tx1"/>
                  </w14:solidFill>
                </w14:textFill>
              </w:rPr>
              <w:t>根据淮南市生态环境局发布的《2024年淮南市环境质量状况公报》，</w:t>
            </w:r>
            <w:r>
              <w:rPr>
                <w:color w:val="000000" w:themeColor="text1"/>
                <w:szCs w:val="32"/>
                <w:lang w:bidi="ar"/>
                <w14:textFill>
                  <w14:solidFill>
                    <w14:schemeClr w14:val="tx1"/>
                  </w14:solidFill>
                </w14:textFill>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r>
              <w:rPr>
                <w:rFonts w:hint="eastAsia"/>
                <w:color w:val="000000" w:themeColor="text1"/>
                <w:szCs w:val="32"/>
                <w:lang w:bidi="ar"/>
                <w14:textFill>
                  <w14:solidFill>
                    <w14:schemeClr w14:val="tx1"/>
                  </w14:solidFill>
                </w14:textFill>
              </w:rPr>
              <w:t>项目周边水体淮河的</w:t>
            </w:r>
            <w:r>
              <w:rPr>
                <w:color w:val="000000" w:themeColor="text1"/>
                <w:szCs w:val="32"/>
                <w:lang w:bidi="ar"/>
                <w14:textFill>
                  <w14:solidFill>
                    <w14:schemeClr w14:val="tx1"/>
                  </w14:solidFill>
                </w14:textFill>
              </w:rPr>
              <w:t>水环境质量现状满足《地表水环境质量标准》（GB3838-2002）中Ⅲ类水质标准</w:t>
            </w:r>
            <w:r>
              <w:rPr>
                <w:rFonts w:hint="eastAsia"/>
                <w:color w:val="000000" w:themeColor="text1"/>
                <w:szCs w:val="32"/>
                <w:lang w:bidi="ar"/>
                <w14:textFill>
                  <w14:solidFill>
                    <w14:schemeClr w14:val="tx1"/>
                  </w14:solidFill>
                </w14:textFill>
              </w:rPr>
              <w:t>。</w:t>
            </w:r>
          </w:p>
          <w:p w14:paraId="7FB5C782">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③声环境</w:t>
            </w:r>
          </w:p>
          <w:p w14:paraId="7BB3BC89">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项目所在地声环境质量现状良好。本项目建成运营后，厂内产生的噪声对周边声环境影响较小。因此，项目的建设不会突破区域环境质量底线。</w:t>
            </w:r>
          </w:p>
          <w:p w14:paraId="3954CCC8">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（3）资源利用上线</w:t>
            </w:r>
          </w:p>
          <w:p w14:paraId="0540D59F">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项目采用的能源</w:t>
            </w:r>
            <w:r>
              <w:rPr>
                <w:rFonts w:hint="eastAsia"/>
                <w:color w:val="000000" w:themeColor="text1"/>
                <w:szCs w:val="32"/>
                <w:lang w:bidi="ar"/>
                <w14:textFill>
                  <w14:solidFill>
                    <w14:schemeClr w14:val="tx1"/>
                  </w14:solidFill>
                </w14:textFill>
              </w:rPr>
              <w:t>主要</w:t>
            </w:r>
            <w:r>
              <w:rPr>
                <w:color w:val="000000" w:themeColor="text1"/>
                <w:szCs w:val="32"/>
                <w:lang w:bidi="ar"/>
                <w14:textFill>
                  <w14:solidFill>
                    <w14:schemeClr w14:val="tx1"/>
                  </w14:solidFill>
                </w14:textFill>
              </w:rPr>
              <w:t>为水、电</w:t>
            </w:r>
            <w:r>
              <w:rPr>
                <w:rFonts w:hint="eastAsia"/>
                <w:color w:val="000000" w:themeColor="text1"/>
                <w:szCs w:val="32"/>
                <w:lang w:bidi="ar"/>
                <w14:textFill>
                  <w14:solidFill>
                    <w14:schemeClr w14:val="tx1"/>
                  </w14:solidFill>
                </w14:textFill>
              </w:rPr>
              <w:t>，</w:t>
            </w:r>
            <w:r>
              <w:rPr>
                <w:color w:val="000000" w:themeColor="text1"/>
                <w:szCs w:val="32"/>
                <w:lang w:bidi="ar"/>
                <w14:textFill>
                  <w14:solidFill>
                    <w14:schemeClr w14:val="tx1"/>
                  </w14:solidFill>
                </w14:textFill>
              </w:rPr>
              <w:t>项目所在地不属于资源、能源紧缺区域，本项目不使用高污染燃料。项目运营期间能源消耗主要为电力、新鲜水，用水用电均由淮南经济技术开发区统一提供，不突破能源、水资源利用上线。</w:t>
            </w:r>
          </w:p>
          <w:p w14:paraId="234FFABF">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（4）</w:t>
            </w:r>
            <w:r>
              <w:rPr>
                <w:color w:val="000000" w:themeColor="text1"/>
                <w:szCs w:val="32"/>
                <w:lang w:bidi="ar"/>
                <w14:textFill>
                  <w14:solidFill>
                    <w14:schemeClr w14:val="tx1"/>
                  </w14:solidFill>
                </w14:textFill>
              </w:rPr>
              <w:t>生态环境准入清单</w:t>
            </w:r>
          </w:p>
          <w:p w14:paraId="4E533DE3">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项目位于淮南经济技术开发区，根据《产业结构调整指导目录（2024年本）》和《安徽省工业产业结构调整指导目录（2007年本）》，本项目可视为允许类项目。</w:t>
            </w:r>
          </w:p>
          <w:p w14:paraId="6A7A18C3">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对照《市场准入负面清单（2025年版）》（国家发展改革委商务部，发改体改规〔2025〕466号）等相关文件，本项目不属于负面清单之列。</w:t>
            </w:r>
          </w:p>
          <w:p w14:paraId="1C6C191F">
            <w:pPr>
              <w:wordWrap w:val="0"/>
              <w:topLinePunct/>
              <w:spacing w:line="360" w:lineRule="auto"/>
              <w:jc w:val="center"/>
              <w:rPr>
                <w:b/>
                <w:bCs/>
                <w:color w:val="000000" w:themeColor="text1"/>
                <w14:textFill>
                  <w14:solidFill>
                    <w14:schemeClr w14:val="tx1"/>
                  </w14:solidFill>
                </w14:textFill>
              </w:rPr>
            </w:pPr>
          </w:p>
          <w:p w14:paraId="6914CEDF">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表1-4  本项目与淮南经济技术开发区环境准入清单符合性分析</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2"/>
              <w:gridCol w:w="2746"/>
            </w:tblGrid>
            <w:tr w14:paraId="1008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pct"/>
                  <w:vAlign w:val="center"/>
                </w:tcPr>
                <w:p w14:paraId="5E513FA4">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产业准入要求</w:t>
                  </w:r>
                </w:p>
              </w:tc>
              <w:tc>
                <w:tcPr>
                  <w:tcW w:w="1619" w:type="pct"/>
                  <w:vAlign w:val="center"/>
                </w:tcPr>
                <w:p w14:paraId="6E034F5E">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符合性</w:t>
                  </w:r>
                </w:p>
              </w:tc>
            </w:tr>
            <w:tr w14:paraId="7F19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0" w:type="pct"/>
                  <w:vAlign w:val="center"/>
                </w:tcPr>
                <w:p w14:paraId="37C8E56B">
                  <w:pPr>
                    <w:pStyle w:val="30"/>
                    <w:topLinePunct/>
                    <w:jc w:val="left"/>
                    <w:rPr>
                      <w:rFonts w:hint="default"/>
                      <w:color w:val="000000" w:themeColor="text1"/>
                      <w14:textFill>
                        <w14:solidFill>
                          <w14:schemeClr w14:val="tx1"/>
                        </w14:solidFill>
                      </w14:textFill>
                    </w:rPr>
                  </w:pPr>
                  <w:r>
                    <w:rPr>
                      <w:b/>
                      <w:bCs w:val="0"/>
                      <w:color w:val="000000" w:themeColor="text1"/>
                      <w14:textFill>
                        <w14:solidFill>
                          <w14:schemeClr w14:val="tx1"/>
                        </w14:solidFill>
                      </w14:textFill>
                    </w:rPr>
                    <w:t>鼓励类：</w:t>
                  </w:r>
                  <w:r>
                    <w:rPr>
                      <w:color w:val="000000" w:themeColor="text1"/>
                      <w14:textFill>
                        <w14:solidFill>
                          <w14:schemeClr w14:val="tx1"/>
                        </w14:solidFill>
                      </w14:textFill>
                    </w:rPr>
                    <w:t>与相关批复确定的园区主导产业结构相符合的工业项目；与开发区产业链相配套的企业（开发区基础设施建设项目；其它规模效益好、能源资源消耗少、排污小的企业）</w:t>
                  </w:r>
                </w:p>
                <w:p w14:paraId="311602DA">
                  <w:pPr>
                    <w:pStyle w:val="30"/>
                    <w:topLinePunct/>
                    <w:jc w:val="left"/>
                    <w:rPr>
                      <w:rFonts w:hint="default"/>
                      <w:color w:val="000000" w:themeColor="text1"/>
                      <w14:textFill>
                        <w14:solidFill>
                          <w14:schemeClr w14:val="tx1"/>
                        </w14:solidFill>
                      </w14:textFill>
                    </w:rPr>
                  </w:pPr>
                  <w:r>
                    <w:rPr>
                      <w:b/>
                      <w:bCs w:val="0"/>
                      <w:color w:val="000000" w:themeColor="text1"/>
                      <w14:textFill>
                        <w14:solidFill>
                          <w14:schemeClr w14:val="tx1"/>
                        </w14:solidFill>
                      </w14:textFill>
                    </w:rPr>
                    <w:t>限制类：</w:t>
                  </w:r>
                  <w:r>
                    <w:rPr>
                      <w:color w:val="000000" w:themeColor="text1"/>
                      <w14:textFill>
                        <w14:solidFill>
                          <w14:schemeClr w14:val="tx1"/>
                        </w14:solidFill>
                      </w14:textFill>
                    </w:rPr>
                    <w:t>《指导目录》中限制类；《指导目录》中鼓励类，</w:t>
                  </w:r>
                </w:p>
                <w:p w14:paraId="34783BE3">
                  <w:pPr>
                    <w:pStyle w:val="30"/>
                    <w:topLinePunct/>
                    <w:jc w:val="left"/>
                    <w:rPr>
                      <w:rFonts w:hint="default"/>
                      <w:color w:val="000000" w:themeColor="text1"/>
                      <w14:textFill>
                        <w14:solidFill>
                          <w14:schemeClr w14:val="tx1"/>
                        </w14:solidFill>
                      </w14:textFill>
                    </w:rPr>
                  </w:pPr>
                  <w:r>
                    <w:rPr>
                      <w:color w:val="000000" w:themeColor="text1"/>
                      <w14:textFill>
                        <w14:solidFill>
                          <w14:schemeClr w14:val="tx1"/>
                        </w14:solidFill>
                      </w14:textFill>
                    </w:rPr>
                    <w:t>在开发区所在区域具备一定资源要素禀赋，但与所处重点生态功能区主体功能定位和发展方向不相符合的产业。</w:t>
                  </w:r>
                </w:p>
                <w:p w14:paraId="039E5361">
                  <w:pPr>
                    <w:pStyle w:val="30"/>
                    <w:topLinePunct/>
                    <w:jc w:val="left"/>
                    <w:rPr>
                      <w:rFonts w:hint="default"/>
                      <w:color w:val="000000" w:themeColor="text1"/>
                      <w14:textFill>
                        <w14:solidFill>
                          <w14:schemeClr w14:val="tx1"/>
                        </w14:solidFill>
                      </w14:textFill>
                    </w:rPr>
                  </w:pPr>
                  <w:r>
                    <w:rPr>
                      <w:b/>
                      <w:bCs w:val="0"/>
                      <w:color w:val="000000" w:themeColor="text1"/>
                      <w14:textFill>
                        <w14:solidFill>
                          <w14:schemeClr w14:val="tx1"/>
                        </w14:solidFill>
                      </w14:textFill>
                    </w:rPr>
                    <w:t>禁止类：</w:t>
                  </w:r>
                  <w:r>
                    <w:rPr>
                      <w:color w:val="000000" w:themeColor="text1"/>
                      <w14:textFill>
                        <w14:solidFill>
                          <w14:schemeClr w14:val="tx1"/>
                        </w14:solidFill>
                      </w14:textFill>
                    </w:rPr>
                    <w:t>《指导目录》中淘汰类；《指导目录》中限制类，</w:t>
                  </w:r>
                </w:p>
                <w:p w14:paraId="6BF15088">
                  <w:pPr>
                    <w:pStyle w:val="30"/>
                    <w:topLinePunct/>
                    <w:jc w:val="left"/>
                    <w:rPr>
                      <w:rFonts w:hint="default"/>
                      <w:color w:val="000000" w:themeColor="text1"/>
                      <w:lang w:val="en-US"/>
                      <w14:textFill>
                        <w14:solidFill>
                          <w14:schemeClr w14:val="tx1"/>
                        </w14:solidFill>
                      </w14:textFill>
                    </w:rPr>
                  </w:pPr>
                  <w:r>
                    <w:rPr>
                      <w:color w:val="000000" w:themeColor="text1"/>
                      <w14:textFill>
                        <w14:solidFill>
                          <w14:schemeClr w14:val="tx1"/>
                        </w14:solidFill>
                      </w14:textFill>
                    </w:rPr>
                    <w:t>且与开发区所处主体功能区划定位和发展方向不相符合的产业；《指导目录》中鼓励类和允许类，但在开发区所在区域不具备资源要素禀赋，且与所处主体功能区定位和发展方向不相符合的产业。</w:t>
                  </w:r>
                </w:p>
              </w:tc>
              <w:tc>
                <w:tcPr>
                  <w:tcW w:w="1619" w:type="pct"/>
                  <w:vAlign w:val="center"/>
                </w:tcPr>
                <w:p w14:paraId="23AB5643">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本项目为C3831电线电缆制造</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与开发区规划和产业功能定位不冲突，</w:t>
                  </w:r>
                  <w:r>
                    <w:rPr>
                      <w:color w:val="000000" w:themeColor="text1"/>
                      <w:lang w:val="en-US"/>
                      <w14:textFill>
                        <w14:solidFill>
                          <w14:schemeClr w14:val="tx1"/>
                        </w14:solidFill>
                      </w14:textFill>
                    </w:rPr>
                    <w:t>不属于淮南经济技术开发区限制类、禁止类项目。</w:t>
                  </w:r>
                </w:p>
              </w:tc>
            </w:tr>
          </w:tbl>
          <w:p w14:paraId="7F55B201">
            <w:pPr>
              <w:wordWrap w:val="0"/>
              <w:topLinePunct/>
              <w:spacing w:line="360" w:lineRule="auto"/>
              <w:ind w:firstLine="480" w:firstLineChars="200"/>
              <w:jc w:val="left"/>
              <w:rPr>
                <w:color w:val="000000" w:themeColor="text1"/>
                <w:szCs w:val="32"/>
                <w:lang w:bidi="ar"/>
                <w14:textFill>
                  <w14:solidFill>
                    <w14:schemeClr w14:val="tx1"/>
                  </w14:solidFill>
                </w14:textFill>
              </w:rPr>
            </w:pPr>
            <w:r>
              <w:rPr>
                <w:color w:val="000000" w:themeColor="text1"/>
                <w:szCs w:val="32"/>
                <w:lang w:bidi="ar"/>
                <w14:textFill>
                  <w14:solidFill>
                    <w14:schemeClr w14:val="tx1"/>
                  </w14:solidFill>
                </w14:textFill>
              </w:rPr>
              <w:t>综上，本项目建设不涉及生态红线，不会降低区域环境质量，满足自然资源利用上线，不属于生态环境准入清单之内项目，因此本项目的建设符合</w:t>
            </w:r>
            <w:r>
              <w:rPr>
                <w:rFonts w:hint="eastAsia"/>
                <w:color w:val="000000" w:themeColor="text1"/>
                <w:szCs w:val="32"/>
                <w:lang w:bidi="ar"/>
                <w14:textFill>
                  <w14:solidFill>
                    <w14:schemeClr w14:val="tx1"/>
                  </w14:solidFill>
                </w14:textFill>
              </w:rPr>
              <w:t>“</w:t>
            </w:r>
            <w:r>
              <w:rPr>
                <w:color w:val="000000" w:themeColor="text1"/>
                <w:szCs w:val="32"/>
                <w:lang w:bidi="ar"/>
                <w14:textFill>
                  <w14:solidFill>
                    <w14:schemeClr w14:val="tx1"/>
                  </w14:solidFill>
                </w14:textFill>
              </w:rPr>
              <w:t>三线一单</w:t>
            </w:r>
            <w:r>
              <w:rPr>
                <w:rFonts w:hint="eastAsia"/>
                <w:color w:val="000000" w:themeColor="text1"/>
                <w:szCs w:val="32"/>
                <w:lang w:bidi="ar"/>
                <w14:textFill>
                  <w14:solidFill>
                    <w14:schemeClr w14:val="tx1"/>
                  </w14:solidFill>
                </w14:textFill>
              </w:rPr>
              <w:t>”</w:t>
            </w:r>
            <w:r>
              <w:rPr>
                <w:color w:val="000000" w:themeColor="text1"/>
                <w:szCs w:val="32"/>
                <w:lang w:bidi="ar"/>
                <w14:textFill>
                  <w14:solidFill>
                    <w14:schemeClr w14:val="tx1"/>
                  </w14:solidFill>
                </w14:textFill>
              </w:rPr>
              <w:t>的要求。</w:t>
            </w:r>
          </w:p>
          <w:p w14:paraId="159ACD92">
            <w:pPr>
              <w:pStyle w:val="13"/>
              <w:widowControl w:val="0"/>
              <w:wordWrap w:val="0"/>
              <w:topLinePunct/>
              <w:spacing w:before="0" w:beforeAutospacing="0" w:after="0" w:afterAutospacing="0" w:line="360" w:lineRule="auto"/>
              <w:jc w:val="both"/>
              <w:rPr>
                <w:rFonts w:ascii="Times New Roman" w:hAnsi="Times New Roman"/>
                <w:b/>
                <w:bCs/>
                <w:color w:val="000000" w:themeColor="text1"/>
                <w:kern w:val="2"/>
                <w:szCs w:val="24"/>
                <w:lang w:bidi="ar"/>
                <w14:textFill>
                  <w14:solidFill>
                    <w14:schemeClr w14:val="tx1"/>
                  </w14:solidFill>
                </w14:textFill>
              </w:rPr>
            </w:pPr>
            <w:r>
              <w:rPr>
                <w:rFonts w:hint="eastAsia" w:ascii="Times New Roman" w:hAnsi="Times New Roman"/>
                <w:b/>
                <w:bCs/>
                <w:color w:val="000000" w:themeColor="text1"/>
                <w:kern w:val="2"/>
                <w:szCs w:val="24"/>
                <w:lang w:bidi="ar"/>
                <w14:textFill>
                  <w14:solidFill>
                    <w14:schemeClr w14:val="tx1"/>
                  </w14:solidFill>
                </w14:textFill>
              </w:rPr>
              <w:t>5、与淮南市“三线一单”各管控单元符合性分析</w:t>
            </w:r>
          </w:p>
          <w:p w14:paraId="6ECD2198">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本项目位于</w:t>
            </w:r>
            <w:r>
              <w:rPr>
                <w:color w:val="000000" w:themeColor="text1"/>
                <w:szCs w:val="32"/>
                <w:lang w:bidi="ar"/>
                <w14:textFill>
                  <w14:solidFill>
                    <w14:schemeClr w14:val="tx1"/>
                  </w14:solidFill>
                </w14:textFill>
              </w:rPr>
              <w:t>淮南经济技术开发区</w:t>
            </w:r>
            <w:r>
              <w:rPr>
                <w:rFonts w:hint="eastAsia"/>
                <w:color w:val="000000" w:themeColor="text1"/>
                <w:szCs w:val="32"/>
                <w:lang w:bidi="ar"/>
                <w14:textFill>
                  <w14:solidFill>
                    <w14:schemeClr w14:val="tx1"/>
                  </w14:solidFill>
                </w14:textFill>
              </w:rPr>
              <w:t>长宁路，经查阅“安徽省三线一单公众服务平台”（http://39.145.8.156:1509/ah/public/#/home），本项目所在区域管控单元分类属于“重点管控单元3”，涉及的管控单元细类为大气重点和水重点。本项目生态管控单元查询情况（截选）如下图。</w:t>
            </w:r>
          </w:p>
          <w:p w14:paraId="4E8EAFF7">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表1-5  本项目与淮南市“三线一单”各管控单元符合性分析一览表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750"/>
              <w:gridCol w:w="4379"/>
              <w:gridCol w:w="2639"/>
              <w:gridCol w:w="709"/>
            </w:tblGrid>
            <w:tr w14:paraId="3566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Align w:val="center"/>
                </w:tcPr>
                <w:p w14:paraId="5301785C">
                  <w:pPr>
                    <w:pStyle w:val="3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管控</w:t>
                  </w:r>
                  <w:r>
                    <w:rPr>
                      <w:b/>
                      <w:color w:val="000000" w:themeColor="text1"/>
                      <w:lang w:val="en-US"/>
                      <w14:textFill>
                        <w14:solidFill>
                          <w14:schemeClr w14:val="tx1"/>
                        </w14:solidFill>
                      </w14:textFill>
                    </w:rPr>
                    <w:t>类别</w:t>
                  </w:r>
                </w:p>
              </w:tc>
              <w:tc>
                <w:tcPr>
                  <w:tcW w:w="2582" w:type="pct"/>
                  <w:vAlign w:val="center"/>
                </w:tcPr>
                <w:p w14:paraId="7A735542">
                  <w:pPr>
                    <w:pStyle w:val="3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环境管控要求</w:t>
                  </w:r>
                </w:p>
              </w:tc>
              <w:tc>
                <w:tcPr>
                  <w:tcW w:w="1556" w:type="pct"/>
                  <w:vAlign w:val="center"/>
                </w:tcPr>
                <w:p w14:paraId="359ABE23">
                  <w:pPr>
                    <w:pStyle w:val="3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协调性分析</w:t>
                  </w:r>
                </w:p>
              </w:tc>
              <w:tc>
                <w:tcPr>
                  <w:tcW w:w="418" w:type="pct"/>
                  <w:vAlign w:val="center"/>
                </w:tcPr>
                <w:p w14:paraId="0C7D139E">
                  <w:pPr>
                    <w:pStyle w:val="30"/>
                    <w:topLinePunct/>
                    <w:rPr>
                      <w:rFonts w:hint="default"/>
                      <w:b/>
                      <w:color w:val="000000" w:themeColor="text1"/>
                      <w:lang w:val="en-US"/>
                      <w14:textFill>
                        <w14:solidFill>
                          <w14:schemeClr w14:val="tx1"/>
                        </w14:solidFill>
                      </w14:textFill>
                    </w:rPr>
                  </w:pPr>
                  <w:r>
                    <w:rPr>
                      <w:rFonts w:hint="default"/>
                      <w:b/>
                      <w:color w:val="000000" w:themeColor="text1"/>
                      <w:lang w:val="en-US"/>
                      <w14:textFill>
                        <w14:solidFill>
                          <w14:schemeClr w14:val="tx1"/>
                        </w14:solidFill>
                      </w14:textFill>
                    </w:rPr>
                    <w:t>符合性</w:t>
                  </w:r>
                </w:p>
              </w:tc>
            </w:tr>
            <w:tr w14:paraId="62CEC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restart"/>
                  <w:vAlign w:val="center"/>
                </w:tcPr>
                <w:p w14:paraId="3169FC55">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空间布局约束</w:t>
                  </w:r>
                </w:p>
              </w:tc>
              <w:tc>
                <w:tcPr>
                  <w:tcW w:w="2582" w:type="pct"/>
                  <w:vAlign w:val="center"/>
                </w:tcPr>
                <w:p w14:paraId="4A0206C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禁止新建燃料类煤气发生炉（园区现有企业统一建设的清洁煤制气中心除外）</w:t>
                  </w:r>
                </w:p>
              </w:tc>
              <w:tc>
                <w:tcPr>
                  <w:tcW w:w="1556" w:type="pct"/>
                  <w:vAlign w:val="center"/>
                </w:tcPr>
                <w:p w14:paraId="4ACA8EC1">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本项目不新建燃料类煤气发生炉。</w:t>
                  </w:r>
                </w:p>
              </w:tc>
              <w:tc>
                <w:tcPr>
                  <w:tcW w:w="418" w:type="pct"/>
                  <w:vAlign w:val="center"/>
                </w:tcPr>
                <w:p w14:paraId="57D35E20">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214B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32B0E248">
                  <w:pPr>
                    <w:pStyle w:val="30"/>
                    <w:topLinePunct/>
                    <w:rPr>
                      <w:rFonts w:hint="default"/>
                      <w:color w:val="000000" w:themeColor="text1"/>
                      <w:lang w:val="en-US"/>
                      <w14:textFill>
                        <w14:solidFill>
                          <w14:schemeClr w14:val="tx1"/>
                        </w14:solidFill>
                      </w14:textFill>
                    </w:rPr>
                  </w:pPr>
                </w:p>
              </w:tc>
              <w:tc>
                <w:tcPr>
                  <w:tcW w:w="2582" w:type="pct"/>
                  <w:vAlign w:val="center"/>
                </w:tcPr>
                <w:p w14:paraId="46E5BD3F">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严禁新增钢铁、焦化、电解铝、铸造、水泥和平板玻璃等产能</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严格执行钢铁、水泥、平板玻璃等行业产能置换实施办法。</w:t>
                  </w:r>
                </w:p>
              </w:tc>
              <w:tc>
                <w:tcPr>
                  <w:tcW w:w="1556" w:type="pct"/>
                  <w:vAlign w:val="center"/>
                </w:tcPr>
                <w:p w14:paraId="7699F299">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本项目不属于上述行业。</w:t>
                  </w:r>
                </w:p>
              </w:tc>
              <w:tc>
                <w:tcPr>
                  <w:tcW w:w="418" w:type="pct"/>
                  <w:vAlign w:val="center"/>
                </w:tcPr>
                <w:p w14:paraId="0AFCDA30">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2042B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56707B10">
                  <w:pPr>
                    <w:pStyle w:val="30"/>
                    <w:topLinePunct/>
                    <w:rPr>
                      <w:rFonts w:hint="default"/>
                      <w:color w:val="000000" w:themeColor="text1"/>
                      <w:lang w:val="en-US"/>
                      <w14:textFill>
                        <w14:solidFill>
                          <w14:schemeClr w14:val="tx1"/>
                        </w14:solidFill>
                      </w14:textFill>
                    </w:rPr>
                  </w:pPr>
                </w:p>
              </w:tc>
              <w:tc>
                <w:tcPr>
                  <w:tcW w:w="2582" w:type="pct"/>
                  <w:vAlign w:val="center"/>
                </w:tcPr>
                <w:p w14:paraId="342DEAE8">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严格执行国家关于</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产业准入目录和产能总量控制政策措施。严禁新增钢铁、焦化、电解铝、铸造水泥和平板玻璃等产能;新、改、扩建涉及大宗物料运输的建设项目，原则上不得采用公路运输。</w:t>
                  </w:r>
                </w:p>
              </w:tc>
              <w:tc>
                <w:tcPr>
                  <w:tcW w:w="1556" w:type="pct"/>
                  <w:vAlign w:val="center"/>
                </w:tcPr>
                <w:p w14:paraId="609994CE">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对照</w:t>
                  </w:r>
                  <w:r>
                    <w:rPr>
                      <w:color w:val="000000" w:themeColor="text1"/>
                      <w:lang w:val="en-US"/>
                      <w14:textFill>
                        <w14:solidFill>
                          <w14:schemeClr w14:val="tx1"/>
                        </w14:solidFill>
                      </w14:textFill>
                    </w:rPr>
                    <w:t>安徽省“两高”项目重点管理范围（2025年版），</w:t>
                  </w:r>
                  <w:r>
                    <w:rPr>
                      <w:rFonts w:hint="default"/>
                      <w:color w:val="000000" w:themeColor="text1"/>
                      <w:lang w:val="en-US"/>
                      <w14:textFill>
                        <w14:solidFill>
                          <w14:schemeClr w14:val="tx1"/>
                        </w14:solidFill>
                      </w14:textFill>
                    </w:rPr>
                    <w:t>本项目不在安徽省两高目录范围内，不属于高耗能高污染项目。</w:t>
                  </w:r>
                </w:p>
              </w:tc>
              <w:tc>
                <w:tcPr>
                  <w:tcW w:w="418" w:type="pct"/>
                  <w:vAlign w:val="center"/>
                </w:tcPr>
                <w:p w14:paraId="7EEE8A7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7C76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39CF45BD">
                  <w:pPr>
                    <w:pStyle w:val="30"/>
                    <w:topLinePunct/>
                    <w:rPr>
                      <w:rFonts w:hint="default"/>
                      <w:color w:val="000000" w:themeColor="text1"/>
                      <w:lang w:val="en-US"/>
                      <w14:textFill>
                        <w14:solidFill>
                          <w14:schemeClr w14:val="tx1"/>
                        </w14:solidFill>
                      </w14:textFill>
                    </w:rPr>
                  </w:pPr>
                </w:p>
              </w:tc>
              <w:tc>
                <w:tcPr>
                  <w:tcW w:w="2582" w:type="pct"/>
                  <w:vAlign w:val="center"/>
                </w:tcPr>
                <w:p w14:paraId="5FB33807">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严格控制新增</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项目审批，认真分析评估拟建项目必要性、可行性和对产业高质量发展、能耗双控、碳排放和环境质量的影响，严格审查项目是否符合产业政策、产业规划、</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三线一单</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、规划环评要求</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是否依法依规落实产能置换、能耗置换、煤炭消费减量替代、污染物排放区域削减等要求。对已建成投产的存量</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项目，有节能减排潜力的加快改造升级，属于落后产能的加快淘汰。</w:t>
                  </w:r>
                </w:p>
              </w:tc>
              <w:tc>
                <w:tcPr>
                  <w:tcW w:w="1556" w:type="pct"/>
                  <w:vAlign w:val="center"/>
                </w:tcPr>
                <w:p w14:paraId="7979529C">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本项目不属于</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项目，项目建设符合产业政策、产业规划、</w:t>
                  </w:r>
                  <w:r>
                    <w:rPr>
                      <w:rStyle w:val="19"/>
                      <w:bCs w:val="0"/>
                      <w:kern w:val="0"/>
                      <w:lang w:val="en-US"/>
                    </w:rPr>
                    <w:t>生态环境分区管控</w:t>
                  </w:r>
                  <w:r>
                    <w:rPr>
                      <w:rFonts w:hint="default"/>
                      <w:color w:val="000000" w:themeColor="text1"/>
                      <w:lang w:val="en-US"/>
                      <w14:textFill>
                        <w14:solidFill>
                          <w14:schemeClr w14:val="tx1"/>
                        </w14:solidFill>
                      </w14:textFill>
                    </w:rPr>
                    <w:t>、规划环评等相关政策要求。</w:t>
                  </w:r>
                </w:p>
              </w:tc>
              <w:tc>
                <w:tcPr>
                  <w:tcW w:w="418" w:type="pct"/>
                  <w:vAlign w:val="center"/>
                </w:tcPr>
                <w:p w14:paraId="3E63245B">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3D89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6B8A9A42">
                  <w:pPr>
                    <w:pStyle w:val="30"/>
                    <w:topLinePunct/>
                    <w:rPr>
                      <w:rFonts w:hint="default"/>
                      <w:color w:val="000000" w:themeColor="text1"/>
                      <w:lang w:val="en-US"/>
                      <w14:textFill>
                        <w14:solidFill>
                          <w14:schemeClr w14:val="tx1"/>
                        </w14:solidFill>
                      </w14:textFill>
                    </w:rPr>
                  </w:pPr>
                </w:p>
              </w:tc>
              <w:tc>
                <w:tcPr>
                  <w:tcW w:w="2582" w:type="pct"/>
                  <w:vAlign w:val="center"/>
                </w:tcPr>
                <w:p w14:paraId="3F4CD07C">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禁止建设生产和使用高挥发性有机物含量涂料、油墨胶粘剂、清洗剂等项目。</w:t>
                  </w:r>
                </w:p>
              </w:tc>
              <w:tc>
                <w:tcPr>
                  <w:tcW w:w="1556" w:type="pct"/>
                  <w:vAlign w:val="center"/>
                </w:tcPr>
                <w:p w14:paraId="00E6FE4A">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本项目不涉及生产和使用高挥发性有机物含量涂料、油墨、胶粘剂、清洗剂等。</w:t>
                  </w:r>
                </w:p>
              </w:tc>
              <w:tc>
                <w:tcPr>
                  <w:tcW w:w="418" w:type="pct"/>
                  <w:vAlign w:val="center"/>
                </w:tcPr>
                <w:p w14:paraId="38B61D2C">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1FAE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708817DF">
                  <w:pPr>
                    <w:pStyle w:val="30"/>
                    <w:topLinePunct/>
                    <w:rPr>
                      <w:rFonts w:hint="default"/>
                      <w:color w:val="000000" w:themeColor="text1"/>
                      <w:lang w:val="en-US"/>
                      <w14:textFill>
                        <w14:solidFill>
                          <w14:schemeClr w14:val="tx1"/>
                        </w14:solidFill>
                      </w14:textFill>
                    </w:rPr>
                  </w:pPr>
                </w:p>
              </w:tc>
              <w:tc>
                <w:tcPr>
                  <w:tcW w:w="2582" w:type="pct"/>
                  <w:vAlign w:val="center"/>
                </w:tcPr>
                <w:p w14:paraId="3008CC49">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禁止新建不符合国家规定的燃煤发电机组、燃油发电机组和燃煤热电机组。</w:t>
                  </w:r>
                </w:p>
              </w:tc>
              <w:tc>
                <w:tcPr>
                  <w:tcW w:w="1556" w:type="pct"/>
                  <w:vAlign w:val="center"/>
                </w:tcPr>
                <w:p w14:paraId="5C91D32D">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本项目不新建燃煤发电机组、燃油发电机组和燃煤热电机组。</w:t>
                  </w:r>
                </w:p>
              </w:tc>
              <w:tc>
                <w:tcPr>
                  <w:tcW w:w="418" w:type="pct"/>
                  <w:vAlign w:val="center"/>
                </w:tcPr>
                <w:p w14:paraId="615F4A33">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55C4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0282677E">
                  <w:pPr>
                    <w:pStyle w:val="30"/>
                    <w:topLinePunct/>
                    <w:rPr>
                      <w:rFonts w:hint="default"/>
                      <w:color w:val="000000" w:themeColor="text1"/>
                      <w:lang w:val="en-US"/>
                      <w14:textFill>
                        <w14:solidFill>
                          <w14:schemeClr w14:val="tx1"/>
                        </w14:solidFill>
                      </w14:textFill>
                    </w:rPr>
                  </w:pPr>
                </w:p>
              </w:tc>
              <w:tc>
                <w:tcPr>
                  <w:tcW w:w="2582" w:type="pct"/>
                  <w:vAlign w:val="center"/>
                </w:tcPr>
                <w:p w14:paraId="5FC90558">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在城市规划区内禁止新建、扩建大气污染严重的建设项目。</w:t>
                  </w:r>
                </w:p>
              </w:tc>
              <w:tc>
                <w:tcPr>
                  <w:tcW w:w="1556" w:type="pct"/>
                  <w:vAlign w:val="center"/>
                </w:tcPr>
                <w:p w14:paraId="3DDEE021">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本项目产生废气经配套相应污染防治措施，可以确保达标排放。</w:t>
                  </w:r>
                </w:p>
              </w:tc>
              <w:tc>
                <w:tcPr>
                  <w:tcW w:w="418" w:type="pct"/>
                  <w:vAlign w:val="center"/>
                </w:tcPr>
                <w:p w14:paraId="2A4936B2">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2C79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5BB17479">
                  <w:pPr>
                    <w:pStyle w:val="30"/>
                    <w:topLinePunct/>
                    <w:rPr>
                      <w:rFonts w:hint="default"/>
                      <w:color w:val="000000" w:themeColor="text1"/>
                      <w:lang w:val="en-US"/>
                      <w14:textFill>
                        <w14:solidFill>
                          <w14:schemeClr w14:val="tx1"/>
                        </w14:solidFill>
                      </w14:textFill>
                    </w:rPr>
                  </w:pPr>
                </w:p>
              </w:tc>
              <w:tc>
                <w:tcPr>
                  <w:tcW w:w="2582" w:type="pct"/>
                  <w:vAlign w:val="center"/>
                </w:tcPr>
                <w:p w14:paraId="41CE242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1556" w:type="pct"/>
                  <w:vAlign w:val="center"/>
                </w:tcPr>
                <w:p w14:paraId="1C4D5F48">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本项目不涉及上述产业。</w:t>
                  </w:r>
                </w:p>
              </w:tc>
              <w:tc>
                <w:tcPr>
                  <w:tcW w:w="418" w:type="pct"/>
                  <w:vAlign w:val="center"/>
                </w:tcPr>
                <w:p w14:paraId="5F4D1DB4">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27B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485823A5">
                  <w:pPr>
                    <w:pStyle w:val="30"/>
                    <w:topLinePunct/>
                    <w:rPr>
                      <w:rFonts w:hint="default"/>
                      <w:color w:val="000000" w:themeColor="text1"/>
                      <w:lang w:val="en-US"/>
                      <w14:textFill>
                        <w14:solidFill>
                          <w14:schemeClr w14:val="tx1"/>
                        </w14:solidFill>
                      </w14:textFill>
                    </w:rPr>
                  </w:pPr>
                </w:p>
              </w:tc>
              <w:tc>
                <w:tcPr>
                  <w:tcW w:w="2582" w:type="pct"/>
                  <w:vAlign w:val="center"/>
                </w:tcPr>
                <w:p w14:paraId="785C5D6F">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城市建成区排放污水的工业企业应依法持有排污许可证，并严格按证排污。排入城镇水体的工业污水应符合相关行业标准及地方标准要求，严禁任何企业、单位超标和超总量排污，对超标或超总量的排污单位一律限制生产或停产整顿。</w:t>
                  </w:r>
                </w:p>
              </w:tc>
              <w:tc>
                <w:tcPr>
                  <w:tcW w:w="1556" w:type="pct"/>
                  <w:vAlign w:val="center"/>
                </w:tcPr>
                <w:p w14:paraId="0A796C21">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本项目目前积极履行环评手续，在实际排污前申领排污许可证。</w:t>
                  </w:r>
                </w:p>
              </w:tc>
              <w:tc>
                <w:tcPr>
                  <w:tcW w:w="418" w:type="pct"/>
                  <w:vAlign w:val="center"/>
                </w:tcPr>
                <w:p w14:paraId="6F35EAC1">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2FD9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restart"/>
                  <w:vAlign w:val="center"/>
                </w:tcPr>
                <w:p w14:paraId="637BB8E6">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污染物排放管控</w:t>
                  </w:r>
                </w:p>
              </w:tc>
              <w:tc>
                <w:tcPr>
                  <w:tcW w:w="2582" w:type="pct"/>
                  <w:vAlign w:val="center"/>
                </w:tcPr>
                <w:p w14:paraId="1C7133D0">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新建、改建、扩建排放重点大气污染物的项目不符合总量控制要求的，不得通过环境影响评价。</w:t>
                  </w:r>
                </w:p>
              </w:tc>
              <w:tc>
                <w:tcPr>
                  <w:tcW w:w="1556" w:type="pct"/>
                  <w:vAlign w:val="center"/>
                </w:tcPr>
                <w:p w14:paraId="3DDD7E6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本项目属于</w:t>
                  </w:r>
                  <w:r>
                    <w:rPr>
                      <w:color w:val="000000" w:themeColor="text1"/>
                      <w:lang w:val="en-US"/>
                      <w14:textFill>
                        <w14:solidFill>
                          <w14:schemeClr w14:val="tx1"/>
                        </w14:solidFill>
                      </w14:textFill>
                    </w:rPr>
                    <w:t>新</w:t>
                  </w:r>
                  <w:r>
                    <w:rPr>
                      <w:rFonts w:hint="default"/>
                      <w:color w:val="000000" w:themeColor="text1"/>
                      <w:lang w:val="en-US"/>
                      <w14:textFill>
                        <w14:solidFill>
                          <w14:schemeClr w14:val="tx1"/>
                        </w14:solidFill>
                      </w14:textFill>
                    </w:rPr>
                    <w:t>建项目，所产生的废气经废气处理设施处理后能够达标排放，且符合总量控制要求。</w:t>
                  </w:r>
                </w:p>
              </w:tc>
              <w:tc>
                <w:tcPr>
                  <w:tcW w:w="418" w:type="pct"/>
                  <w:vAlign w:val="center"/>
                </w:tcPr>
                <w:p w14:paraId="7546954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36BED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4557DBD8">
                  <w:pPr>
                    <w:pStyle w:val="30"/>
                    <w:topLinePunct/>
                    <w:rPr>
                      <w:rFonts w:hint="default"/>
                      <w:color w:val="000000" w:themeColor="text1"/>
                      <w:lang w:val="en-US"/>
                      <w14:textFill>
                        <w14:solidFill>
                          <w14:schemeClr w14:val="tx1"/>
                        </w14:solidFill>
                      </w14:textFill>
                    </w:rPr>
                  </w:pPr>
                </w:p>
              </w:tc>
              <w:tc>
                <w:tcPr>
                  <w:tcW w:w="2582" w:type="pct"/>
                  <w:vAlign w:val="center"/>
                </w:tcPr>
                <w:p w14:paraId="5699CD87">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全面提升锅炉烟气排放标准。全市燃气锅炉氮氧化物浓 度不高于50毫克/立方米;柴油锅炉污染物排放达到或优于燃气锅炉特别 排放限值要求。</w:t>
                  </w:r>
                </w:p>
              </w:tc>
              <w:tc>
                <w:tcPr>
                  <w:tcW w:w="1556" w:type="pct"/>
                  <w:vAlign w:val="center"/>
                </w:tcPr>
                <w:p w14:paraId="656E88A3">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本项目不使用锅炉。</w:t>
                  </w:r>
                </w:p>
              </w:tc>
              <w:tc>
                <w:tcPr>
                  <w:tcW w:w="418" w:type="pct"/>
                  <w:vAlign w:val="center"/>
                </w:tcPr>
                <w:p w14:paraId="5C7CB1D3">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66814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5296A2D2">
                  <w:pPr>
                    <w:pStyle w:val="30"/>
                    <w:topLinePunct/>
                    <w:rPr>
                      <w:rFonts w:hint="default"/>
                      <w:color w:val="000000" w:themeColor="text1"/>
                      <w:lang w:val="en-US"/>
                      <w14:textFill>
                        <w14:solidFill>
                          <w14:schemeClr w14:val="tx1"/>
                        </w14:solidFill>
                      </w14:textFill>
                    </w:rPr>
                  </w:pPr>
                </w:p>
              </w:tc>
              <w:tc>
                <w:tcPr>
                  <w:tcW w:w="2582" w:type="pct"/>
                  <w:vAlign w:val="center"/>
                </w:tcPr>
                <w:p w14:paraId="77F12E5F">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积极推进清洁生产审核，对焦化、有色金属、石化</w:t>
                  </w:r>
                  <w:r>
                    <w:rPr>
                      <w:color w:val="000000" w:themeColor="text1"/>
                      <w:lang w:val="en-US"/>
                      <w14:textFill>
                        <w14:solidFill>
                          <w14:schemeClr w14:val="tx1"/>
                        </w14:solidFill>
                      </w14:textFill>
                    </w:rPr>
                    <w:t>、化工、电镀、制革、石油开采、造纸、印染、农副食品加工等行业，全面推进清洁生产改造或清洁化改造。</w:t>
                  </w:r>
                </w:p>
              </w:tc>
              <w:tc>
                <w:tcPr>
                  <w:tcW w:w="1556" w:type="pct"/>
                  <w:vAlign w:val="center"/>
                </w:tcPr>
                <w:p w14:paraId="7A8CFBC7">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本项目使用先进设备和清洁能源，能达到清洁生产国内先进水平。</w:t>
                  </w:r>
                </w:p>
              </w:tc>
              <w:tc>
                <w:tcPr>
                  <w:tcW w:w="418" w:type="pct"/>
                  <w:vAlign w:val="center"/>
                </w:tcPr>
                <w:p w14:paraId="0DA3F882">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53B5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0876B995">
                  <w:pPr>
                    <w:pStyle w:val="30"/>
                    <w:topLinePunct/>
                    <w:rPr>
                      <w:rFonts w:hint="default"/>
                      <w:color w:val="000000" w:themeColor="text1"/>
                      <w:lang w:val="en-US"/>
                      <w14:textFill>
                        <w14:solidFill>
                          <w14:schemeClr w14:val="tx1"/>
                        </w14:solidFill>
                      </w14:textFill>
                    </w:rPr>
                  </w:pPr>
                </w:p>
              </w:tc>
              <w:tc>
                <w:tcPr>
                  <w:tcW w:w="2582" w:type="pct"/>
                  <w:vAlign w:val="center"/>
                </w:tcPr>
                <w:p w14:paraId="4DBA4CA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556" w:type="pct"/>
                  <w:vAlign w:val="center"/>
                </w:tcPr>
                <w:p w14:paraId="7F1AFC4D">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本项目废水经废水处理设施处理达标后接入市政污水管网，纳管至淮南经济技术开发区工业污水处理厂集中处理</w:t>
                  </w:r>
                </w:p>
              </w:tc>
              <w:tc>
                <w:tcPr>
                  <w:tcW w:w="418" w:type="pct"/>
                  <w:vAlign w:val="center"/>
                </w:tcPr>
                <w:p w14:paraId="494E162D">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5E85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Merge w:val="continue"/>
                  <w:vAlign w:val="center"/>
                </w:tcPr>
                <w:p w14:paraId="77190F13">
                  <w:pPr>
                    <w:pStyle w:val="30"/>
                    <w:topLinePunct/>
                    <w:rPr>
                      <w:rFonts w:hint="default"/>
                      <w:color w:val="000000" w:themeColor="text1"/>
                      <w:lang w:val="en-US"/>
                      <w14:textFill>
                        <w14:solidFill>
                          <w14:schemeClr w14:val="tx1"/>
                        </w14:solidFill>
                      </w14:textFill>
                    </w:rPr>
                  </w:pPr>
                </w:p>
              </w:tc>
              <w:tc>
                <w:tcPr>
                  <w:tcW w:w="2582" w:type="pct"/>
                  <w:vAlign w:val="center"/>
                </w:tcPr>
                <w:p w14:paraId="17643C5F">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烧结机机头、球团焙烧烟气颗粒物、二氧化硫、氮氧化物排放浓度小时均值分别不高于10、35、50毫克/立方米;其他主要污染源颗粒物、二氧化硫、氮氧化物排放浓度小时均值原则上分别不高于10、50、200毫克/立方米，达到超低排放的钢铁企业每月至少95%以上时段小时均值排放浓度满足上述要求。</w:t>
                  </w:r>
                </w:p>
              </w:tc>
              <w:tc>
                <w:tcPr>
                  <w:tcW w:w="1556" w:type="pct"/>
                  <w:vAlign w:val="center"/>
                </w:tcPr>
                <w:p w14:paraId="7B6CD4B6">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本项目经污染治理设施处理后的废气污染物排放能够满足相关排放标准要求。</w:t>
                  </w:r>
                </w:p>
              </w:tc>
              <w:tc>
                <w:tcPr>
                  <w:tcW w:w="418" w:type="pct"/>
                  <w:vAlign w:val="center"/>
                </w:tcPr>
                <w:p w14:paraId="19293FE8">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4D93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42" w:type="pct"/>
                  <w:vAlign w:val="center"/>
                </w:tcPr>
                <w:p w14:paraId="4010F274">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资源开发效率要求</w:t>
                  </w:r>
                </w:p>
              </w:tc>
              <w:tc>
                <w:tcPr>
                  <w:tcW w:w="2582" w:type="pct"/>
                  <w:vAlign w:val="center"/>
                </w:tcPr>
                <w:p w14:paraId="6532330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实施</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煤改气</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和</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以电代煤</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。在陶瓷、玻璃、铸造等行业积极推进天然气替代煤气化工程，有序实施燃煤设施煤改气。结合区域和行业用能特点，积极推进工业生产、建筑供暖供冷、交通运输、农业生产、居民生活五大领域实施</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以电代煤</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，着力提高电能占终端能源消费比重。</w:t>
                  </w:r>
                </w:p>
              </w:tc>
              <w:tc>
                <w:tcPr>
                  <w:tcW w:w="1556" w:type="pct"/>
                  <w:vAlign w:val="center"/>
                </w:tcPr>
                <w:p w14:paraId="51DC095A">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本项目不新建锅炉，生产过程中涉及到的主要能源为电能、水。用水采用市政供水管网供水，不突破资源利用上限。</w:t>
                  </w:r>
                </w:p>
              </w:tc>
              <w:tc>
                <w:tcPr>
                  <w:tcW w:w="418" w:type="pct"/>
                  <w:vAlign w:val="center"/>
                </w:tcPr>
                <w:p w14:paraId="015FA6ED">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31BFAFD3">
            <w:pPr>
              <w:wordWrap w:val="0"/>
              <w:topLinePunct/>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运营过程中会产生一定的污染物，采取相应的污染防治措施后，各类污染物的排放对周围环境造成的影响较小，不会降低当地环境质量，不会触碰区域环境质量底线本项目符合“三线一单”管控单元的管理要求。</w:t>
            </w:r>
          </w:p>
        </w:tc>
      </w:tr>
    </w:tbl>
    <w:p w14:paraId="35CE14D9">
      <w:pPr>
        <w:pStyle w:val="2"/>
        <w:rPr>
          <w:sz w:val="30"/>
        </w:rPr>
        <w:sectPr>
          <w:headerReference r:id="rId6" w:type="default"/>
          <w:footerReference r:id="rId7" w:type="default"/>
          <w:pgSz w:w="11906" w:h="16838"/>
          <w:pgMar w:top="1247" w:right="1134" w:bottom="1134" w:left="1247" w:header="851" w:footer="1077" w:gutter="0"/>
          <w:pgNumType w:start="1"/>
          <w:cols w:space="720" w:num="1"/>
          <w:docGrid w:linePitch="312" w:charSpace="0"/>
        </w:sectPr>
      </w:pPr>
    </w:p>
    <w:p w14:paraId="3E0291E3">
      <w:pPr>
        <w:wordWrap w:val="0"/>
        <w:topLinePunct/>
        <w:spacing w:line="360" w:lineRule="auto"/>
        <w:jc w:val="center"/>
        <w:rPr>
          <w:color w:val="0000FF"/>
          <w:szCs w:val="32"/>
          <w:lang w:bidi="ar"/>
        </w:rPr>
      </w:pPr>
      <w:r>
        <w:rPr>
          <w:rFonts w:hint="eastAsia"/>
          <w:color w:val="0000FF"/>
          <w:szCs w:val="32"/>
          <w:lang w:bidi="ar"/>
        </w:rPr>
        <w:drawing>
          <wp:inline distT="0" distB="0" distL="114300" distR="114300">
            <wp:extent cx="9017000" cy="4457065"/>
            <wp:effectExtent l="0" t="0" r="12700" b="635"/>
            <wp:docPr id="9" name="图片 9" descr="三线一单叠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三线一单叠图"/>
                    <pic:cNvPicPr>
                      <a:picLocks noChangeAspect="1"/>
                    </pic:cNvPicPr>
                  </pic:nvPicPr>
                  <pic:blipFill>
                    <a:blip r:embed="rId12"/>
                    <a:stretch>
                      <a:fillRect/>
                    </a:stretch>
                  </pic:blipFill>
                  <pic:spPr>
                    <a:xfrm>
                      <a:off x="0" y="0"/>
                      <a:ext cx="9017000" cy="4457065"/>
                    </a:xfrm>
                    <a:prstGeom prst="rect">
                      <a:avLst/>
                    </a:prstGeom>
                  </pic:spPr>
                </pic:pic>
              </a:graphicData>
            </a:graphic>
          </wp:inline>
        </w:drawing>
      </w:r>
    </w:p>
    <w:p w14:paraId="03A38F21">
      <w:pPr>
        <w:wordWrap w:val="0"/>
        <w:topLinePunct/>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图</w:t>
      </w:r>
      <w:r>
        <w:rPr>
          <w:b/>
          <w:bCs/>
          <w:color w:val="000000" w:themeColor="text1"/>
          <w14:textFill>
            <w14:solidFill>
              <w14:schemeClr w14:val="tx1"/>
            </w14:solidFill>
          </w14:textFill>
        </w:rPr>
        <w:t>1-</w:t>
      </w: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本项目生态管控单元图（截选）</w:t>
      </w:r>
    </w:p>
    <w:p w14:paraId="34B69A6A">
      <w:pPr>
        <w:sectPr>
          <w:footerReference r:id="rId8" w:type="default"/>
          <w:pgSz w:w="16838" w:h="11906" w:orient="landscape"/>
          <w:pgMar w:top="1247" w:right="1247" w:bottom="1134" w:left="1134" w:header="851" w:footer="1077" w:gutter="0"/>
          <w:pgNumType w:start="12"/>
          <w:cols w:space="720" w:num="1"/>
          <w:docGrid w:linePitch="312" w:charSpace="0"/>
        </w:sectPr>
      </w:pPr>
    </w:p>
    <w:tbl>
      <w:tblPr>
        <w:tblStyle w:val="15"/>
        <w:tblW w:w="493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950"/>
        <w:gridCol w:w="7812"/>
      </w:tblGrid>
      <w:tr w14:paraId="0A26C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240" w:hRule="atLeast"/>
          <w:jc w:val="center"/>
        </w:trPr>
        <w:tc>
          <w:tcPr>
            <w:tcW w:w="542" w:type="pct"/>
            <w:tcMar>
              <w:top w:w="16" w:type="dxa"/>
              <w:left w:w="16" w:type="dxa"/>
              <w:right w:w="16" w:type="dxa"/>
            </w:tcMar>
            <w:vAlign w:val="center"/>
          </w:tcPr>
          <w:p w14:paraId="5C4E9B8A">
            <w:pPr>
              <w:wordWrap w:val="0"/>
              <w:topLinePunct/>
              <w:adjustRightInd w:val="0"/>
              <w:snapToGrid w:val="0"/>
              <w:jc w:val="center"/>
              <w:rPr>
                <w:color w:val="000000" w:themeColor="text1"/>
                <w14:textFill>
                  <w14:solidFill>
                    <w14:schemeClr w14:val="tx1"/>
                  </w14:solidFill>
                </w14:textFill>
              </w:rPr>
            </w:pPr>
            <w:r>
              <w:rPr>
                <w:color w:val="000000" w:themeColor="text1"/>
                <w:kern w:val="0"/>
                <w14:textFill>
                  <w14:solidFill>
                    <w14:schemeClr w14:val="tx1"/>
                  </w14:solidFill>
                </w14:textFill>
              </w:rPr>
              <w:t>其他符合性分析</w:t>
            </w:r>
          </w:p>
        </w:tc>
        <w:tc>
          <w:tcPr>
            <w:tcW w:w="4457" w:type="pct"/>
            <w:vAlign w:val="center"/>
          </w:tcPr>
          <w:p w14:paraId="4EB1DE77">
            <w:pPr>
              <w:pStyle w:val="13"/>
              <w:widowControl w:val="0"/>
              <w:wordWrap w:val="0"/>
              <w:topLinePunct/>
              <w:spacing w:before="0" w:beforeAutospacing="0" w:after="0" w:afterAutospacing="0" w:line="360" w:lineRule="auto"/>
              <w:jc w:val="both"/>
              <w:rPr>
                <w:rFonts w:ascii="Times New Roman" w:hAnsi="Times New Roman"/>
                <w:b/>
                <w:bCs/>
                <w:color w:val="000000" w:themeColor="text1"/>
                <w:kern w:val="2"/>
                <w:szCs w:val="24"/>
                <w:lang w:bidi="ar"/>
                <w14:textFill>
                  <w14:solidFill>
                    <w14:schemeClr w14:val="tx1"/>
                  </w14:solidFill>
                </w14:textFill>
              </w:rPr>
            </w:pPr>
            <w:r>
              <w:rPr>
                <w:rFonts w:hint="eastAsia" w:ascii="Times New Roman" w:hAnsi="Times New Roman"/>
                <w:b/>
                <w:bCs/>
                <w:color w:val="000000" w:themeColor="text1"/>
                <w:kern w:val="2"/>
                <w:szCs w:val="24"/>
                <w:lang w:bidi="ar"/>
                <w14:textFill>
                  <w14:solidFill>
                    <w14:schemeClr w14:val="tx1"/>
                  </w14:solidFill>
                </w14:textFill>
              </w:rPr>
              <w:t>6、与地方及行业环保管理要求的相符性分析</w:t>
            </w:r>
          </w:p>
          <w:p w14:paraId="18B05333">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（1）与《安徽省淮河流域水污染防治条例》的相符性分析</w:t>
            </w:r>
          </w:p>
          <w:p w14:paraId="3F748872">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本项目距离淮河最近距离约4.41km，对照《安徽省淮河流域水污染防治条例》（安徽省第十三届人民代表大会常务委员会第六次会议修订，2019.1.1），项目符合性分析见下表：</w:t>
            </w:r>
          </w:p>
          <w:p w14:paraId="74A34ABD">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6</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安徽省淮河流域水污染防治条例</w:t>
            </w:r>
            <w:r>
              <w:rPr>
                <w:rFonts w:hint="eastAsia"/>
                <w:b/>
                <w:bCs/>
                <w:color w:val="000000" w:themeColor="text1"/>
                <w14:textFill>
                  <w14:solidFill>
                    <w14:schemeClr w14:val="tx1"/>
                  </w14:solidFill>
                </w14:textFill>
              </w:rPr>
              <w:t>》</w:t>
            </w:r>
            <w:r>
              <w:rPr>
                <w:b/>
                <w:bCs/>
                <w:color w:val="000000" w:themeColor="text1"/>
                <w14:textFill>
                  <w14:solidFill>
                    <w14:schemeClr w14:val="tx1"/>
                  </w14:solidFill>
                </w14:textFill>
              </w:rPr>
              <w:t>的相符性分析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95"/>
              <w:gridCol w:w="763"/>
              <w:gridCol w:w="3575"/>
              <w:gridCol w:w="2242"/>
              <w:gridCol w:w="707"/>
            </w:tblGrid>
            <w:tr w14:paraId="0014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Align w:val="center"/>
                </w:tcPr>
                <w:p w14:paraId="37771FE2">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序号</w:t>
                  </w:r>
                </w:p>
              </w:tc>
              <w:tc>
                <w:tcPr>
                  <w:tcW w:w="490" w:type="pct"/>
                  <w:vAlign w:val="center"/>
                </w:tcPr>
                <w:p w14:paraId="700EF83E">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条款</w:t>
                  </w:r>
                </w:p>
              </w:tc>
              <w:tc>
                <w:tcPr>
                  <w:tcW w:w="2296" w:type="pct"/>
                  <w:vAlign w:val="center"/>
                </w:tcPr>
                <w:p w14:paraId="095645E2">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条例内容</w:t>
                  </w:r>
                </w:p>
              </w:tc>
              <w:tc>
                <w:tcPr>
                  <w:tcW w:w="1440" w:type="pct"/>
                  <w:vAlign w:val="center"/>
                </w:tcPr>
                <w:p w14:paraId="4DC39D2F">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本项目建设情况</w:t>
                  </w:r>
                </w:p>
              </w:tc>
              <w:tc>
                <w:tcPr>
                  <w:tcW w:w="454" w:type="pct"/>
                  <w:vAlign w:val="center"/>
                </w:tcPr>
                <w:p w14:paraId="6471E2BF">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相符性</w:t>
                  </w:r>
                </w:p>
              </w:tc>
            </w:tr>
            <w:tr w14:paraId="56D5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Align w:val="center"/>
                </w:tcPr>
                <w:p w14:paraId="348879E5">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490" w:type="pct"/>
                  <w:vAlign w:val="center"/>
                </w:tcPr>
                <w:p w14:paraId="72B902F5">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第十三条</w:t>
                  </w:r>
                </w:p>
              </w:tc>
              <w:tc>
                <w:tcPr>
                  <w:tcW w:w="2296" w:type="pct"/>
                  <w:vAlign w:val="center"/>
                </w:tcPr>
                <w:p w14:paraId="3EB3646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严格限制在淮河流域新建印染、制革、化工、电镀、酿造等大中型项目或者其他污染严重的项目;建设该类项目的，应当事前征得省人民政府生态环境行政主管部门的同意，并按照规定办理有关手续。</w:t>
                  </w:r>
                </w:p>
              </w:tc>
              <w:tc>
                <w:tcPr>
                  <w:tcW w:w="1440" w:type="pct"/>
                  <w:vAlign w:val="center"/>
                </w:tcPr>
                <w:p w14:paraId="031F460B">
                  <w:pPr>
                    <w:pStyle w:val="30"/>
                    <w:topLinePunct/>
                    <w:jc w:val="left"/>
                    <w:rPr>
                      <w:rFonts w:hint="default"/>
                      <w:color w:val="000000" w:themeColor="text1"/>
                      <w:lang w:val="en-US"/>
                      <w14:textFill>
                        <w14:solidFill>
                          <w14:schemeClr w14:val="tx1"/>
                        </w14:solidFill>
                      </w14:textFill>
                    </w:rPr>
                  </w:pPr>
                  <w:r>
                    <w:rPr>
                      <w:color w:val="auto"/>
                      <w:lang w:val="en-US"/>
                    </w:rPr>
                    <w:t>本项目属于C3831电线电缆制造及C2929塑料零件及其他塑料制品制造，</w:t>
                  </w:r>
                  <w:r>
                    <w:rPr>
                      <w:color w:val="000000" w:themeColor="text1"/>
                      <w:lang w:val="en-US"/>
                      <w14:textFill>
                        <w14:solidFill>
                          <w14:schemeClr w14:val="tx1"/>
                        </w14:solidFill>
                      </w14:textFill>
                    </w:rPr>
                    <w:t>不属于印染、制革、化工、电镀、酿造等大中型项目或者其他污染严重的项目。</w:t>
                  </w:r>
                </w:p>
              </w:tc>
              <w:tc>
                <w:tcPr>
                  <w:tcW w:w="454" w:type="pct"/>
                  <w:vAlign w:val="center"/>
                </w:tcPr>
                <w:p w14:paraId="61CED52F">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47CB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Merge w:val="restart"/>
                  <w:vAlign w:val="center"/>
                </w:tcPr>
                <w:p w14:paraId="4F1048DF">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490" w:type="pct"/>
                  <w:vMerge w:val="restart"/>
                  <w:vAlign w:val="center"/>
                </w:tcPr>
                <w:p w14:paraId="3EC8765E">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第十</w:t>
                  </w:r>
                  <w:r>
                    <w:rPr>
                      <w:color w:val="000000" w:themeColor="text1"/>
                      <w:lang w:val="en-US"/>
                      <w14:textFill>
                        <w14:solidFill>
                          <w14:schemeClr w14:val="tx1"/>
                        </w14:solidFill>
                      </w14:textFill>
                    </w:rPr>
                    <w:t>四</w:t>
                  </w:r>
                  <w:r>
                    <w:rPr>
                      <w:rFonts w:hint="default"/>
                      <w:color w:val="000000" w:themeColor="text1"/>
                      <w:lang w:val="en-US"/>
                      <w14:textFill>
                        <w14:solidFill>
                          <w14:schemeClr w14:val="tx1"/>
                        </w14:solidFill>
                      </w14:textFill>
                    </w:rPr>
                    <w:t>条</w:t>
                  </w:r>
                </w:p>
              </w:tc>
              <w:tc>
                <w:tcPr>
                  <w:tcW w:w="2296" w:type="pct"/>
                  <w:vAlign w:val="center"/>
                </w:tcPr>
                <w:p w14:paraId="2B71C872">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新建、改建、扩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440" w:type="pct"/>
                  <w:vAlign w:val="center"/>
                </w:tcPr>
                <w:p w14:paraId="47237E27">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评价要求企业产生的废水进入经济技术开发区工业污水处理厂集中处理。本项目的水污染防治设施与主体工程同时设计、同时施工、同时投入使用。</w:t>
                  </w:r>
                </w:p>
              </w:tc>
              <w:tc>
                <w:tcPr>
                  <w:tcW w:w="454" w:type="pct"/>
                  <w:vAlign w:val="center"/>
                </w:tcPr>
                <w:p w14:paraId="37AB759C">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693A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Merge w:val="continue"/>
                  <w:vAlign w:val="center"/>
                </w:tcPr>
                <w:p w14:paraId="6DC003F1">
                  <w:pPr>
                    <w:pStyle w:val="30"/>
                    <w:topLinePunct/>
                    <w:rPr>
                      <w:rFonts w:hint="default"/>
                      <w:color w:val="000000" w:themeColor="text1"/>
                      <w:lang w:val="en-US"/>
                      <w14:textFill>
                        <w14:solidFill>
                          <w14:schemeClr w14:val="tx1"/>
                        </w14:solidFill>
                      </w14:textFill>
                    </w:rPr>
                  </w:pPr>
                </w:p>
              </w:tc>
              <w:tc>
                <w:tcPr>
                  <w:tcW w:w="490" w:type="pct"/>
                  <w:vMerge w:val="continue"/>
                  <w:vAlign w:val="center"/>
                </w:tcPr>
                <w:p w14:paraId="7A641D26">
                  <w:pPr>
                    <w:pStyle w:val="30"/>
                    <w:topLinePunct/>
                    <w:rPr>
                      <w:rFonts w:hint="default"/>
                      <w:color w:val="000000" w:themeColor="text1"/>
                      <w:lang w:val="en-US"/>
                      <w14:textFill>
                        <w14:solidFill>
                          <w14:schemeClr w14:val="tx1"/>
                        </w14:solidFill>
                      </w14:textFill>
                    </w:rPr>
                  </w:pPr>
                </w:p>
              </w:tc>
              <w:tc>
                <w:tcPr>
                  <w:tcW w:w="2296" w:type="pct"/>
                  <w:vAlign w:val="center"/>
                </w:tcPr>
                <w:p w14:paraId="6DBF2A85">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新建、扩建、改建项目，除执行前款规定外</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还应当遵守下列规定</w:t>
                  </w:r>
                  <w:r>
                    <w:rPr>
                      <w:color w:val="000000" w:themeColor="text1"/>
                      <w:lang w:val="en-US"/>
                      <w14:textFill>
                        <w14:solidFill>
                          <w14:schemeClr w14:val="tx1"/>
                        </w14:solidFill>
                      </w14:textFill>
                    </w:rPr>
                    <w:t>：</w:t>
                  </w:r>
                </w:p>
                <w:p w14:paraId="59CF29EC">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（一）</w:t>
                  </w:r>
                  <w:r>
                    <w:rPr>
                      <w:rFonts w:hint="default"/>
                      <w:color w:val="000000" w:themeColor="text1"/>
                      <w:lang w:val="en-US"/>
                      <w14:textFill>
                        <w14:solidFill>
                          <w14:schemeClr w14:val="tx1"/>
                        </w14:solidFill>
                      </w14:textFill>
                    </w:rPr>
                    <w:t>新建项目的选址应符合城市总体规划</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避开饮用水水源地和对环境有特殊要求的功能区</w:t>
                  </w:r>
                  <w:r>
                    <w:rPr>
                      <w:color w:val="000000" w:themeColor="text1"/>
                      <w:lang w:val="en-US"/>
                      <w14:textFill>
                        <w14:solidFill>
                          <w14:schemeClr w14:val="tx1"/>
                        </w14:solidFill>
                      </w14:textFill>
                    </w:rPr>
                    <w:t>；</w:t>
                  </w:r>
                </w:p>
                <w:p w14:paraId="7B883B71">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（二）</w:t>
                  </w:r>
                  <w:r>
                    <w:rPr>
                      <w:rFonts w:hint="default"/>
                      <w:color w:val="000000" w:themeColor="text1"/>
                      <w:lang w:val="en-US"/>
                      <w14:textFill>
                        <w14:solidFill>
                          <w14:schemeClr w14:val="tx1"/>
                        </w14:solidFill>
                      </w14:textFill>
                    </w:rPr>
                    <w:t>采用资源利用率高、污染物排放量少的先进设备和先进工艺</w:t>
                  </w:r>
                  <w:r>
                    <w:rPr>
                      <w:color w:val="000000" w:themeColor="text1"/>
                      <w:lang w:val="en-US"/>
                      <w14:textFill>
                        <w14:solidFill>
                          <w14:schemeClr w14:val="tx1"/>
                        </w14:solidFill>
                      </w14:textFill>
                    </w:rPr>
                    <w:t>；</w:t>
                  </w:r>
                </w:p>
                <w:p w14:paraId="345D4FCB">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（三）</w:t>
                  </w:r>
                  <w:r>
                    <w:rPr>
                      <w:rFonts w:hint="default"/>
                      <w:color w:val="000000" w:themeColor="text1"/>
                      <w:lang w:val="en-US"/>
                      <w14:textFill>
                        <w14:solidFill>
                          <w14:schemeClr w14:val="tx1"/>
                        </w14:solidFill>
                      </w14:textFill>
                    </w:rPr>
                    <w:t>改建、扩建项目和技改项目应当把水污染治理纳入项目内容。工程配套建设的水污染防治设施竣工后，建设单位应当按照国务院生态环境行政主管部门规定的标准和程序进行验收。验收合格后，方可投入使用;未经验收或者验收不合格的，不得投入生产或者使用。</w:t>
                  </w:r>
                </w:p>
              </w:tc>
              <w:tc>
                <w:tcPr>
                  <w:tcW w:w="1440" w:type="pct"/>
                  <w:vAlign w:val="center"/>
                </w:tcPr>
                <w:p w14:paraId="7ACAEE64">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本项目选址位于淮南经济技术开发区长宁路，符合用地和产业规划，评价范围内不涉及饮用水水源地和对环境有特殊要求的功能区。要求企业采用资源利用率高，污染物排放量少的先进设备和先进工艺。建设单位应当按照国务院生态环境行政主管部门规定的标准和程序进行验收。验收合格后，方可投入使用:未经验收或者验收不合格的，不得投入生产或者使用。</w:t>
                  </w:r>
                </w:p>
              </w:tc>
              <w:tc>
                <w:tcPr>
                  <w:tcW w:w="454" w:type="pct"/>
                  <w:vAlign w:val="center"/>
                </w:tcPr>
                <w:p w14:paraId="562875C0">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7B1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Align w:val="center"/>
                </w:tcPr>
                <w:p w14:paraId="79766AB1">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490" w:type="pct"/>
                  <w:vAlign w:val="center"/>
                </w:tcPr>
                <w:p w14:paraId="4EE804C2">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第十</w:t>
                  </w:r>
                  <w:r>
                    <w:rPr>
                      <w:color w:val="000000" w:themeColor="text1"/>
                      <w:lang w:val="en-US"/>
                      <w14:textFill>
                        <w14:solidFill>
                          <w14:schemeClr w14:val="tx1"/>
                        </w14:solidFill>
                      </w14:textFill>
                    </w:rPr>
                    <w:t>五</w:t>
                  </w:r>
                  <w:r>
                    <w:rPr>
                      <w:rFonts w:hint="default"/>
                      <w:color w:val="000000" w:themeColor="text1"/>
                      <w:lang w:val="en-US"/>
                      <w14:textFill>
                        <w14:solidFill>
                          <w14:schemeClr w14:val="tx1"/>
                        </w14:solidFill>
                      </w14:textFill>
                    </w:rPr>
                    <w:t>条</w:t>
                  </w:r>
                </w:p>
              </w:tc>
              <w:tc>
                <w:tcPr>
                  <w:tcW w:w="2296" w:type="pct"/>
                  <w:vAlign w:val="center"/>
                </w:tcPr>
                <w:p w14:paraId="360B551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所有排污单位的污水治理设施，应当确保正常运转，达标排放。</w:t>
                  </w:r>
                </w:p>
              </w:tc>
              <w:tc>
                <w:tcPr>
                  <w:tcW w:w="1440" w:type="pct"/>
                  <w:vAlign w:val="center"/>
                </w:tcPr>
                <w:p w14:paraId="6BCBA87F">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本项目产生废水经污水处理设施处理达标后进入淮南经济技术开发区工业污水处理厂处理。</w:t>
                  </w:r>
                </w:p>
              </w:tc>
              <w:tc>
                <w:tcPr>
                  <w:tcW w:w="454" w:type="pct"/>
                  <w:vAlign w:val="center"/>
                </w:tcPr>
                <w:p w14:paraId="7F0BEDDE">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7CC8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Align w:val="center"/>
                </w:tcPr>
                <w:p w14:paraId="3BC3366C">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4</w:t>
                  </w:r>
                </w:p>
              </w:tc>
              <w:tc>
                <w:tcPr>
                  <w:tcW w:w="490" w:type="pct"/>
                  <w:vAlign w:val="center"/>
                </w:tcPr>
                <w:p w14:paraId="4B0BB1CA">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第十</w:t>
                  </w:r>
                  <w:r>
                    <w:rPr>
                      <w:color w:val="000000" w:themeColor="text1"/>
                      <w:lang w:val="en-US"/>
                      <w14:textFill>
                        <w14:solidFill>
                          <w14:schemeClr w14:val="tx1"/>
                        </w14:solidFill>
                      </w14:textFill>
                    </w:rPr>
                    <w:t>七</w:t>
                  </w:r>
                  <w:r>
                    <w:rPr>
                      <w:rFonts w:hint="default"/>
                      <w:color w:val="000000" w:themeColor="text1"/>
                      <w:lang w:val="en-US"/>
                      <w14:textFill>
                        <w14:solidFill>
                          <w14:schemeClr w14:val="tx1"/>
                        </w14:solidFill>
                      </w14:textFill>
                    </w:rPr>
                    <w:t>条</w:t>
                  </w:r>
                </w:p>
              </w:tc>
              <w:tc>
                <w:tcPr>
                  <w:tcW w:w="2296" w:type="pct"/>
                  <w:vAlign w:val="center"/>
                </w:tcPr>
                <w:p w14:paraId="1AB06315">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在饮用水水源保护区内，禁止设置排污口。在风景名胜区水体、重要渔业水体和其他具有特殊经济文化价值的水体的保护区内，不得新建排污口。在保护区附近新建排污口，应当保证保护区水体不受污染。</w:t>
                  </w:r>
                </w:p>
              </w:tc>
              <w:tc>
                <w:tcPr>
                  <w:tcW w:w="1440" w:type="pct"/>
                  <w:vAlign w:val="center"/>
                </w:tcPr>
                <w:p w14:paraId="7BD5E827">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本项目不新建排污口。</w:t>
                  </w:r>
                </w:p>
              </w:tc>
              <w:tc>
                <w:tcPr>
                  <w:tcW w:w="454" w:type="pct"/>
                  <w:vAlign w:val="center"/>
                </w:tcPr>
                <w:p w14:paraId="583823F7">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D33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18" w:type="pct"/>
                  <w:vAlign w:val="center"/>
                </w:tcPr>
                <w:p w14:paraId="38E3D516">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5</w:t>
                  </w:r>
                </w:p>
              </w:tc>
              <w:tc>
                <w:tcPr>
                  <w:tcW w:w="490" w:type="pct"/>
                  <w:vAlign w:val="center"/>
                </w:tcPr>
                <w:p w14:paraId="1772893B">
                  <w:pPr>
                    <w:pStyle w:val="30"/>
                    <w:topLinePunc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第十</w:t>
                  </w:r>
                  <w:r>
                    <w:rPr>
                      <w:color w:val="000000" w:themeColor="text1"/>
                      <w:lang w:val="en-US"/>
                      <w14:textFill>
                        <w14:solidFill>
                          <w14:schemeClr w14:val="tx1"/>
                        </w14:solidFill>
                      </w14:textFill>
                    </w:rPr>
                    <w:t>九</w:t>
                  </w:r>
                  <w:r>
                    <w:rPr>
                      <w:rFonts w:hint="default"/>
                      <w:color w:val="000000" w:themeColor="text1"/>
                      <w:lang w:val="en-US"/>
                      <w14:textFill>
                        <w14:solidFill>
                          <w14:schemeClr w14:val="tx1"/>
                        </w14:solidFill>
                      </w14:textFill>
                    </w:rPr>
                    <w:t>条</w:t>
                  </w:r>
                </w:p>
              </w:tc>
              <w:tc>
                <w:tcPr>
                  <w:tcW w:w="2296" w:type="pct"/>
                  <w:vAlign w:val="center"/>
                </w:tcPr>
                <w:p w14:paraId="200766EA">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禁止下列行为</w:t>
                  </w:r>
                  <w:r>
                    <w:rPr>
                      <w:color w:val="000000" w:themeColor="text1"/>
                      <w:lang w:val="en-US"/>
                      <w14:textFill>
                        <w14:solidFill>
                          <w14:schemeClr w14:val="tx1"/>
                        </w14:solidFill>
                      </w14:textFill>
                    </w:rPr>
                    <w:t>：</w:t>
                  </w:r>
                </w:p>
                <w:p w14:paraId="5703E79D">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（一）</w:t>
                  </w:r>
                  <w:r>
                    <w:rPr>
                      <w:rFonts w:hint="default"/>
                      <w:color w:val="000000" w:themeColor="text1"/>
                      <w:lang w:val="en-US"/>
                      <w14:textFill>
                        <w14:solidFill>
                          <w14:schemeClr w14:val="tx1"/>
                        </w14:solidFill>
                      </w14:textFill>
                    </w:rPr>
                    <w:t>向水体排放或者倾倒油类、酸液、碱液和其他有毒有害液体</w:t>
                  </w:r>
                  <w:r>
                    <w:rPr>
                      <w:color w:val="000000" w:themeColor="text1"/>
                      <w:lang w:val="en-US"/>
                      <w14:textFill>
                        <w14:solidFill>
                          <w14:schemeClr w14:val="tx1"/>
                        </w14:solidFill>
                      </w14:textFill>
                    </w:rPr>
                    <w:t>；</w:t>
                  </w:r>
                </w:p>
                <w:p w14:paraId="4BD94C40">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（二）</w:t>
                  </w:r>
                  <w:r>
                    <w:rPr>
                      <w:rFonts w:hint="default"/>
                      <w:color w:val="000000" w:themeColor="text1"/>
                      <w:lang w:val="en-US"/>
                      <w14:textFill>
                        <w14:solidFill>
                          <w14:schemeClr w14:val="tx1"/>
                        </w14:solidFill>
                      </w14:textFill>
                    </w:rPr>
                    <w:t>在水体中清洗装贮过有毒有害污染物的车辆、船舶和容器</w:t>
                  </w:r>
                  <w:r>
                    <w:rPr>
                      <w:color w:val="000000" w:themeColor="text1"/>
                      <w:lang w:val="en-US"/>
                      <w14:textFill>
                        <w14:solidFill>
                          <w14:schemeClr w14:val="tx1"/>
                        </w14:solidFill>
                      </w14:textFill>
                    </w:rPr>
                    <w:t>；</w:t>
                  </w:r>
                </w:p>
                <w:p w14:paraId="6A4F0166">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（三）</w:t>
                  </w:r>
                  <w:r>
                    <w:rPr>
                      <w:rFonts w:hint="default"/>
                      <w:color w:val="000000" w:themeColor="text1"/>
                      <w:lang w:val="en-US"/>
                      <w14:textFill>
                        <w14:solidFill>
                          <w14:schemeClr w14:val="tx1"/>
                        </w14:solidFill>
                      </w14:textFill>
                    </w:rPr>
                    <w:t>向水体排放、倾倒含有汞、镉、砷、铬、铅、氰化物、黄磷等可溶性剧毒废液或者将上述物质直接埋入地下</w:t>
                  </w:r>
                  <w:r>
                    <w:rPr>
                      <w:color w:val="000000" w:themeColor="text1"/>
                      <w:lang w:val="en-US"/>
                      <w14:textFill>
                        <w14:solidFill>
                          <w14:schemeClr w14:val="tx1"/>
                        </w14:solidFill>
                      </w14:textFill>
                    </w:rPr>
                    <w:t>；</w:t>
                  </w:r>
                </w:p>
                <w:p w14:paraId="73F59133">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（四）</w:t>
                  </w:r>
                  <w:r>
                    <w:rPr>
                      <w:rFonts w:hint="default"/>
                      <w:color w:val="000000" w:themeColor="text1"/>
                      <w:lang w:val="en-US"/>
                      <w14:textFill>
                        <w14:solidFill>
                          <w14:schemeClr w14:val="tx1"/>
                        </w14:solidFill>
                      </w14:textFill>
                    </w:rPr>
                    <w:t>向水体排放、倾倒工业废渣、城镇垃圾和其他废弃物</w:t>
                  </w:r>
                  <w:r>
                    <w:rPr>
                      <w:color w:val="000000" w:themeColor="text1"/>
                      <w:lang w:val="en-US"/>
                      <w14:textFill>
                        <w14:solidFill>
                          <w14:schemeClr w14:val="tx1"/>
                        </w14:solidFill>
                      </w14:textFill>
                    </w:rPr>
                    <w:t>；</w:t>
                  </w:r>
                </w:p>
                <w:p w14:paraId="2ED047FE">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（五）向水体排放、倾倒放射性固体废弃物或者放射性废水；</w:t>
                  </w:r>
                </w:p>
                <w:p w14:paraId="0766957F">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（六）利用渗井、渗坑、裂隙、溶洞、塌陷区和废弃矿坑排放、倾倒，或者利用无防渗措施的沟渠、坑塘输送或者存贮含毒污染物或者病原体的废水和其他废弃物；</w:t>
                  </w:r>
                </w:p>
                <w:p w14:paraId="0581E1C9">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（七）在河流、湖泊、运河、渠道、水库最高水位线以下的滩地和岸坡堆放、贮存固体废弃物和其他污染物；</w:t>
                  </w:r>
                </w:p>
                <w:p w14:paraId="62BF9BC8">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（八）围湖和其他破坏水环境生态平衡的活动；</w:t>
                  </w:r>
                </w:p>
                <w:p w14:paraId="6BC83799">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（九）引进不符合国家环境保护规定要求的技术和设备；</w:t>
                  </w:r>
                </w:p>
                <w:p w14:paraId="7B09D0A7">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（十）法律、法规禁止的其他行为。</w:t>
                  </w:r>
                </w:p>
              </w:tc>
              <w:tc>
                <w:tcPr>
                  <w:tcW w:w="1440" w:type="pct"/>
                  <w:vAlign w:val="center"/>
                </w:tcPr>
                <w:p w14:paraId="4296A269">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评价要求企业严格遵守《安徽省淮河流域水污染防治条例》，不得有明令禁止的违法行为。</w:t>
                  </w:r>
                </w:p>
              </w:tc>
              <w:tc>
                <w:tcPr>
                  <w:tcW w:w="454" w:type="pct"/>
                  <w:vAlign w:val="center"/>
                </w:tcPr>
                <w:p w14:paraId="27E166D8">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00F80F14">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通过上表分析可知，本项目的建设符合《安徽省淮河流域水污染防治条例》中的相关要求。</w:t>
            </w:r>
          </w:p>
          <w:p w14:paraId="476712C9">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（2）与《安徽省“十四五”生态环境保护规划》（皖环发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2022</w:t>
            </w:r>
            <w:r>
              <w:rPr>
                <w:color w:val="000000" w:themeColor="text1"/>
                <w14:textFill>
                  <w14:solidFill>
                    <w14:schemeClr w14:val="tx1"/>
                  </w14:solidFill>
                </w14:textFill>
              </w:rPr>
              <w:t>]</w:t>
            </w:r>
            <w:r>
              <w:rPr>
                <w:rFonts w:hint="eastAsia"/>
                <w:color w:val="000000" w:themeColor="text1"/>
                <w:szCs w:val="32"/>
                <w:lang w:bidi="ar"/>
                <w14:textFill>
                  <w14:solidFill>
                    <w14:schemeClr w14:val="tx1"/>
                  </w14:solidFill>
                </w14:textFill>
              </w:rPr>
              <w:t>8号）相符性分析的相符性分析</w:t>
            </w:r>
          </w:p>
          <w:p w14:paraId="58487C6A">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7</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《安徽省“十四五”生态环境保护规划》</w:t>
            </w:r>
            <w:r>
              <w:rPr>
                <w:b/>
                <w:bCs/>
                <w:color w:val="000000" w:themeColor="text1"/>
                <w14:textFill>
                  <w14:solidFill>
                    <w14:schemeClr w14:val="tx1"/>
                  </w14:solidFill>
                </w14:textFill>
              </w:rPr>
              <w:t>的相符性分析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4"/>
              <w:gridCol w:w="3480"/>
              <w:gridCol w:w="2329"/>
              <w:gridCol w:w="1059"/>
            </w:tblGrid>
            <w:tr w14:paraId="49E4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6FD9DA2D">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序号</w:t>
                  </w:r>
                </w:p>
              </w:tc>
              <w:tc>
                <w:tcPr>
                  <w:tcW w:w="2235" w:type="pct"/>
                  <w:vAlign w:val="center"/>
                </w:tcPr>
                <w:p w14:paraId="1393F13A">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规划要求（节选）</w:t>
                  </w:r>
                </w:p>
              </w:tc>
              <w:tc>
                <w:tcPr>
                  <w:tcW w:w="1496" w:type="pct"/>
                  <w:vAlign w:val="center"/>
                </w:tcPr>
                <w:p w14:paraId="2D9A01BB">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本项目建设情况</w:t>
                  </w:r>
                </w:p>
              </w:tc>
              <w:tc>
                <w:tcPr>
                  <w:tcW w:w="680" w:type="pct"/>
                  <w:vAlign w:val="center"/>
                </w:tcPr>
                <w:p w14:paraId="08413D9A">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相符性</w:t>
                  </w:r>
                </w:p>
              </w:tc>
            </w:tr>
            <w:tr w14:paraId="0E9E6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6DABFF21">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2235" w:type="pct"/>
                  <w:vAlign w:val="center"/>
                </w:tcPr>
                <w:p w14:paraId="7A678DB2">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全面推动绿色转型发展。推动能源结构优化。强化能源消费总量和强度双控制度，严格控制能耗强度，有效控制能源消费增量，坚决遏制</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项目盲目发展。发挥市场配置资源作用，引导能源要素合理流动和高效配置。严格控制煤炭消费总量，大气污染防治重点区域内新改扩用煤项目严格实施煤炭等量或减量替代。</w:t>
                  </w:r>
                </w:p>
              </w:tc>
              <w:tc>
                <w:tcPr>
                  <w:tcW w:w="1496" w:type="pct"/>
                  <w:vAlign w:val="center"/>
                </w:tcPr>
                <w:p w14:paraId="71B3D77A">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本项目不使用煤炭能源，主要使用电和水，均属于清洁能源，且项目不属于高耗能高污染的</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两高</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w:t>
                  </w:r>
                </w:p>
              </w:tc>
              <w:tc>
                <w:tcPr>
                  <w:tcW w:w="680" w:type="pct"/>
                  <w:vAlign w:val="center"/>
                </w:tcPr>
                <w:p w14:paraId="1B5E603A">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14A1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6D4D4BC4">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2235" w:type="pct"/>
                  <w:vAlign w:val="center"/>
                </w:tcPr>
                <w:p w14:paraId="49607E30">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切实推进生态环境持续改善。持续推进固定污染源治理。强化挥发性有机物（VOCs）治理精细化管理，在石化、化工、包装印刷、工业涂装等重点行业建立完善源头、过程和末端的VOCs全过程控制体系，实施VOCs排放总量控制。</w:t>
                  </w:r>
                  <w:r>
                    <w:rPr>
                      <w:rFonts w:hint="default"/>
                      <w:color w:val="000000" w:themeColor="text1"/>
                      <w:lang w:val="en-US"/>
                      <w14:textFill>
                        <w14:solidFill>
                          <w14:schemeClr w14:val="tx1"/>
                        </w14:solidFill>
                      </w14:textFill>
                    </w:rPr>
                    <w:t>|</w:t>
                  </w:r>
                </w:p>
              </w:tc>
              <w:tc>
                <w:tcPr>
                  <w:tcW w:w="1496" w:type="pct"/>
                  <w:vAlign w:val="center"/>
                </w:tcPr>
                <w:p w14:paraId="15D5C524">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本项目针对产生的挥发性有机物采取了合理有效的处理措施，污染物均能达标排放。</w:t>
                  </w:r>
                </w:p>
              </w:tc>
              <w:tc>
                <w:tcPr>
                  <w:tcW w:w="680" w:type="pct"/>
                  <w:vAlign w:val="center"/>
                </w:tcPr>
                <w:p w14:paraId="44F8B76A">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22A3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0A140924">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2235" w:type="pct"/>
                  <w:vAlign w:val="center"/>
                </w:tcPr>
                <w:p w14:paraId="3DAF70E3">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持续深化水污染治理。继续以重点排污企业和开发区为重点，推进污水处理设施分类管控。以补足城镇污水收集和处理设施短板为重点，持续实施污水处理提质增效行动，加大生活污水处理设施、配套管网建设和改造力度，推进污泥无害化资源化处理处置。持续推进县级及以上城市建成区黑臭水体治理，编制黑臭水体整治清单，制定实施整治方案，到2025年，基本消除县级城市建成区黑臭水体。以降低氮磷负荷为重点，持续推进农业源污染控制。</w:t>
                  </w:r>
                </w:p>
              </w:tc>
              <w:tc>
                <w:tcPr>
                  <w:tcW w:w="1496" w:type="pct"/>
                  <w:vAlign w:val="center"/>
                </w:tcPr>
                <w:p w14:paraId="0E8A80E5">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本项目周边污水管网配套完善，</w:t>
                  </w:r>
                  <w:r>
                    <w:rPr>
                      <w:color w:val="000000" w:themeColor="text1"/>
                      <w:lang w:val="en-US"/>
                      <w14:textFill>
                        <w14:solidFill>
                          <w14:schemeClr w14:val="tx1"/>
                        </w14:solidFill>
                      </w14:textFill>
                    </w:rPr>
                    <w:t>产生</w:t>
                  </w:r>
                  <w:r>
                    <w:rPr>
                      <w:rFonts w:hint="default"/>
                      <w:color w:val="000000" w:themeColor="text1"/>
                      <w:lang w:val="en-US"/>
                      <w14:textFill>
                        <w14:solidFill>
                          <w14:schemeClr w14:val="tx1"/>
                        </w14:solidFill>
                      </w14:textFill>
                    </w:rPr>
                    <w:t>废水经废水处理设施处理达标后接入市政污水管网，纳管至淮南经济技术开发区工业污水处理厂集中处理</w:t>
                  </w:r>
                  <w:r>
                    <w:rPr>
                      <w:color w:val="000000" w:themeColor="text1"/>
                      <w:lang w:val="en-US"/>
                      <w14:textFill>
                        <w14:solidFill>
                          <w14:schemeClr w14:val="tx1"/>
                        </w14:solidFill>
                      </w14:textFill>
                    </w:rPr>
                    <w:t>。</w:t>
                  </w:r>
                </w:p>
              </w:tc>
              <w:tc>
                <w:tcPr>
                  <w:tcW w:w="680" w:type="pct"/>
                  <w:vAlign w:val="center"/>
                </w:tcPr>
                <w:p w14:paraId="727F8F28">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6F6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01FCDEFB">
                  <w:pPr>
                    <w:pStyle w:val="30"/>
                    <w:topLinePunct/>
                    <w:rPr>
                      <w:rFonts w:hint="default"/>
                      <w:color w:val="000000" w:themeColor="text1"/>
                      <w:lang w:val="en-US"/>
                      <w14:textFill>
                        <w14:solidFill>
                          <w14:schemeClr w14:val="tx1"/>
                        </w14:solidFill>
                      </w14:textFill>
                    </w:rPr>
                  </w:pPr>
                </w:p>
              </w:tc>
              <w:tc>
                <w:tcPr>
                  <w:tcW w:w="2235" w:type="pct"/>
                  <w:vAlign w:val="center"/>
                </w:tcPr>
                <w:p w14:paraId="5D030711">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强化危险废物环境监管。着力加强危险废物环境监管能力建设，提升人员监管能力和水平，加快省内危险废物鉴别机构建设。完善危险废物重点监管单位清单，持续推行危险废物规范化环境管理。</w:t>
                  </w:r>
                </w:p>
              </w:tc>
              <w:tc>
                <w:tcPr>
                  <w:tcW w:w="1496" w:type="pct"/>
                  <w:vAlign w:val="center"/>
                </w:tcPr>
                <w:p w14:paraId="583306BF">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项目产生的危险废物按危险废物转运要求进行处理，建立危废台账，完善危废管理。</w:t>
                  </w:r>
                </w:p>
              </w:tc>
              <w:tc>
                <w:tcPr>
                  <w:tcW w:w="680" w:type="pct"/>
                  <w:vAlign w:val="center"/>
                </w:tcPr>
                <w:p w14:paraId="3896A9A0">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2CA6E7EA">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综上所述，建设项目符合《安徽省“十四五”生态环境保护规划》（皖环发</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2022</w:t>
            </w:r>
            <w:r>
              <w:rPr>
                <w:color w:val="000000" w:themeColor="text1"/>
                <w14:textFill>
                  <w14:solidFill>
                    <w14:schemeClr w14:val="tx1"/>
                  </w14:solidFill>
                </w14:textFill>
              </w:rPr>
              <w:t>]</w:t>
            </w:r>
            <w:r>
              <w:rPr>
                <w:rFonts w:hint="eastAsia"/>
                <w:color w:val="000000" w:themeColor="text1"/>
                <w:szCs w:val="32"/>
                <w:lang w:bidi="ar"/>
                <w14:textFill>
                  <w14:solidFill>
                    <w14:schemeClr w14:val="tx1"/>
                  </w14:solidFill>
                </w14:textFill>
              </w:rPr>
              <w:t>8号）中的相关要求。</w:t>
            </w:r>
          </w:p>
          <w:p w14:paraId="1A1BD639">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（3）与《安徽省“十四五”大气污染防治规划》相符性分析</w:t>
            </w:r>
          </w:p>
          <w:p w14:paraId="38F616DC">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《安徽省“十四五”大气污染防治规划》</w:t>
            </w:r>
            <w:r>
              <w:rPr>
                <w:b/>
                <w:bCs/>
                <w:color w:val="000000" w:themeColor="text1"/>
                <w14:textFill>
                  <w14:solidFill>
                    <w14:schemeClr w14:val="tx1"/>
                  </w14:solidFill>
                </w14:textFill>
              </w:rPr>
              <w:t>的相符性分析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4"/>
              <w:gridCol w:w="3480"/>
              <w:gridCol w:w="2329"/>
              <w:gridCol w:w="1059"/>
            </w:tblGrid>
            <w:tr w14:paraId="436F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53D7BAB5">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序号</w:t>
                  </w:r>
                </w:p>
              </w:tc>
              <w:tc>
                <w:tcPr>
                  <w:tcW w:w="2235" w:type="pct"/>
                  <w:vAlign w:val="center"/>
                </w:tcPr>
                <w:p w14:paraId="162281DB">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规划要求（节选）</w:t>
                  </w:r>
                </w:p>
              </w:tc>
              <w:tc>
                <w:tcPr>
                  <w:tcW w:w="1496" w:type="pct"/>
                  <w:vAlign w:val="center"/>
                </w:tcPr>
                <w:p w14:paraId="44DC68B4">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本项目建设情况</w:t>
                  </w:r>
                </w:p>
              </w:tc>
              <w:tc>
                <w:tcPr>
                  <w:tcW w:w="680" w:type="pct"/>
                  <w:vAlign w:val="center"/>
                </w:tcPr>
                <w:p w14:paraId="56A9996E">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相符性</w:t>
                  </w:r>
                </w:p>
              </w:tc>
            </w:tr>
            <w:tr w14:paraId="103A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3A050FD3">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2235" w:type="pct"/>
                  <w:vAlign w:val="center"/>
                </w:tcPr>
                <w:p w14:paraId="6F3CD6E2">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十四五</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是产业绿色转型的重要战略机遇期和窗口期。以协同推进经济高质量发展和生态环境高水平保护为重要导向，以产业转型升级、绿色发展为主要目标，落实</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三线一单</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生态环境分区管控要求，以落后产能淘汰压减、重点行业绿色转型、产业集群和园区升级改造、产业布局优化调整以及固定源深度治理为主要任务</w:t>
                  </w:r>
                </w:p>
              </w:tc>
              <w:tc>
                <w:tcPr>
                  <w:tcW w:w="1496" w:type="pct"/>
                  <w:vAlign w:val="center"/>
                </w:tcPr>
                <w:p w14:paraId="0C0C9603">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项目位于安徽省淮南市经济</w:t>
                  </w:r>
                  <w:r>
                    <w:rPr>
                      <w:color w:val="000000" w:themeColor="text1"/>
                      <w:lang w:val="en-US"/>
                      <w14:textFill>
                        <w14:solidFill>
                          <w14:schemeClr w14:val="tx1"/>
                        </w14:solidFill>
                      </w14:textFill>
                    </w:rPr>
                    <w:t>技术</w:t>
                  </w:r>
                  <w:r>
                    <w:rPr>
                      <w:rFonts w:hint="default"/>
                      <w:color w:val="000000" w:themeColor="text1"/>
                      <w:lang w:val="en-US"/>
                      <w14:textFill>
                        <w14:solidFill>
                          <w14:schemeClr w14:val="tx1"/>
                        </w14:solidFill>
                      </w14:textFill>
                    </w:rPr>
                    <w:t>开发区，用地性质为工业用地</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项目建设符合安徽省及淮南市</w:t>
                  </w:r>
                  <w:r>
                    <w:rPr>
                      <w:color w:val="000000" w:themeColor="text1"/>
                      <w:lang w:val="en-US"/>
                      <w14:textFill>
                        <w14:solidFill>
                          <w14:schemeClr w14:val="tx1"/>
                        </w14:solidFill>
                      </w14:textFill>
                    </w:rPr>
                    <w:t>生态环境分区管控</w:t>
                  </w:r>
                  <w:r>
                    <w:rPr>
                      <w:rFonts w:hint="default"/>
                      <w:color w:val="000000" w:themeColor="text1"/>
                      <w:lang w:val="en-US"/>
                      <w14:textFill>
                        <w14:solidFill>
                          <w14:schemeClr w14:val="tx1"/>
                        </w14:solidFill>
                      </w14:textFill>
                    </w:rPr>
                    <w:t>要求。</w:t>
                  </w:r>
                </w:p>
              </w:tc>
              <w:tc>
                <w:tcPr>
                  <w:tcW w:w="680" w:type="pct"/>
                  <w:vAlign w:val="center"/>
                </w:tcPr>
                <w:p w14:paraId="59E3B8F2">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3A25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420F51FB">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2235" w:type="pct"/>
                  <w:vAlign w:val="center"/>
                </w:tcPr>
                <w:p w14:paraId="60C8F19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健全污染过程预警应急响应机制，深化绩效分级管控、完善应急清单和预案、提高应急措施的实施和监管能力。充分运用大气污染物源排放清单、PM</w:t>
                  </w:r>
                  <w:r>
                    <w:rPr>
                      <w:color w:val="000000" w:themeColor="text1"/>
                      <w:vertAlign w:val="subscript"/>
                      <w:lang w:val="en-US"/>
                      <w14:textFill>
                        <w14:solidFill>
                          <w14:schemeClr w14:val="tx1"/>
                        </w14:solidFill>
                      </w14:textFill>
                    </w:rPr>
                    <w:t>2.5</w:t>
                  </w:r>
                  <w:r>
                    <w:rPr>
                      <w:color w:val="000000" w:themeColor="text1"/>
                      <w:lang w:val="en-US"/>
                      <w14:textFill>
                        <w14:solidFill>
                          <w14:schemeClr w14:val="tx1"/>
                        </w14:solidFill>
                      </w14:textFill>
                    </w:rPr>
                    <w:t>来源解析、O</w:t>
                  </w:r>
                  <w:r>
                    <w:rPr>
                      <w:color w:val="000000" w:themeColor="text1"/>
                      <w:vertAlign w:val="subscript"/>
                      <w:lang w:val="en-US"/>
                      <w14:textFill>
                        <w14:solidFill>
                          <w14:schemeClr w14:val="tx1"/>
                        </w14:solidFill>
                      </w14:textFill>
                    </w:rPr>
                    <w:t>3</w:t>
                  </w:r>
                  <w:r>
                    <w:rPr>
                      <w:color w:val="000000" w:themeColor="text1"/>
                      <w:lang w:val="en-US"/>
                      <w14:textFill>
                        <w14:solidFill>
                          <w14:schemeClr w14:val="tx1"/>
                        </w14:solidFill>
                      </w14:textFill>
                    </w:rPr>
                    <w:t>污染成因分析工作成果，筛选确定应急减排重点，分类明确应急减排对象，细化应急减排措施，修订重污染天气应急减排清单。完善区域协作机制：严格落实长三角一体化、苏皖鲁豫大气污染防治实施方案、年度计划，共同推进机动车船污染防治，加快环境科技联合攻关，加强环境协同监管和重污染天气联合应对，深化各省之间和省内城市之间的区域协作。</w:t>
                  </w:r>
                </w:p>
              </w:tc>
              <w:tc>
                <w:tcPr>
                  <w:tcW w:w="1496" w:type="pct"/>
                  <w:vAlign w:val="center"/>
                </w:tcPr>
                <w:p w14:paraId="17E8D472">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拟建项目建设相应风险防范措施</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优先选用符合环保要求的低挥发性原材料</w:t>
                  </w:r>
                  <w:r>
                    <w:rPr>
                      <w:color w:val="000000" w:themeColor="text1"/>
                      <w:lang w:val="en-US"/>
                      <w14:textFill>
                        <w14:solidFill>
                          <w14:schemeClr w14:val="tx1"/>
                        </w14:solidFill>
                      </w14:textFill>
                    </w:rPr>
                    <w:t>，在挤出机模头、喷码机等废气产生点上方设置集气罩，集气收集后经过“二级活性炭吸附装置”处理后，经排气筒排放。</w:t>
                  </w:r>
                </w:p>
              </w:tc>
              <w:tc>
                <w:tcPr>
                  <w:tcW w:w="680" w:type="pct"/>
                  <w:vAlign w:val="center"/>
                </w:tcPr>
                <w:p w14:paraId="5A2AE1CB">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3B8D2763">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综上所述，建设项目符合《安徽省“十四五”大气污染防治规划》中的相关要求。</w:t>
            </w:r>
          </w:p>
          <w:p w14:paraId="312CC4A0">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（4）与《安徽省人民政府关于印发安徽省空气质量持续改善行动方案的通知》（皖政[2024]36号）的相符性分析</w:t>
            </w:r>
          </w:p>
          <w:p w14:paraId="1D8008CA">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9</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《安徽省人民政府关于印发安徽省空气质量持续改善行动方案的通知》</w:t>
            </w:r>
            <w:r>
              <w:rPr>
                <w:b/>
                <w:bCs/>
                <w:color w:val="000000" w:themeColor="text1"/>
                <w14:textFill>
                  <w14:solidFill>
                    <w14:schemeClr w14:val="tx1"/>
                  </w14:solidFill>
                </w14:textFill>
              </w:rPr>
              <w:t>的相符性分析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914"/>
              <w:gridCol w:w="3480"/>
              <w:gridCol w:w="2329"/>
              <w:gridCol w:w="1059"/>
            </w:tblGrid>
            <w:tr w14:paraId="70039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53DDFEFB">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序号</w:t>
                  </w:r>
                </w:p>
              </w:tc>
              <w:tc>
                <w:tcPr>
                  <w:tcW w:w="2235" w:type="pct"/>
                  <w:vAlign w:val="center"/>
                </w:tcPr>
                <w:p w14:paraId="068BB59C">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文件要求</w:t>
                  </w:r>
                </w:p>
              </w:tc>
              <w:tc>
                <w:tcPr>
                  <w:tcW w:w="1496" w:type="pct"/>
                  <w:vAlign w:val="center"/>
                </w:tcPr>
                <w:p w14:paraId="38C2CDA8">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本项目建设情况</w:t>
                  </w:r>
                </w:p>
              </w:tc>
              <w:tc>
                <w:tcPr>
                  <w:tcW w:w="680" w:type="pct"/>
                  <w:vAlign w:val="center"/>
                </w:tcPr>
                <w:p w14:paraId="24587169">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相符性</w:t>
                  </w:r>
                </w:p>
              </w:tc>
            </w:tr>
            <w:tr w14:paraId="7892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5503C111">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2235" w:type="pct"/>
                  <w:vAlign w:val="center"/>
                </w:tcPr>
                <w:p w14:paraId="0C127BD3">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其配套设施关停后，新建项目方可投产。</w:t>
                  </w:r>
                </w:p>
              </w:tc>
              <w:tc>
                <w:tcPr>
                  <w:tcW w:w="1496" w:type="pct"/>
                  <w:vAlign w:val="center"/>
                </w:tcPr>
                <w:p w14:paraId="3C250E8A">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本项目使用清洁能源，运营过程中产生的污染物均采取合理的处置措施并达标排放。对照</w:t>
                  </w:r>
                  <w:r>
                    <w:rPr>
                      <w:color w:val="000000" w:themeColor="text1"/>
                      <w:lang w:val="en-US"/>
                      <w14:textFill>
                        <w14:solidFill>
                          <w14:schemeClr w14:val="tx1"/>
                        </w14:solidFill>
                      </w14:textFill>
                    </w:rPr>
                    <w:t>安徽省“两高”项目重点管理范围（2025年版）</w:t>
                  </w:r>
                  <w:r>
                    <w:rPr>
                      <w:rFonts w:hint="default"/>
                      <w:color w:val="000000" w:themeColor="text1"/>
                      <w:lang w:val="en-US"/>
                      <w14:textFill>
                        <w14:solidFill>
                          <w14:schemeClr w14:val="tx1"/>
                        </w14:solidFill>
                      </w14:textFill>
                    </w:rPr>
                    <w:t>，不在两高项目范围内,不属于高污染、高能耗类项目。</w:t>
                  </w:r>
                </w:p>
              </w:tc>
              <w:tc>
                <w:tcPr>
                  <w:tcW w:w="680" w:type="pct"/>
                  <w:vAlign w:val="center"/>
                </w:tcPr>
                <w:p w14:paraId="74ABA982">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0D14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87" w:type="pct"/>
                  <w:vAlign w:val="center"/>
                </w:tcPr>
                <w:p w14:paraId="34571D8A">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2235" w:type="pct"/>
                  <w:vAlign w:val="center"/>
                </w:tcPr>
                <w:p w14:paraId="0D1518C5">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加快低（无）VOCs原辅材料替代。严格控制生产和使用高VOCs含量涂料、油墨、胶粘剂、清洗剂等建设项目。推动现有高VOCs含量产品生产企业加快产品升级转型，提高低（无）VOCs含量产品比重。加大工业涂装行业、包装印刷行业及电子行业低（无）VOCs含量原辅材料替代力度。室外构筑物防护和城市道路交通标志推广使用低（无）VOCs含量涂料。严格执行VOCs含量限值标准，确保生产、销售、进口、使用符合标准的产品。</w:t>
                  </w:r>
                </w:p>
              </w:tc>
              <w:tc>
                <w:tcPr>
                  <w:tcW w:w="1496" w:type="pct"/>
                  <w:vAlign w:val="center"/>
                </w:tcPr>
                <w:p w14:paraId="7D63E4AD">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本项目喷码工序使用水性油墨，使用量较少，并要求建立原辅材料台账。</w:t>
                  </w:r>
                </w:p>
              </w:tc>
              <w:tc>
                <w:tcPr>
                  <w:tcW w:w="680" w:type="pct"/>
                  <w:vAlign w:val="center"/>
                </w:tcPr>
                <w:p w14:paraId="7C48BA01">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6D55B74D">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综上，本项目建设满足《安徽省人民政府关于印发安徽省空气质量持续改善行动方案的通知》（皖政[2024]36号）对于建设项目的要求。</w:t>
            </w:r>
          </w:p>
          <w:p w14:paraId="0C65FF8F">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（5）与《重点行业挥发性有机物综合治理方案》（环大气[2019]53号）相符性分析</w:t>
            </w:r>
          </w:p>
          <w:p w14:paraId="4009CAB8">
            <w:pPr>
              <w:wordWrap w:val="0"/>
              <w:topLinePunct/>
              <w:spacing w:line="360" w:lineRule="auto"/>
              <w:ind w:firstLine="480" w:firstLineChars="200"/>
              <w:jc w:val="left"/>
              <w:rPr>
                <w:color w:val="000000" w:themeColor="text1"/>
                <w:szCs w:val="32"/>
                <w:lang w:bidi="ar"/>
                <w14:textFill>
                  <w14:solidFill>
                    <w14:schemeClr w14:val="tx1"/>
                  </w14:solidFill>
                </w14:textFill>
              </w:rPr>
            </w:pPr>
            <w:r>
              <w:rPr>
                <w:rFonts w:hint="eastAsia"/>
                <w:color w:val="000000" w:themeColor="text1"/>
                <w:szCs w:val="32"/>
                <w:lang w:bidi="ar"/>
                <w14:textFill>
                  <w14:solidFill>
                    <w14:schemeClr w14:val="tx1"/>
                  </w14:solidFill>
                </w14:textFill>
              </w:rPr>
              <w:t>本项目与《重点行业挥发性有机物综合治理方案》（环大气[2019]53号）有关要求进行相符性分析，具体见下表。</w:t>
            </w:r>
          </w:p>
          <w:p w14:paraId="52B2D068">
            <w:pPr>
              <w:wordWrap w:val="0"/>
              <w:topLinePunct/>
              <w:spacing w:line="360" w:lineRule="auto"/>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9</w:t>
            </w:r>
            <w:r>
              <w:rPr>
                <w:b/>
                <w:bCs/>
                <w:color w:val="000000" w:themeColor="text1"/>
                <w14:textFill>
                  <w14:solidFill>
                    <w14:schemeClr w14:val="tx1"/>
                  </w14:solidFill>
                </w14:textFill>
              </w:rPr>
              <w:t xml:space="preserve">  与</w:t>
            </w:r>
            <w:r>
              <w:rPr>
                <w:rFonts w:hint="eastAsia"/>
                <w:b/>
                <w:bCs/>
                <w:color w:val="000000" w:themeColor="text1"/>
                <w14:textFill>
                  <w14:solidFill>
                    <w14:schemeClr w14:val="tx1"/>
                  </w14:solidFill>
                </w14:textFill>
              </w:rPr>
              <w:t>《重点行业挥发性有机物综合治理方案》</w:t>
            </w:r>
            <w:r>
              <w:rPr>
                <w:b/>
                <w:bCs/>
                <w:color w:val="000000" w:themeColor="text1"/>
                <w14:textFill>
                  <w14:solidFill>
                    <w14:schemeClr w14:val="tx1"/>
                  </w14:solidFill>
                </w14:textFill>
              </w:rPr>
              <w:t>的相符性分析</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16"/>
              <w:gridCol w:w="4224"/>
              <w:gridCol w:w="2450"/>
              <w:gridCol w:w="592"/>
            </w:tblGrid>
            <w:tr w14:paraId="27CFD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2" w:type="pct"/>
                  <w:vAlign w:val="center"/>
                </w:tcPr>
                <w:p w14:paraId="30F1FE46">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序号</w:t>
                  </w:r>
                </w:p>
              </w:tc>
              <w:tc>
                <w:tcPr>
                  <w:tcW w:w="2713" w:type="pct"/>
                  <w:vAlign w:val="center"/>
                </w:tcPr>
                <w:p w14:paraId="4EB48AC3">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方案内容要求</w:t>
                  </w:r>
                </w:p>
              </w:tc>
              <w:tc>
                <w:tcPr>
                  <w:tcW w:w="1574" w:type="pct"/>
                  <w:vAlign w:val="center"/>
                </w:tcPr>
                <w:p w14:paraId="7F3C31AE">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本项目建设情况</w:t>
                  </w:r>
                </w:p>
              </w:tc>
              <w:tc>
                <w:tcPr>
                  <w:tcW w:w="380" w:type="pct"/>
                  <w:vAlign w:val="center"/>
                </w:tcPr>
                <w:p w14:paraId="434ACE0E">
                  <w:pPr>
                    <w:pStyle w:val="30"/>
                    <w:topLinePunct/>
                    <w:rPr>
                      <w:rFonts w:hint="default"/>
                      <w:b/>
                      <w:color w:val="000000" w:themeColor="text1"/>
                      <w:lang w:val="en-US"/>
                      <w14:textFill>
                        <w14:solidFill>
                          <w14:schemeClr w14:val="tx1"/>
                        </w14:solidFill>
                      </w14:textFill>
                    </w:rPr>
                  </w:pPr>
                  <w:r>
                    <w:rPr>
                      <w:b/>
                      <w:color w:val="000000" w:themeColor="text1"/>
                      <w:lang w:val="en-US"/>
                      <w14:textFill>
                        <w14:solidFill>
                          <w14:schemeClr w14:val="tx1"/>
                        </w14:solidFill>
                      </w14:textFill>
                    </w:rPr>
                    <w:t>相符性</w:t>
                  </w:r>
                </w:p>
              </w:tc>
            </w:tr>
            <w:tr w14:paraId="57C2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2" w:type="pct"/>
                  <w:vAlign w:val="center"/>
                </w:tcPr>
                <w:p w14:paraId="6B056AA1">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1</w:t>
                  </w:r>
                </w:p>
              </w:tc>
              <w:tc>
                <w:tcPr>
                  <w:tcW w:w="2713" w:type="pct"/>
                  <w:vAlign w:val="center"/>
                </w:tcPr>
                <w:p w14:paraId="49D87FC6">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VOCs挥发性强</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涉及行业广，产排污环节多,无组织排放特征明显。虽然大气污染防治法等对VOCs无组织排放提出密闭封闭等要求，但目前量大面广的企业未采取有效管控措施，尤其是中小企业管理水平差，收集效率低，逸散问题突出。</w:t>
                  </w:r>
                </w:p>
              </w:tc>
              <w:tc>
                <w:tcPr>
                  <w:tcW w:w="1574" w:type="pct"/>
                  <w:vMerge w:val="restart"/>
                  <w:vAlign w:val="center"/>
                </w:tcPr>
                <w:p w14:paraId="11AAAE51">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本项目运营期产生的有机废气经设置集气罩并加设软帘收集废气，通入“碱水喷淋塔+除雾+二级活性炭吸附装置”处理后经排气筒达标排放</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能够达到废气的有效处理和达标排放，满足相关要求。</w:t>
                  </w:r>
                </w:p>
              </w:tc>
              <w:tc>
                <w:tcPr>
                  <w:tcW w:w="380" w:type="pct"/>
                  <w:vMerge w:val="restart"/>
                  <w:vAlign w:val="center"/>
                </w:tcPr>
                <w:p w14:paraId="5BEE15AB">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190C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2" w:type="pct"/>
                  <w:vAlign w:val="center"/>
                </w:tcPr>
                <w:p w14:paraId="4CCA9E74">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2</w:t>
                  </w:r>
                </w:p>
              </w:tc>
              <w:tc>
                <w:tcPr>
                  <w:tcW w:w="2713" w:type="pct"/>
                  <w:vAlign w:val="center"/>
                </w:tcPr>
                <w:p w14:paraId="142D9BD7">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VOCs废气组分复杂，治理技术多样，适用性差异大，技术选择和系统匹配性要求高。我国VOCs治理市场起步较晚，准入门槛低，加之监管能力不足等，治污设施建设质量良莠不齐，应付治理、无效治理等现象突出。在一些地区，低温等离子、光催化、光氧化等低效技术应用甚至达80%以上，治污效果差。一些企业由于设计不规范、系统不匹配等原因，即使选择了高效治理技术，也未取得预期治污效果。</w:t>
                  </w:r>
                </w:p>
              </w:tc>
              <w:tc>
                <w:tcPr>
                  <w:tcW w:w="1574" w:type="pct"/>
                  <w:vMerge w:val="continue"/>
                  <w:vAlign w:val="center"/>
                </w:tcPr>
                <w:p w14:paraId="34C03676">
                  <w:pPr>
                    <w:pStyle w:val="30"/>
                    <w:topLinePunct/>
                    <w:jc w:val="left"/>
                    <w:rPr>
                      <w:rFonts w:hint="default"/>
                      <w:color w:val="000000" w:themeColor="text1"/>
                      <w:lang w:val="en-US"/>
                      <w14:textFill>
                        <w14:solidFill>
                          <w14:schemeClr w14:val="tx1"/>
                        </w14:solidFill>
                      </w14:textFill>
                    </w:rPr>
                  </w:pPr>
                </w:p>
              </w:tc>
              <w:tc>
                <w:tcPr>
                  <w:tcW w:w="380" w:type="pct"/>
                  <w:vMerge w:val="continue"/>
                  <w:vAlign w:val="center"/>
                </w:tcPr>
                <w:p w14:paraId="4CF61EEA">
                  <w:pPr>
                    <w:pStyle w:val="30"/>
                    <w:topLinePunct/>
                    <w:rPr>
                      <w:rFonts w:hint="default"/>
                      <w:color w:val="000000" w:themeColor="text1"/>
                      <w:lang w:val="en-US"/>
                      <w14:textFill>
                        <w14:solidFill>
                          <w14:schemeClr w14:val="tx1"/>
                        </w14:solidFill>
                      </w14:textFill>
                    </w:rPr>
                  </w:pPr>
                </w:p>
              </w:tc>
            </w:tr>
            <w:tr w14:paraId="06EAD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2" w:type="pct"/>
                  <w:vAlign w:val="center"/>
                </w:tcPr>
                <w:p w14:paraId="1B1C8D5C">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3</w:t>
                  </w:r>
                </w:p>
              </w:tc>
              <w:tc>
                <w:tcPr>
                  <w:tcW w:w="2713" w:type="pct"/>
                  <w:vAlign w:val="center"/>
                </w:tcPr>
                <w:p w14:paraId="3167D00C">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VOCs治理需要全面加强过程管控，实施精细化管理，但目前企业普遍存在管理制度不健全、操作规程未建立、人员技术能力不足等问题。一些企业采用活性炭吸附工艺，但长期不更换吸附材料</w:t>
                  </w:r>
                  <w:r>
                    <w:rPr>
                      <w:color w:val="000000" w:themeColor="text1"/>
                      <w:lang w:val="en-US"/>
                      <w14:textFill>
                        <w14:solidFill>
                          <w14:schemeClr w14:val="tx1"/>
                        </w14:solidFill>
                      </w14:textFill>
                    </w:rPr>
                    <w:t>；</w:t>
                  </w:r>
                  <w:r>
                    <w:rPr>
                      <w:rFonts w:hint="default"/>
                      <w:color w:val="000000" w:themeColor="text1"/>
                      <w:lang w:val="en-US"/>
                      <w14:textFill>
                        <w14:solidFill>
                          <w14:schemeClr w14:val="tx1"/>
                        </w14:solidFill>
                      </w14:textFill>
                    </w:rPr>
                    <w:t>一些企业采用燃烧、冷凝治理技术，但运行温度等达不到设计要求。</w:t>
                  </w:r>
                </w:p>
              </w:tc>
              <w:tc>
                <w:tcPr>
                  <w:tcW w:w="1574" w:type="pct"/>
                  <w:vAlign w:val="center"/>
                </w:tcPr>
                <w:p w14:paraId="76A53D17">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项目运营后</w:t>
                  </w:r>
                  <w:r>
                    <w:rPr>
                      <w:rFonts w:hint="default"/>
                      <w:color w:val="000000" w:themeColor="text1"/>
                      <w:lang w:val="en-US"/>
                      <w14:textFill>
                        <w14:solidFill>
                          <w14:schemeClr w14:val="tx1"/>
                        </w14:solidFill>
                      </w14:textFill>
                    </w:rPr>
                    <w:t>公司配备环保人员负责环境监督管理工作。</w:t>
                  </w:r>
                  <w:r>
                    <w:rPr>
                      <w:color w:val="000000" w:themeColor="text1"/>
                      <w:lang w:val="en-US"/>
                      <w14:textFill>
                        <w14:solidFill>
                          <w14:schemeClr w14:val="tx1"/>
                        </w14:solidFill>
                      </w14:textFill>
                    </w:rPr>
                    <w:t>要求</w:t>
                  </w:r>
                  <w:r>
                    <w:rPr>
                      <w:rFonts w:hint="default"/>
                      <w:color w:val="000000" w:themeColor="text1"/>
                      <w:lang w:val="en-US"/>
                      <w14:textFill>
                        <w14:solidFill>
                          <w14:schemeClr w14:val="tx1"/>
                        </w14:solidFill>
                      </w14:textFill>
                    </w:rPr>
                    <w:t>企业在实施环境管理时加强对管理人员的环保培训，不断提高企业职工的环保意识和环保管理水平。</w:t>
                  </w:r>
                </w:p>
              </w:tc>
              <w:tc>
                <w:tcPr>
                  <w:tcW w:w="380" w:type="pct"/>
                  <w:vAlign w:val="center"/>
                </w:tcPr>
                <w:p w14:paraId="3C25884D">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r w14:paraId="4E6C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332" w:type="pct"/>
                  <w:vAlign w:val="center"/>
                </w:tcPr>
                <w:p w14:paraId="793AB4FD">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4</w:t>
                  </w:r>
                </w:p>
              </w:tc>
              <w:tc>
                <w:tcPr>
                  <w:tcW w:w="2713" w:type="pct"/>
                  <w:vAlign w:val="center"/>
                </w:tcPr>
                <w:p w14:paraId="5C3E4D10">
                  <w:pPr>
                    <w:pStyle w:val="30"/>
                    <w:topLinePunct/>
                    <w:jc w:val="left"/>
                    <w:rPr>
                      <w:rFonts w:hint="default"/>
                      <w:color w:val="000000" w:themeColor="text1"/>
                      <w:lang w:val="en-US"/>
                      <w14:textFill>
                        <w14:solidFill>
                          <w14:schemeClr w14:val="tx1"/>
                        </w14:solidFill>
                      </w14:textFill>
                    </w:rPr>
                  </w:pPr>
                  <w:r>
                    <w:rPr>
                      <w:rFonts w:hint="default"/>
                      <w:color w:val="000000" w:themeColor="text1"/>
                      <w:lang w:val="en-US"/>
                      <w14:textFill>
                        <w14:solidFill>
                          <w14:schemeClr w14:val="tx1"/>
                        </w14:solidFill>
                      </w14:textFill>
                    </w:rPr>
                    <w:t>我国VOCs监测工作尚处于起步阶段，企业自行监测质量普遍不高，点位设置不合理、采样方式不规范、监测时段代表性不强等问题突出。部分重点企业未按要求配备自动监控设施。涉VOCs排放工业园区和产业集群缺乏有效的监测溯源与。预警措施从监管方面来看，缺乏现场快速检测等有效手段，走航监测、网格化监测等应用不足。</w:t>
                  </w:r>
                </w:p>
              </w:tc>
              <w:tc>
                <w:tcPr>
                  <w:tcW w:w="1574" w:type="pct"/>
                  <w:vAlign w:val="center"/>
                </w:tcPr>
                <w:p w14:paraId="5D1F4217">
                  <w:pPr>
                    <w:pStyle w:val="30"/>
                    <w:topLinePunct/>
                    <w:jc w:val="lef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评价要求</w:t>
                  </w:r>
                  <w:r>
                    <w:rPr>
                      <w:rFonts w:hint="default"/>
                      <w:color w:val="000000" w:themeColor="text1"/>
                      <w:lang w:val="en-US"/>
                      <w14:textFill>
                        <w14:solidFill>
                          <w14:schemeClr w14:val="tx1"/>
                        </w14:solidFill>
                      </w14:textFill>
                    </w:rPr>
                    <w:t>严格按照排污单位自行监测技术指南等相关规范要求制定企业环境监测计划。</w:t>
                  </w:r>
                </w:p>
              </w:tc>
              <w:tc>
                <w:tcPr>
                  <w:tcW w:w="380" w:type="pct"/>
                  <w:vAlign w:val="center"/>
                </w:tcPr>
                <w:p w14:paraId="1337600C">
                  <w:pPr>
                    <w:pStyle w:val="30"/>
                    <w:topLinePunct/>
                    <w:rPr>
                      <w:rFonts w:hint="default"/>
                      <w:color w:val="000000" w:themeColor="text1"/>
                      <w:lang w:val="en-US"/>
                      <w14:textFill>
                        <w14:solidFill>
                          <w14:schemeClr w14:val="tx1"/>
                        </w14:solidFill>
                      </w14:textFill>
                    </w:rPr>
                  </w:pPr>
                  <w:r>
                    <w:rPr>
                      <w:color w:val="000000" w:themeColor="text1"/>
                      <w:lang w:val="en-US"/>
                      <w14:textFill>
                        <w14:solidFill>
                          <w14:schemeClr w14:val="tx1"/>
                        </w14:solidFill>
                      </w14:textFill>
                    </w:rPr>
                    <w:t>符合</w:t>
                  </w:r>
                </w:p>
              </w:tc>
            </w:tr>
          </w:tbl>
          <w:p w14:paraId="31404869">
            <w:pPr>
              <w:pStyle w:val="2"/>
              <w:rPr>
                <w:color w:val="000000" w:themeColor="text1"/>
                <w14:textFill>
                  <w14:solidFill>
                    <w14:schemeClr w14:val="tx1"/>
                  </w14:solidFill>
                </w14:textFill>
              </w:rPr>
            </w:pPr>
          </w:p>
        </w:tc>
      </w:tr>
    </w:tbl>
    <w:p w14:paraId="0BB4F9D3">
      <w:pPr>
        <w:pStyle w:val="13"/>
        <w:jc w:val="center"/>
        <w:outlineLvl w:val="0"/>
        <w:rPr>
          <w:rFonts w:ascii="Times New Roman" w:hAnsi="Times New Roman" w:eastAsia="黑体"/>
          <w:snapToGrid w:val="0"/>
          <w:sz w:val="30"/>
          <w:szCs w:val="30"/>
        </w:rPr>
        <w:sectPr>
          <w:pgSz w:w="11906" w:h="16838"/>
          <w:pgMar w:top="1701" w:right="1531" w:bottom="1701" w:left="1531" w:header="851" w:footer="851" w:gutter="0"/>
          <w:cols w:space="720" w:num="1"/>
          <w:docGrid w:linePitch="312" w:charSpace="0"/>
        </w:sectPr>
      </w:pPr>
    </w:p>
    <w:p w14:paraId="38E0D404">
      <w:pPr>
        <w:pStyle w:val="13"/>
        <w:jc w:val="center"/>
        <w:outlineLvl w:val="0"/>
        <w:rPr>
          <w:rFonts w:ascii="Times New Roman" w:hAnsi="Times New Roman" w:eastAsia="黑体"/>
          <w:snapToGrid w:val="0"/>
          <w:sz w:val="30"/>
          <w:szCs w:val="30"/>
        </w:rPr>
      </w:pPr>
      <w:bookmarkStart w:id="3" w:name="_Toc492447877"/>
      <w:r>
        <w:rPr>
          <w:rFonts w:ascii="Times New Roman" w:hAnsi="Times New Roman" w:eastAsia="黑体"/>
          <w:snapToGrid w:val="0"/>
          <w:sz w:val="30"/>
          <w:szCs w:val="30"/>
        </w:rPr>
        <w:t>二、建设项目工程分析</w:t>
      </w:r>
      <w:bookmarkEnd w:id="3"/>
    </w:p>
    <w:tbl>
      <w:tblPr>
        <w:tblStyle w:val="15"/>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608"/>
      </w:tblGrid>
      <w:tr w14:paraId="1252E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864" w:type="dxa"/>
            <w:vAlign w:val="center"/>
          </w:tcPr>
          <w:p w14:paraId="2432786B">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建设内容</w:t>
            </w:r>
          </w:p>
        </w:tc>
        <w:tc>
          <w:tcPr>
            <w:tcW w:w="8196" w:type="dxa"/>
          </w:tcPr>
          <w:p w14:paraId="3F4267FA">
            <w:pPr>
              <w:autoSpaceDE w:val="0"/>
              <w:autoSpaceDN w:val="0"/>
              <w:adjustRightInd w:val="0"/>
              <w:spacing w:line="360" w:lineRule="auto"/>
              <w:rPr>
                <w:b/>
                <w:bCs/>
                <w:color w:val="000000" w:themeColor="text1"/>
                <w:kern w:val="0"/>
                <w14:textFill>
                  <w14:solidFill>
                    <w14:schemeClr w14:val="tx1"/>
                  </w14:solidFill>
                </w14:textFill>
              </w:rPr>
            </w:pPr>
            <w:r>
              <w:rPr>
                <w:rFonts w:hint="eastAsia" w:ascii="宋体" w:hAnsi="宋体" w:cs="宋体"/>
                <w:b/>
                <w:bCs/>
                <w:color w:val="000000" w:themeColor="text1"/>
                <w14:textFill>
                  <w14:solidFill>
                    <w14:schemeClr w14:val="tx1"/>
                  </w14:solidFill>
                </w14:textFill>
              </w:rPr>
              <w:t>1、</w:t>
            </w:r>
            <w:r>
              <w:rPr>
                <w:b/>
                <w:bCs/>
                <w:color w:val="000000" w:themeColor="text1"/>
                <w:kern w:val="0"/>
                <w14:textFill>
                  <w14:solidFill>
                    <w14:schemeClr w14:val="tx1"/>
                  </w14:solidFill>
                </w14:textFill>
              </w:rPr>
              <w:t>项目建设</w:t>
            </w:r>
            <w:r>
              <w:rPr>
                <w:rFonts w:hint="eastAsia"/>
                <w:b/>
                <w:bCs/>
                <w:color w:val="000000" w:themeColor="text1"/>
                <w:kern w:val="0"/>
                <w14:textFill>
                  <w14:solidFill>
                    <w14:schemeClr w14:val="tx1"/>
                  </w14:solidFill>
                </w14:textFill>
              </w:rPr>
              <w:t>背景</w:t>
            </w:r>
          </w:p>
          <w:p w14:paraId="719BCA1E">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本项目工程总投资103000万元，占地面积为60545.40m</w:t>
            </w:r>
            <w:r>
              <w:rPr>
                <w:rFonts w:hint="eastAsia"/>
                <w:bCs/>
                <w:color w:val="000000" w:themeColor="text1"/>
                <w:vertAlign w:val="superscript"/>
                <w14:textFill>
                  <w14:solidFill>
                    <w14:schemeClr w14:val="tx1"/>
                  </w14:solidFill>
                </w14:textFill>
              </w:rPr>
              <w:t>2</w:t>
            </w:r>
            <w:r>
              <w:rPr>
                <w:rFonts w:hint="eastAsia"/>
                <w:bCs/>
                <w:color w:val="000000" w:themeColor="text1"/>
                <w14:textFill>
                  <w14:solidFill>
                    <w14:schemeClr w14:val="tx1"/>
                  </w14:solidFill>
                </w14:textFill>
              </w:rPr>
              <w:t>，建设标准化厂房、办公楼、总建筑面积47500平方米。购置挤出机、成缆机、喷码机等电缆安装设备共计439台（套）；购置双螺旋杆造粒机、水冷拉条切粒机、电缆料摇罐干燥机等电缆辅料设备共计29台（套）。</w:t>
            </w:r>
          </w:p>
          <w:p w14:paraId="00A5DB1C">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年产110kv电缆150万米、光伏电缆1200万米；年产塑料制品10000吨。根据《建设项目环境影响评价分类管理名录》（2021年版），本项目属于“三十五、电气机械和器材制造业38、77、电线，电缆，光缆及电工器材制造383、其他（仅分割、焊接、组装的除外；年用非溶剂型低VOCs含量涂料10吨以下的除外）”与“二十六、橡胶和塑料制品业29、53、塑料制品业292、其他（年用非溶剂型低VOCs含量涂料10吨以下的除外）”，故项目需编制环境影响报告表。本项目属于《固定污染源排污许可分类管理名录（2019版）》中“二十四、橡胶和塑料制品业29、62、塑料制品业292、年产1万吨及以上塑料零件及其他塑料制品制造2929”与“三十三、电气机械和器材制造业38、87、电线、电缆、光缆及电工器材制造383、其他”，故排污许可管理类别为简化管理。</w:t>
            </w:r>
          </w:p>
          <w:p w14:paraId="75D37E89">
            <w:pPr>
              <w:pStyle w:val="25"/>
              <w:spacing w:before="0" w:beforeAutospacing="0" w:after="0" w:afterAutospacing="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表2-</w:t>
            </w:r>
            <w:r>
              <w:rPr>
                <w:rFonts w:hint="eastAsia" w:ascii="Times New Roman" w:hAnsi="Times New Roman" w:cs="Times New Roman"/>
                <w:b/>
                <w:color w:val="000000" w:themeColor="text1"/>
                <w14:textFill>
                  <w14:solidFill>
                    <w14:schemeClr w14:val="tx1"/>
                  </w14:solidFill>
                </w14:textFill>
              </w:rPr>
              <w:t>1</w:t>
            </w:r>
            <w:r>
              <w:rPr>
                <w:rFonts w:ascii="Times New Roman" w:hAnsi="Times New Roman" w:cs="Times New Roman"/>
                <w:b/>
                <w:color w:val="000000" w:themeColor="text1"/>
                <w14:textFill>
                  <w14:solidFill>
                    <w14:schemeClr w14:val="tx1"/>
                  </w14:solidFill>
                </w14:textFill>
              </w:rPr>
              <w:t xml:space="preserve">  </w:t>
            </w:r>
            <w:r>
              <w:rPr>
                <w:rFonts w:hint="eastAsia" w:ascii="Times New Roman" w:hAnsi="Times New Roman" w:cs="Times New Roman"/>
                <w:b/>
                <w:color w:val="000000" w:themeColor="text1"/>
                <w14:textFill>
                  <w14:solidFill>
                    <w14:schemeClr w14:val="tx1"/>
                  </w14:solidFill>
                </w14:textFill>
              </w:rPr>
              <w:t>建设项目环境影响评价分类管理名录（2021年版，摘录）</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2790"/>
              <w:gridCol w:w="2499"/>
              <w:gridCol w:w="1904"/>
              <w:gridCol w:w="737"/>
            </w:tblGrid>
            <w:tr w14:paraId="51F5C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3" w:type="pct"/>
                  <w:gridSpan w:val="2"/>
                  <w:tcBorders>
                    <w:tl2br w:val="single" w:color="auto" w:sz="4" w:space="0"/>
                  </w:tcBorders>
                  <w:vAlign w:val="center"/>
                </w:tcPr>
                <w:p w14:paraId="4DAA44E8">
                  <w:pPr>
                    <w:jc w:val="right"/>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环评类别</w:t>
                  </w:r>
                </w:p>
                <w:p w14:paraId="18225652">
                  <w:pPr>
                    <w:jc w:val="left"/>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项目类别</w:t>
                  </w:r>
                </w:p>
              </w:tc>
              <w:tc>
                <w:tcPr>
                  <w:tcW w:w="1491" w:type="pct"/>
                  <w:vAlign w:val="center"/>
                </w:tcPr>
                <w:p w14:paraId="785639B0">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报告书</w:t>
                  </w:r>
                </w:p>
              </w:tc>
              <w:tc>
                <w:tcPr>
                  <w:tcW w:w="1136" w:type="pct"/>
                  <w:vAlign w:val="center"/>
                </w:tcPr>
                <w:p w14:paraId="1EF01418">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报告表</w:t>
                  </w:r>
                </w:p>
              </w:tc>
              <w:tc>
                <w:tcPr>
                  <w:tcW w:w="439" w:type="pct"/>
                  <w:vAlign w:val="center"/>
                </w:tcPr>
                <w:p w14:paraId="7B3F99A2">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登记表</w:t>
                  </w:r>
                </w:p>
              </w:tc>
            </w:tr>
            <w:tr w14:paraId="37D7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vAlign w:val="center"/>
                </w:tcPr>
                <w:p w14:paraId="5E27CC5B">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三十五、电气机械和器材制造业</w:t>
                  </w:r>
                  <w:r>
                    <w:rPr>
                      <w:color w:val="000000" w:themeColor="text1"/>
                      <w:kern w:val="0"/>
                      <w:sz w:val="21"/>
                      <w:szCs w:val="21"/>
                      <w14:textFill>
                        <w14:solidFill>
                          <w14:schemeClr w14:val="tx1"/>
                        </w14:solidFill>
                      </w14:textFill>
                    </w:rPr>
                    <w:t>38</w:t>
                  </w:r>
                </w:p>
              </w:tc>
            </w:tr>
            <w:tr w14:paraId="27E0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Align w:val="center"/>
                </w:tcPr>
                <w:p w14:paraId="64A7260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77</w:t>
                  </w:r>
                </w:p>
              </w:tc>
              <w:tc>
                <w:tcPr>
                  <w:tcW w:w="1665" w:type="pct"/>
                  <w:vAlign w:val="center"/>
                </w:tcPr>
                <w:p w14:paraId="7B6A1980">
                  <w:pPr>
                    <w:jc w:val="left"/>
                  </w:pPr>
                  <w:r>
                    <w:t>电机制造381；输配电及控制设备制造382；电线、电缆、光缆及电工器材制造383；电池制造384；家用电力器具制造385；非电力家用器具制造386；照明器具制造387；其他电气机械及器材制造389</w:t>
                  </w:r>
                </w:p>
              </w:tc>
              <w:tc>
                <w:tcPr>
                  <w:tcW w:w="1491" w:type="pct"/>
                  <w:vAlign w:val="center"/>
                </w:tcPr>
                <w:p w14:paraId="30615097">
                  <w:pPr>
                    <w:jc w:val="left"/>
                    <w:rPr>
                      <w:color w:val="000000" w:themeColor="text1"/>
                      <w:kern w:val="0"/>
                      <w:sz w:val="21"/>
                      <w:szCs w:val="21"/>
                      <w14:textFill>
                        <w14:solidFill>
                          <w14:schemeClr w14:val="tx1"/>
                        </w14:solidFill>
                      </w14:textFill>
                    </w:rPr>
                  </w:pPr>
                  <w:r>
                    <w:t>铅蓄电池制造；太阳能电池片生产；有电镀工艺的；年用溶剂型涂料（含稀释剂）10吨及以上的</w:t>
                  </w:r>
                </w:p>
              </w:tc>
              <w:tc>
                <w:tcPr>
                  <w:tcW w:w="1136" w:type="pct"/>
                  <w:vAlign w:val="center"/>
                </w:tcPr>
                <w:p w14:paraId="205D8BE5">
                  <w:pPr>
                    <w:jc w:val="left"/>
                    <w:rPr>
                      <w:color w:val="000000" w:themeColor="text1"/>
                      <w:sz w:val="21"/>
                      <w:szCs w:val="21"/>
                      <w14:textFill>
                        <w14:solidFill>
                          <w14:schemeClr w14:val="tx1"/>
                        </w14:solidFill>
                      </w14:textFill>
                    </w:rPr>
                  </w:pPr>
                  <w:r>
                    <w:t>其他（仅分割、焊接、组装的除外；年用非溶剂型低VOCs含量涂料10吨以下的除外）</w:t>
                  </w:r>
                </w:p>
              </w:tc>
              <w:tc>
                <w:tcPr>
                  <w:tcW w:w="439" w:type="pct"/>
                  <w:shd w:val="clear" w:color="auto" w:fill="auto"/>
                  <w:vAlign w:val="center"/>
                </w:tcPr>
                <w:p w14:paraId="3FCC9E44">
                  <w:pPr>
                    <w:widowControl/>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14:paraId="78CD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5"/>
                  <w:vAlign w:val="center"/>
                </w:tcPr>
                <w:p w14:paraId="69D70452">
                  <w:pPr>
                    <w:widowControl/>
                    <w:jc w:val="center"/>
                    <w:rPr>
                      <w:color w:val="000000" w:themeColor="text1"/>
                      <w:kern w:val="0"/>
                      <w:sz w:val="21"/>
                      <w:szCs w:val="21"/>
                      <w14:textFill>
                        <w14:solidFill>
                          <w14:schemeClr w14:val="tx1"/>
                        </w14:solidFill>
                      </w14:textFill>
                    </w:rPr>
                  </w:pPr>
                  <w:r>
                    <w:t>二十六、橡胶和塑料制品业29</w:t>
                  </w:r>
                </w:p>
              </w:tc>
            </w:tr>
            <w:tr w14:paraId="3289A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8" w:type="pct"/>
                  <w:vAlign w:val="center"/>
                </w:tcPr>
                <w:p w14:paraId="0330424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53</w:t>
                  </w:r>
                </w:p>
              </w:tc>
              <w:tc>
                <w:tcPr>
                  <w:tcW w:w="1665" w:type="pct"/>
                  <w:vAlign w:val="center"/>
                </w:tcPr>
                <w:p w14:paraId="6D6C363F">
                  <w:pPr>
                    <w:jc w:val="left"/>
                  </w:pPr>
                  <w:r>
                    <w:t>塑料制品业292</w:t>
                  </w:r>
                </w:p>
              </w:tc>
              <w:tc>
                <w:tcPr>
                  <w:tcW w:w="1491" w:type="pct"/>
                  <w:vAlign w:val="center"/>
                </w:tcPr>
                <w:p w14:paraId="6B6A0A85">
                  <w:pPr>
                    <w:jc w:val="left"/>
                  </w:pPr>
                  <w:r>
                    <w:t>以再生塑料为原料生产的；有电镀工艺的；年用溶剂型胶粘剂10吨及以上的；年用溶剂型涂料（含稀释剂）10吨及以上的</w:t>
                  </w:r>
                </w:p>
              </w:tc>
              <w:tc>
                <w:tcPr>
                  <w:tcW w:w="1136" w:type="pct"/>
                  <w:vAlign w:val="center"/>
                </w:tcPr>
                <w:p w14:paraId="5E2275FE">
                  <w:pPr>
                    <w:jc w:val="left"/>
                  </w:pPr>
                  <w:r>
                    <w:t>其他（年用非溶剂型低VOCs含量涂料10吨以下的除外）</w:t>
                  </w:r>
                </w:p>
              </w:tc>
              <w:tc>
                <w:tcPr>
                  <w:tcW w:w="439" w:type="pct"/>
                  <w:shd w:val="clear" w:color="auto" w:fill="auto"/>
                  <w:vAlign w:val="center"/>
                </w:tcPr>
                <w:p w14:paraId="6B157DD8">
                  <w:pPr>
                    <w:widowControl/>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bl>
          <w:p w14:paraId="6620784F">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项目坐落于安徽省淮南市经济开发区长宁路以南、G206西侧，项目建成后可达年产110kv电缆150万米、光伏电缆1200万米；年产塑料制品10000吨。</w:t>
            </w:r>
          </w:p>
          <w:p w14:paraId="06B44DDD">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2、项目建设概况</w:t>
            </w:r>
          </w:p>
          <w:p w14:paraId="4E1BBE9F">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项目名称：新能源绿色智能智造电缆产业园建设项目；</w:t>
            </w:r>
          </w:p>
          <w:p w14:paraId="196CC177">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建设单位：淮南经开科技有限公司；</w:t>
            </w:r>
          </w:p>
          <w:p w14:paraId="7C46B4B0">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建设规模：年产110kv电缆150万米、光伏电缆1200万米；年产塑料制品10000吨；</w:t>
            </w:r>
          </w:p>
          <w:p w14:paraId="3F8EC890">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项日性质：新建；</w:t>
            </w:r>
          </w:p>
          <w:p w14:paraId="63B10345">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投资总额：本项目总投资103000万元。</w:t>
            </w:r>
          </w:p>
          <w:p w14:paraId="18D7486F">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地点：本项目位于安徽省淮南市经济开发区长宁路以南、G206西侧；项目南侧为智慧显示产业园，西侧为淮南经开化工园区危化品运输车辆专用停车场，北侧为淮南锦德生物科技有限公司、预留发展工业用地，东侧预留发展工业用地。项目周边环境示意图见下图。</w:t>
            </w:r>
          </w:p>
          <w:p w14:paraId="6E776BA4">
            <w:pPr>
              <w:pStyle w:val="2"/>
              <w:spacing w:before="0" w:after="0" w:line="360" w:lineRule="auto"/>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4723130" cy="3342005"/>
                  <wp:effectExtent l="0" t="0" r="1270" b="10795"/>
                  <wp:docPr id="11" name="图片 11" descr="C:/Users/SAMSUNG/Desktop/001淮南电缆项目/001项目周边位置情况.jpg001项目周边位置情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SAMSUNG/Desktop/001淮南电缆项目/001项目周边位置情况.jpg001项目周边位置情况"/>
                          <pic:cNvPicPr>
                            <a:picLocks noChangeAspect="1"/>
                          </pic:cNvPicPr>
                        </pic:nvPicPr>
                        <pic:blipFill>
                          <a:blip r:embed="rId13"/>
                          <a:srcRect t="6" b="6"/>
                          <a:stretch>
                            <a:fillRect/>
                          </a:stretch>
                        </pic:blipFill>
                        <pic:spPr>
                          <a:xfrm>
                            <a:off x="0" y="0"/>
                            <a:ext cx="4723130" cy="3342005"/>
                          </a:xfrm>
                          <a:prstGeom prst="rect">
                            <a:avLst/>
                          </a:prstGeom>
                        </pic:spPr>
                      </pic:pic>
                    </a:graphicData>
                  </a:graphic>
                </wp:inline>
              </w:drawing>
            </w:r>
          </w:p>
          <w:p w14:paraId="1602800D">
            <w:pPr>
              <w:pStyle w:val="2"/>
              <w:spacing w:before="0" w:after="0" w:line="360" w:lineRule="auto"/>
              <w:jc w:val="center"/>
              <w:rPr>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图2</w:t>
            </w:r>
            <w:r>
              <w:rPr>
                <w:rFonts w:ascii="Times New Roman" w:hAnsi="Times New Roman" w:eastAsia="宋体"/>
                <w:bCs/>
                <w:color w:val="000000" w:themeColor="text1"/>
                <w14:textFill>
                  <w14:solidFill>
                    <w14:schemeClr w14:val="tx1"/>
                  </w14:solidFill>
                </w14:textFill>
              </w:rPr>
              <w:t>-</w:t>
            </w:r>
            <w:r>
              <w:rPr>
                <w:rFonts w:hint="eastAsia" w:ascii="Times New Roman" w:hAnsi="Times New Roman" w:eastAsia="宋体"/>
                <w:bCs/>
                <w:color w:val="000000" w:themeColor="text1"/>
                <w14:textFill>
                  <w14:solidFill>
                    <w14:schemeClr w14:val="tx1"/>
                  </w14:solidFill>
                </w14:textFill>
              </w:rPr>
              <w:t>1</w:t>
            </w:r>
            <w:r>
              <w:rPr>
                <w:rFonts w:ascii="Times New Roman" w:hAnsi="Times New Roman" w:eastAsia="宋体"/>
                <w:bCs/>
                <w:color w:val="000000" w:themeColor="text1"/>
                <w14:textFill>
                  <w14:solidFill>
                    <w14:schemeClr w14:val="tx1"/>
                  </w14:solidFill>
                </w14:textFill>
              </w:rPr>
              <w:t xml:space="preserve">  </w:t>
            </w:r>
            <w:r>
              <w:rPr>
                <w:rFonts w:hint="eastAsia" w:ascii="Times New Roman" w:hAnsi="Times New Roman" w:eastAsia="宋体"/>
                <w:bCs/>
                <w:color w:val="000000" w:themeColor="text1"/>
                <w14:textFill>
                  <w14:solidFill>
                    <w14:schemeClr w14:val="tx1"/>
                  </w14:solidFill>
                </w14:textFill>
              </w:rPr>
              <w:t>项目周边环境概况图</w:t>
            </w:r>
          </w:p>
          <w:p w14:paraId="78F72F43">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劳动定员：劳动定员120人（管理人员10人，员工110人），提供食堂；工作制度：生产车间实行三班两倒制，年工作天数300天。</w:t>
            </w:r>
          </w:p>
          <w:p w14:paraId="3DDD148D">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3、项目建设内容</w:t>
            </w:r>
          </w:p>
          <w:p w14:paraId="656A3EC3">
            <w:pPr>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项目建设的主要工程内容及规模详见表2-1。</w:t>
            </w:r>
          </w:p>
          <w:p w14:paraId="37F69B01">
            <w:pPr>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表</w:t>
            </w:r>
            <w:r>
              <w:rPr>
                <w:rFonts w:hint="eastAsia"/>
                <w:b/>
                <w:color w:val="000000" w:themeColor="text1"/>
                <w:szCs w:val="21"/>
                <w14:textFill>
                  <w14:solidFill>
                    <w14:schemeClr w14:val="tx1"/>
                  </w14:solidFill>
                </w14:textFill>
              </w:rPr>
              <w:t>2</w:t>
            </w:r>
            <w:r>
              <w:rPr>
                <w:b/>
                <w:color w:val="000000" w:themeColor="text1"/>
                <w:szCs w:val="21"/>
                <w14:textFill>
                  <w14:solidFill>
                    <w14:schemeClr w14:val="tx1"/>
                  </w14:solidFill>
                </w14:textFill>
              </w:rPr>
              <w:t>-1</w:t>
            </w:r>
            <w:r>
              <w:rPr>
                <w:rFonts w:hint="eastAsia"/>
                <w:b/>
                <w:color w:val="000000" w:themeColor="text1"/>
                <w:szCs w:val="21"/>
                <w:lang w:val="en-US" w:eastAsia="zh-CN"/>
                <w14:textFill>
                  <w14:solidFill>
                    <w14:schemeClr w14:val="tx1"/>
                  </w14:solidFill>
                </w14:textFill>
              </w:rPr>
              <w:t xml:space="preserve"> </w:t>
            </w:r>
            <w:r>
              <w:rPr>
                <w:b/>
                <w:color w:val="000000" w:themeColor="text1"/>
                <w:szCs w:val="21"/>
                <w14:textFill>
                  <w14:solidFill>
                    <w14:schemeClr w14:val="tx1"/>
                  </w14:solidFill>
                </w14:textFill>
              </w:rPr>
              <w:t xml:space="preserve"> 建设项目概况一览表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136"/>
              <w:gridCol w:w="6113"/>
            </w:tblGrid>
            <w:tr w14:paraId="124F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74" w:type="pct"/>
                  <w:vAlign w:val="center"/>
                </w:tcPr>
                <w:p w14:paraId="0AA538E1">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w:t>
                  </w:r>
                </w:p>
              </w:tc>
              <w:tc>
                <w:tcPr>
                  <w:tcW w:w="678" w:type="pct"/>
                  <w:vAlign w:val="center"/>
                </w:tcPr>
                <w:p w14:paraId="7F83B619">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3647" w:type="pct"/>
                  <w:vAlign w:val="center"/>
                </w:tcPr>
                <w:p w14:paraId="7AEDDD48">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实施内容</w:t>
                  </w:r>
                </w:p>
              </w:tc>
            </w:tr>
            <w:tr w14:paraId="54A45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restart"/>
                  <w:vAlign w:val="center"/>
                </w:tcPr>
                <w:p w14:paraId="7D701022">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主体工程</w:t>
                  </w:r>
                </w:p>
              </w:tc>
              <w:tc>
                <w:tcPr>
                  <w:tcW w:w="678" w:type="pct"/>
                  <w:vAlign w:val="center"/>
                </w:tcPr>
                <w:p w14:paraId="4F27DFC9">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高压生产车间</w:t>
                  </w:r>
                </w:p>
              </w:tc>
              <w:tc>
                <w:tcPr>
                  <w:tcW w:w="3647" w:type="pct"/>
                  <w:vAlign w:val="center"/>
                </w:tcPr>
                <w:p w14:paraId="2CB0A53E">
                  <w:pPr>
                    <w:widowControl/>
                    <w:jc w:val="left"/>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规划建筑面积24834.55平方米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设计为大跨度重型钢结构厂房，层高超过</w:t>
                  </w:r>
                  <w:r>
                    <w:rPr>
                      <w:rFonts w:hint="eastAsia"/>
                      <w:color w:val="000000" w:themeColor="text1"/>
                      <w:sz w:val="21"/>
                      <w:szCs w:val="21"/>
                      <w14:textFill>
                        <w14:solidFill>
                          <w14:schemeClr w14:val="tx1"/>
                        </w14:solidFill>
                      </w14:textFill>
                    </w:rPr>
                    <w:t>12</w:t>
                  </w:r>
                  <w:r>
                    <w:rPr>
                      <w:color w:val="000000" w:themeColor="text1"/>
                      <w:sz w:val="21"/>
                      <w:szCs w:val="21"/>
                      <w14:textFill>
                        <w14:solidFill>
                          <w14:schemeClr w14:val="tx1"/>
                        </w14:solidFill>
                      </w14:textFill>
                    </w:rPr>
                    <w:t>米，满足超高压电缆立式或悬链式生产工艺对空间高度的特殊需求。</w:t>
                  </w:r>
                </w:p>
                <w:p w14:paraId="01D3EFC0">
                  <w:pPr>
                    <w:widowControl/>
                    <w:jc w:val="left"/>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该单体主要用于布置110kV干法交联生产线</w:t>
                  </w:r>
                  <w:r>
                    <w:rPr>
                      <w:rFonts w:hint="eastAsia"/>
                      <w:color w:val="000000" w:themeColor="text1"/>
                      <w:sz w:val="21"/>
                      <w:szCs w:val="21"/>
                      <w14:textFill>
                        <w14:solidFill>
                          <w14:schemeClr w14:val="tx1"/>
                        </w14:solidFill>
                      </w14:textFill>
                    </w:rPr>
                    <w:t>，包括2套110kV悬链式(CCV)干法交联生产线、自动化塑料挤出成套机组（护套）、自动化塑料挤出成套机组（内衬）、铜大拉机组、自动化框式绞线机、盘式成缆铠装一体机、屏蔽铜带绕包机、氩弧焊轧纹成套设备、激光/喷墨喷码机、自动倒线/复绕机、履带式牵引机、工业冷水机组、交流对焊机、桥式起重机 (天车)；</w:t>
                  </w:r>
                </w:p>
                <w:p w14:paraId="47C1108A">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设计产能为年产110kv电缆150万米。</w:t>
                  </w:r>
                </w:p>
              </w:tc>
            </w:tr>
            <w:tr w14:paraId="1DC2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continue"/>
                  <w:vAlign w:val="center"/>
                </w:tcPr>
                <w:p w14:paraId="3F59E26E">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76507EDC">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新能源线缆车间</w:t>
                  </w:r>
                </w:p>
              </w:tc>
              <w:tc>
                <w:tcPr>
                  <w:tcW w:w="3647" w:type="pct"/>
                  <w:vAlign w:val="center"/>
                </w:tcPr>
                <w:p w14:paraId="4B846E58">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新能源线缆车间</w:t>
                  </w:r>
                  <w:r>
                    <w:rPr>
                      <w:color w:val="000000" w:themeColor="text1"/>
                      <w:sz w:val="21"/>
                      <w:szCs w:val="21"/>
                      <w14:textFill>
                        <w14:solidFill>
                          <w14:schemeClr w14:val="tx1"/>
                        </w14:solidFill>
                      </w14:textFill>
                    </w:rPr>
                    <w:t>规划建筑面积5143.83平方米</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设计为标准化单层钢结构厂房，层高大于8米，以适应新能源线缆高速挤出及成圈打包的自动化作业流程。</w:t>
                  </w:r>
                </w:p>
                <w:p w14:paraId="091FA327">
                  <w:pPr>
                    <w:widowControl/>
                    <w:jc w:val="left"/>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主要用于光伏专用电缆的生产制造</w:t>
                  </w:r>
                  <w:r>
                    <w:rPr>
                      <w:rFonts w:hint="eastAsia"/>
                      <w:color w:val="000000" w:themeColor="text1"/>
                      <w:sz w:val="21"/>
                      <w:szCs w:val="21"/>
                      <w14:textFill>
                        <w14:solidFill>
                          <w14:schemeClr w14:val="tx1"/>
                        </w14:solidFill>
                      </w14:textFill>
                    </w:rPr>
                    <w:t>，布置自动化塑料挤出成套机组（绝缘）、自动化塑料挤出成套机组（内衬）、自动化管式绞线机、盘式成缆铠装一体机、悬臂式成缆机、激光/喷墨喷码机、自动倒线/复绕机、履带式牵引机、高频火花检测仪、工业冷水机组、桥式起重机 (天车)；设计产能为年产光伏电缆600万米。</w:t>
                  </w:r>
                </w:p>
              </w:tc>
            </w:tr>
            <w:tr w14:paraId="2FF13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continue"/>
                  <w:vAlign w:val="center"/>
                </w:tcPr>
                <w:p w14:paraId="55FC6B3B">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4FAA931F">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低压线缆车间</w:t>
                  </w:r>
                </w:p>
              </w:tc>
              <w:tc>
                <w:tcPr>
                  <w:tcW w:w="3647" w:type="pct"/>
                  <w:vAlign w:val="center"/>
                </w:tcPr>
                <w:p w14:paraId="5DDADA30">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低压线缆车间</w:t>
                  </w:r>
                  <w:r>
                    <w:rPr>
                      <w:color w:val="000000" w:themeColor="text1"/>
                      <w:sz w:val="21"/>
                      <w:szCs w:val="21"/>
                      <w14:textFill>
                        <w14:solidFill>
                          <w14:schemeClr w14:val="tx1"/>
                        </w14:solidFill>
                      </w14:textFill>
                    </w:rPr>
                    <w:t>规划建筑面积4870.30平方米。主要用于光伏专用电缆的生产制造</w:t>
                  </w:r>
                  <w:r>
                    <w:rPr>
                      <w:rFonts w:hint="eastAsia"/>
                      <w:color w:val="000000" w:themeColor="text1"/>
                      <w:sz w:val="21"/>
                      <w:szCs w:val="21"/>
                      <w14:textFill>
                        <w14:solidFill>
                          <w14:schemeClr w14:val="tx1"/>
                        </w14:solidFill>
                      </w14:textFill>
                    </w:rPr>
                    <w:t>，布置自动化塑料挤出成套机组（绝缘）、自动化塑料挤出成套机组（内衬）、自动化管式绞线机、盘式成缆铠装一体机、悬臂式成缆机、激光/喷墨喷码机、自动倒线/复绕机、履带式牵引机、高频火花检测仪、工业冷水机组、桥式起重机 (天车)；设计产能为年产光伏电缆600万米。</w:t>
                  </w:r>
                </w:p>
              </w:tc>
            </w:tr>
            <w:tr w14:paraId="32D7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continue"/>
                  <w:vAlign w:val="center"/>
                </w:tcPr>
                <w:p w14:paraId="3F8EF789">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04379059">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塑料制品生产区</w:t>
                  </w:r>
                </w:p>
              </w:tc>
              <w:tc>
                <w:tcPr>
                  <w:tcW w:w="3647" w:type="pct"/>
                  <w:vAlign w:val="center"/>
                </w:tcPr>
                <w:p w14:paraId="040979D9">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在原材料仓库（南侧） 配套建设年产10000吨电缆料生产线，布置有自动化塑料挤出成套设备、双螺杆造粒机组、水冷拉条切粒机组、检验设备等，用于生产加工环保型绝缘料/护套料（</w:t>
                  </w:r>
                  <w:r>
                    <w:rPr>
                      <w:rFonts w:hint="eastAsia"/>
                      <w:color w:val="000000" w:themeColor="text1"/>
                      <w:sz w:val="21"/>
                      <w:szCs w:val="21"/>
                      <w:lang w:bidi="ar"/>
                      <w14:textFill>
                        <w14:solidFill>
                          <w14:schemeClr w14:val="tx1"/>
                        </w14:solidFill>
                      </w14:textFill>
                    </w:rPr>
                    <w:t>PVC粒料，低烟无卤PE料</w:t>
                  </w:r>
                  <w:r>
                    <w:rPr>
                      <w:rFonts w:hint="eastAsia"/>
                      <w:color w:val="000000" w:themeColor="text1"/>
                      <w:sz w:val="21"/>
                      <w:szCs w:val="21"/>
                      <w14:textFill>
                        <w14:solidFill>
                          <w14:schemeClr w14:val="tx1"/>
                        </w14:solidFill>
                      </w14:textFill>
                    </w:rPr>
                    <w:t>）。</w:t>
                  </w:r>
                </w:p>
              </w:tc>
            </w:tr>
            <w:tr w14:paraId="0A26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restart"/>
                  <w:vAlign w:val="center"/>
                </w:tcPr>
                <w:p w14:paraId="543EA4AC">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辅助工程</w:t>
                  </w:r>
                </w:p>
              </w:tc>
              <w:tc>
                <w:tcPr>
                  <w:tcW w:w="678" w:type="pct"/>
                  <w:vAlign w:val="center"/>
                </w:tcPr>
                <w:p w14:paraId="024039DF">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综合办公楼</w:t>
                  </w:r>
                </w:p>
              </w:tc>
              <w:tc>
                <w:tcPr>
                  <w:tcW w:w="3647" w:type="pct"/>
                  <w:vAlign w:val="center"/>
                </w:tcPr>
                <w:p w14:paraId="74F8DC40">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位于厂前区，建筑面积4141.76平方米。集行政管理、商务接待、员工培训及数字化指挥中心于一体，作为企业形象展示与中枢管理的载体。</w:t>
                  </w:r>
                </w:p>
              </w:tc>
            </w:tr>
            <w:tr w14:paraId="6A3E6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74" w:type="pct"/>
                  <w:vMerge w:val="continue"/>
                  <w:vAlign w:val="center"/>
                </w:tcPr>
                <w:p w14:paraId="02C75F3C">
                  <w:pPr>
                    <w:widowControl/>
                    <w:jc w:val="center"/>
                    <w:textAlignment w:val="center"/>
                    <w:rPr>
                      <w:color w:val="000000" w:themeColor="text1"/>
                      <w:sz w:val="21"/>
                      <w:szCs w:val="21"/>
                      <w14:textFill>
                        <w14:solidFill>
                          <w14:schemeClr w14:val="tx1"/>
                        </w14:solidFill>
                      </w14:textFill>
                    </w:rPr>
                  </w:pPr>
                </w:p>
              </w:tc>
              <w:tc>
                <w:tcPr>
                  <w:tcW w:w="678" w:type="pct"/>
                  <w:shd w:val="clear" w:color="auto" w:fill="auto"/>
                  <w:vAlign w:val="center"/>
                </w:tcPr>
                <w:p w14:paraId="359D2510">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检测车间</w:t>
                  </w:r>
                </w:p>
              </w:tc>
              <w:tc>
                <w:tcPr>
                  <w:tcW w:w="3647" w:type="pct"/>
                  <w:shd w:val="clear" w:color="auto" w:fill="auto"/>
                  <w:vAlign w:val="center"/>
                </w:tcPr>
                <w:p w14:paraId="68A3AD5B">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位于厂区东北侧，建筑面积4141.76平方米。重点建设电缆检测中心及新材料研发实验室，不包含化学实验，配备全套高压局放、物理性能检测设备，承担产品质量终检与技术创新职能。</w:t>
                  </w:r>
                </w:p>
              </w:tc>
            </w:tr>
            <w:tr w14:paraId="6C74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pct"/>
                  <w:vAlign w:val="center"/>
                </w:tcPr>
                <w:p w14:paraId="76B6D01A">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储运工程</w:t>
                  </w:r>
                </w:p>
              </w:tc>
              <w:tc>
                <w:tcPr>
                  <w:tcW w:w="678" w:type="pct"/>
                  <w:vAlign w:val="center"/>
                </w:tcPr>
                <w:p w14:paraId="5E5A5A5F">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原</w:t>
                  </w:r>
                  <w:r>
                    <w:rPr>
                      <w:rFonts w:hint="eastAsia"/>
                      <w:color w:val="000000" w:themeColor="text1"/>
                      <w:sz w:val="21"/>
                      <w:szCs w:val="21"/>
                      <w14:textFill>
                        <w14:solidFill>
                          <w14:schemeClr w14:val="tx1"/>
                        </w14:solidFill>
                      </w14:textFill>
                    </w:rPr>
                    <w:t>材料</w:t>
                  </w:r>
                  <w:r>
                    <w:rPr>
                      <w:color w:val="000000" w:themeColor="text1"/>
                      <w:sz w:val="21"/>
                      <w:szCs w:val="21"/>
                      <w14:textFill>
                        <w14:solidFill>
                          <w14:schemeClr w14:val="tx1"/>
                        </w14:solidFill>
                      </w14:textFill>
                    </w:rPr>
                    <w:t>仓库</w:t>
                  </w:r>
                  <w:r>
                    <w:rPr>
                      <w:rFonts w:hint="eastAsia"/>
                      <w:color w:val="000000" w:themeColor="text1"/>
                      <w:sz w:val="21"/>
                      <w:szCs w:val="21"/>
                      <w14:textFill>
                        <w14:solidFill>
                          <w14:schemeClr w14:val="tx1"/>
                        </w14:solidFill>
                      </w14:textFill>
                    </w:rPr>
                    <w:t>（北侧）</w:t>
                  </w:r>
                </w:p>
              </w:tc>
              <w:tc>
                <w:tcPr>
                  <w:tcW w:w="3647" w:type="pct"/>
                  <w:vAlign w:val="center"/>
                </w:tcPr>
                <w:p w14:paraId="4B49E220">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位于厂区东侧，建筑面积1768.55平方米。厂房北侧主要用于原辅料临时贮存，在原料区内设置1处5m</w:t>
                  </w:r>
                  <w:r>
                    <w:rPr>
                      <w:rFonts w:hint="eastAsia"/>
                      <w:color w:val="000000" w:themeColor="text1"/>
                      <w:sz w:val="21"/>
                      <w:szCs w:val="21"/>
                      <w:vertAlign w:val="superscript"/>
                      <w14:textFill>
                        <w14:solidFill>
                          <w14:schemeClr w14:val="tx1"/>
                        </w14:solidFill>
                      </w14:textFill>
                    </w:rPr>
                    <w:t>2</w:t>
                  </w:r>
                  <w:r>
                    <w:rPr>
                      <w:rFonts w:hint="eastAsia"/>
                      <w:color w:val="000000" w:themeColor="text1"/>
                      <w:sz w:val="21"/>
                      <w:szCs w:val="21"/>
                      <w14:textFill>
                        <w14:solidFill>
                          <w14:schemeClr w14:val="tx1"/>
                        </w14:solidFill>
                      </w14:textFill>
                    </w:rPr>
                    <w:t>的油类存放区，用于储存机油和拉丝矿物油。</w:t>
                  </w:r>
                </w:p>
              </w:tc>
            </w:tr>
            <w:tr w14:paraId="7EA8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restart"/>
                  <w:vAlign w:val="center"/>
                </w:tcPr>
                <w:p w14:paraId="577197ED">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公用工程</w:t>
                  </w:r>
                </w:p>
              </w:tc>
              <w:tc>
                <w:tcPr>
                  <w:tcW w:w="678" w:type="pct"/>
                  <w:vAlign w:val="center"/>
                </w:tcPr>
                <w:p w14:paraId="3BDE3B2F">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给水</w:t>
                  </w:r>
                </w:p>
              </w:tc>
              <w:tc>
                <w:tcPr>
                  <w:tcW w:w="3647" w:type="pct"/>
                  <w:vAlign w:val="center"/>
                </w:tcPr>
                <w:p w14:paraId="57915CFA">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由淮南市经济开发区市政供水管网统一供给。</w:t>
                  </w:r>
                </w:p>
              </w:tc>
            </w:tr>
            <w:tr w14:paraId="3074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pct"/>
                  <w:vMerge w:val="continue"/>
                  <w:vAlign w:val="center"/>
                </w:tcPr>
                <w:p w14:paraId="2EC13E5F">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468297DB">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排水</w:t>
                  </w:r>
                </w:p>
              </w:tc>
              <w:tc>
                <w:tcPr>
                  <w:tcW w:w="3647" w:type="pct"/>
                  <w:vAlign w:val="center"/>
                </w:tcPr>
                <w:p w14:paraId="1B088221">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实行“雨污分流”制，雨水经厂区雨水管网排入市政雨水管网；项目冷却水循环使用，定期补充消耗，少量置换水外排；生活污水经“隔油池+化粪池”处理后接管经开区污水管网进入淮南经济技术开发区污水处理厂。</w:t>
                  </w:r>
                </w:p>
              </w:tc>
            </w:tr>
            <w:tr w14:paraId="47826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pct"/>
                  <w:vMerge w:val="continue"/>
                  <w:vAlign w:val="center"/>
                </w:tcPr>
                <w:p w14:paraId="112BCD32">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586BB009">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供电</w:t>
                  </w:r>
                </w:p>
              </w:tc>
              <w:tc>
                <w:tcPr>
                  <w:tcW w:w="3647" w:type="pct"/>
                  <w:vAlign w:val="center"/>
                </w:tcPr>
                <w:p w14:paraId="364D1DF0">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从淮南市经济开发区变电站引入一路10kV高压电源，采用电缆埋地敷设引入厂区高压配电室。</w:t>
                  </w:r>
                </w:p>
              </w:tc>
            </w:tr>
            <w:tr w14:paraId="38806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pct"/>
                  <w:vMerge w:val="restart"/>
                  <w:vAlign w:val="center"/>
                </w:tcPr>
                <w:p w14:paraId="703A3F66">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环保工程</w:t>
                  </w:r>
                </w:p>
              </w:tc>
              <w:tc>
                <w:tcPr>
                  <w:tcW w:w="678" w:type="pct"/>
                  <w:vAlign w:val="center"/>
                </w:tcPr>
                <w:p w14:paraId="059F2D29">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r>
                    <w:rPr>
                      <w:rFonts w:hint="eastAsia"/>
                      <w:color w:val="000000" w:themeColor="text1"/>
                      <w:sz w:val="21"/>
                      <w:szCs w:val="21"/>
                      <w14:textFill>
                        <w14:solidFill>
                          <w14:schemeClr w14:val="tx1"/>
                        </w14:solidFill>
                      </w14:textFill>
                    </w:rPr>
                    <w:t>处理</w:t>
                  </w:r>
                </w:p>
              </w:tc>
              <w:tc>
                <w:tcPr>
                  <w:tcW w:w="3647" w:type="pct"/>
                  <w:vAlign w:val="center"/>
                </w:tcPr>
                <w:p w14:paraId="4694302C">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rFonts w:hint="eastAsia"/>
                      <w:color w:val="000000" w:themeColor="text1"/>
                      <w:sz w:val="21"/>
                      <w:szCs w:val="21"/>
                      <w14:textFill>
                        <w14:solidFill>
                          <w14:schemeClr w14:val="tx1"/>
                        </w14:solidFill>
                      </w14:textFill>
                    </w:rPr>
                    <w:t>高压生产车间生产废气由管道/集气罩收集，经管道通入“1#碱水喷淋塔+除雾+二级活性炭吸附装置”处理后，尾气经1根15m高排气筒（DA001）排放 ；</w:t>
                  </w:r>
                </w:p>
                <w:p w14:paraId="3E08DD41">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2）</w:t>
                  </w:r>
                  <w:r>
                    <w:rPr>
                      <w:rFonts w:hint="eastAsia"/>
                      <w:color w:val="000000" w:themeColor="text1"/>
                      <w:sz w:val="21"/>
                      <w:szCs w:val="21"/>
                      <w14:textFill>
                        <w14:solidFill>
                          <w14:schemeClr w14:val="tx1"/>
                        </w14:solidFill>
                      </w14:textFill>
                    </w:rPr>
                    <w:t>新能源线缆车间生产废气由集气罩收集，经管道通入“2#碱水喷淋塔+除雾+二级活性炭吸附装置”处理后，尾气经1根15m高排气筒（DA002）排放 ；</w:t>
                  </w:r>
                </w:p>
                <w:p w14:paraId="751CD536">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低压线缆车间生产废气由集气罩收集，经管道通入“</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#碱水喷淋塔+除雾+二级活性炭吸附装置”处理后，尾气经1根15m高排气筒（DA00</w:t>
                  </w:r>
                  <w:r>
                    <w:rPr>
                      <w:rFonts w:hint="eastAsia"/>
                      <w:color w:val="000000" w:themeColor="text1"/>
                      <w:sz w:val="21"/>
                      <w:szCs w:val="21"/>
                      <w:lang w:val="en-US" w:eastAsia="zh-CN"/>
                      <w14:textFill>
                        <w14:solidFill>
                          <w14:schemeClr w14:val="tx1"/>
                        </w14:solidFill>
                      </w14:textFill>
                    </w:rPr>
                    <w:t>3</w:t>
                  </w:r>
                  <w:r>
                    <w:rPr>
                      <w:rFonts w:hint="eastAsia"/>
                      <w:color w:val="000000" w:themeColor="text1"/>
                      <w:sz w:val="21"/>
                      <w:szCs w:val="21"/>
                      <w14:textFill>
                        <w14:solidFill>
                          <w14:schemeClr w14:val="tx1"/>
                        </w14:solidFill>
                      </w14:textFill>
                    </w:rPr>
                    <w:t>）排放 ；</w:t>
                  </w:r>
                </w:p>
                <w:p w14:paraId="6E2C6735">
                  <w:pPr>
                    <w:widowControl/>
                    <w:jc w:val="left"/>
                    <w:textAlignment w:val="center"/>
                    <w:rPr>
                      <w:color w:val="000000" w:themeColor="text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14:textFill>
                        <w14:solidFill>
                          <w14:schemeClr w14:val="tx1"/>
                        </w14:solidFill>
                      </w14:textFill>
                    </w:rPr>
                    <w:t>塑料制品生产区</w:t>
                  </w:r>
                  <w:r>
                    <w:rPr>
                      <w:rFonts w:hint="eastAsia"/>
                      <w:color w:val="000000" w:themeColor="text1"/>
                      <w:sz w:val="21"/>
                      <w:szCs w:val="21"/>
                      <w:lang w:val="en-US" w:eastAsia="zh-CN"/>
                      <w14:textFill>
                        <w14:solidFill>
                          <w14:schemeClr w14:val="tx1"/>
                        </w14:solidFill>
                      </w14:textFill>
                    </w:rPr>
                    <w:t>生产废气粉尘</w:t>
                  </w:r>
                  <w:r>
                    <w:rPr>
                      <w:rFonts w:hint="eastAsia"/>
                      <w:color w:val="000000" w:themeColor="text1"/>
                      <w:sz w:val="21"/>
                      <w:szCs w:val="21"/>
                      <w14:textFill>
                        <w14:solidFill>
                          <w14:schemeClr w14:val="tx1"/>
                        </w14:solidFill>
                      </w14:textFill>
                    </w:rPr>
                    <w:t>设置集气罩并加设软帘收集废气，通入1#布袋除尘器处理</w:t>
                  </w:r>
                  <w:r>
                    <w:rPr>
                      <w:rFonts w:hint="eastAsia"/>
                      <w:color w:val="000000" w:themeColor="text1"/>
                      <w:sz w:val="21"/>
                      <w:szCs w:val="21"/>
                      <w:lang w:eastAsia="zh-CN"/>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有机废气</w:t>
                  </w:r>
                  <w:r>
                    <w:rPr>
                      <w:rFonts w:hint="eastAsia"/>
                      <w:color w:val="000000" w:themeColor="text1"/>
                      <w:sz w:val="21"/>
                      <w:szCs w:val="21"/>
                      <w14:textFill>
                        <w14:solidFill>
                          <w14:schemeClr w14:val="tx1"/>
                        </w14:solidFill>
                      </w14:textFill>
                    </w:rPr>
                    <w:t>设置集气罩并加设软帘收集废气，通入“4#碱水喷淋塔+除雾+二级活性炭吸附装置”处理，尾气经1根15m高排气筒（DA00</w:t>
                  </w:r>
                  <w:r>
                    <w:rPr>
                      <w:rFonts w:hint="eastAsia"/>
                      <w:color w:val="000000" w:themeColor="text1"/>
                      <w:sz w:val="21"/>
                      <w:szCs w:val="21"/>
                      <w:lang w:val="en-US" w:eastAsia="zh-CN"/>
                      <w14:textFill>
                        <w14:solidFill>
                          <w14:schemeClr w14:val="tx1"/>
                        </w14:solidFill>
                      </w14:textFill>
                    </w:rPr>
                    <w:t>4</w:t>
                  </w:r>
                  <w:r>
                    <w:rPr>
                      <w:rFonts w:hint="eastAsia"/>
                      <w:color w:val="000000" w:themeColor="text1"/>
                      <w:sz w:val="21"/>
                      <w:szCs w:val="21"/>
                      <w14:textFill>
                        <w14:solidFill>
                          <w14:schemeClr w14:val="tx1"/>
                        </w14:solidFill>
                      </w14:textFill>
                    </w:rPr>
                    <w:t>）排放 ；</w:t>
                  </w:r>
                </w:p>
              </w:tc>
            </w:tr>
            <w:tr w14:paraId="036A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pct"/>
                  <w:vMerge w:val="continue"/>
                  <w:vAlign w:val="center"/>
                </w:tcPr>
                <w:p w14:paraId="2FFD3F87">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217AE7ED">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r>
                    <w:rPr>
                      <w:rFonts w:hint="eastAsia"/>
                      <w:color w:val="000000" w:themeColor="text1"/>
                      <w:sz w:val="21"/>
                      <w:szCs w:val="21"/>
                      <w14:textFill>
                        <w14:solidFill>
                          <w14:schemeClr w14:val="tx1"/>
                        </w14:solidFill>
                      </w14:textFill>
                    </w:rPr>
                    <w:t>处理</w:t>
                  </w:r>
                </w:p>
              </w:tc>
              <w:tc>
                <w:tcPr>
                  <w:tcW w:w="3647" w:type="pct"/>
                  <w:vAlign w:val="center"/>
                </w:tcPr>
                <w:p w14:paraId="03202653">
                  <w:pPr>
                    <w:widowControl/>
                    <w:jc w:val="left"/>
                    <w:textAlignment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生活污水：食堂废水先经隔油池处理，再与厕所污水一同进入化粪池处理后与循环冷却水排水混合后综合废水满足纳管标准后，由厂区废水总排口排入开发区市政污水管网，最终进入淮南经济技术开发区污水处理厂深度处理达标排放。</w:t>
                  </w:r>
                </w:p>
              </w:tc>
            </w:tr>
            <w:tr w14:paraId="030A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4" w:type="pct"/>
                  <w:vMerge w:val="continue"/>
                  <w:vAlign w:val="center"/>
                </w:tcPr>
                <w:p w14:paraId="3803E7D4">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08E1819B">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噪声处理</w:t>
                  </w:r>
                </w:p>
              </w:tc>
              <w:tc>
                <w:tcPr>
                  <w:tcW w:w="3647" w:type="pct"/>
                  <w:vAlign w:val="center"/>
                </w:tcPr>
                <w:p w14:paraId="4E35DA72">
                  <w:pPr>
                    <w:widowControl/>
                    <w:jc w:val="left"/>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对设备采取隔声、减震等措施；</w:t>
                  </w:r>
                </w:p>
              </w:tc>
            </w:tr>
            <w:tr w14:paraId="2FBE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674" w:type="pct"/>
                  <w:vMerge w:val="continue"/>
                  <w:vAlign w:val="center"/>
                </w:tcPr>
                <w:p w14:paraId="353A9CD7">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249FB3E9">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r>
                    <w:rPr>
                      <w:rFonts w:hint="eastAsia"/>
                      <w:color w:val="000000" w:themeColor="text1"/>
                      <w:sz w:val="21"/>
                      <w:szCs w:val="21"/>
                      <w14:textFill>
                        <w14:solidFill>
                          <w14:schemeClr w14:val="tx1"/>
                        </w14:solidFill>
                      </w14:textFill>
                    </w:rPr>
                    <w:t>处理</w:t>
                  </w:r>
                </w:p>
              </w:tc>
              <w:tc>
                <w:tcPr>
                  <w:tcW w:w="3647" w:type="pct"/>
                  <w:vAlign w:val="center"/>
                </w:tcPr>
                <w:p w14:paraId="1DC5A6EC">
                  <w:pPr>
                    <w:widowControl/>
                    <w:textAlignment w:val="center"/>
                    <w:rPr>
                      <w:sz w:val="21"/>
                      <w:szCs w:val="21"/>
                    </w:rPr>
                  </w:pPr>
                  <w:r>
                    <w:rPr>
                      <w:rFonts w:hint="eastAsia"/>
                      <w:sz w:val="21"/>
                      <w:szCs w:val="21"/>
                    </w:rPr>
                    <w:t>（1）设置一般固废库1座，位于仓库西侧，占地面积100m</w:t>
                  </w:r>
                  <w:r>
                    <w:rPr>
                      <w:rFonts w:hint="eastAsia"/>
                      <w:sz w:val="21"/>
                      <w:szCs w:val="21"/>
                      <w:vertAlign w:val="superscript"/>
                    </w:rPr>
                    <w:t>2</w:t>
                  </w:r>
                  <w:r>
                    <w:rPr>
                      <w:rFonts w:hint="eastAsia"/>
                      <w:sz w:val="21"/>
                      <w:szCs w:val="21"/>
                    </w:rPr>
                    <w:t>，主要贮存废包装材料、废铜丝、废铝丝、边角料和不合格品</w:t>
                  </w:r>
                  <w:r>
                    <w:rPr>
                      <w:rFonts w:hint="eastAsia"/>
                      <w:color w:val="000000" w:themeColor="text1"/>
                      <w:sz w:val="21"/>
                      <w:szCs w:val="21"/>
                      <w14:textFill>
                        <w14:solidFill>
                          <w14:schemeClr w14:val="tx1"/>
                        </w14:solidFill>
                      </w14:textFill>
                    </w:rPr>
                    <w:t>，定期出售给专业的物资回收公司进行资源化利用。</w:t>
                  </w:r>
                </w:p>
                <w:p w14:paraId="42A164D4">
                  <w:pPr>
                    <w:widowControl/>
                    <w:textAlignment w:val="center"/>
                    <w:rPr>
                      <w:sz w:val="21"/>
                      <w:szCs w:val="21"/>
                    </w:rPr>
                  </w:pPr>
                  <w:r>
                    <w:rPr>
                      <w:rFonts w:hint="eastAsia"/>
                      <w:sz w:val="21"/>
                      <w:szCs w:val="21"/>
                    </w:rPr>
                    <w:t>（2）设置危险废物暂存间1座，单独设置，占地面积20m</w:t>
                  </w:r>
                  <w:r>
                    <w:rPr>
                      <w:rFonts w:hint="eastAsia"/>
                      <w:sz w:val="21"/>
                      <w:szCs w:val="21"/>
                      <w:vertAlign w:val="superscript"/>
                    </w:rPr>
                    <w:t>2</w:t>
                  </w:r>
                  <w:r>
                    <w:rPr>
                      <w:rFonts w:hint="eastAsia"/>
                      <w:sz w:val="21"/>
                      <w:szCs w:val="21"/>
                    </w:rPr>
                    <w:t>，</w:t>
                  </w:r>
                  <w:r>
                    <w:rPr>
                      <w:rFonts w:hint="eastAsia"/>
                      <w:sz w:val="21"/>
                      <w:szCs w:val="21"/>
                      <w:lang w:bidi="ar"/>
                    </w:rPr>
                    <w:t>六层防渗处理，存放废活性炭、废油墨等。</w:t>
                  </w:r>
                </w:p>
                <w:p w14:paraId="44A60297">
                  <w:pPr>
                    <w:widowControl/>
                    <w:jc w:val="left"/>
                    <w:textAlignment w:val="center"/>
                    <w:rPr>
                      <w:color w:val="000000" w:themeColor="text1"/>
                      <w:sz w:val="21"/>
                      <w:szCs w:val="21"/>
                      <w14:textFill>
                        <w14:solidFill>
                          <w14:schemeClr w14:val="tx1"/>
                        </w14:solidFill>
                      </w14:textFill>
                    </w:rPr>
                  </w:pPr>
                  <w:r>
                    <w:rPr>
                      <w:rFonts w:hint="eastAsia"/>
                      <w:sz w:val="21"/>
                      <w:szCs w:val="21"/>
                    </w:rPr>
                    <w:t>（3）生活垃圾交由当地环卫部门处理。</w:t>
                  </w:r>
                </w:p>
              </w:tc>
            </w:tr>
            <w:tr w14:paraId="5C292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674" w:type="pct"/>
                  <w:vMerge w:val="continue"/>
                  <w:vAlign w:val="center"/>
                </w:tcPr>
                <w:p w14:paraId="2E93C6DD">
                  <w:pPr>
                    <w:widowControl/>
                    <w:jc w:val="center"/>
                    <w:textAlignment w:val="center"/>
                    <w:rPr>
                      <w:color w:val="000000" w:themeColor="text1"/>
                      <w:sz w:val="21"/>
                      <w:szCs w:val="21"/>
                      <w14:textFill>
                        <w14:solidFill>
                          <w14:schemeClr w14:val="tx1"/>
                        </w14:solidFill>
                      </w14:textFill>
                    </w:rPr>
                  </w:pPr>
                </w:p>
              </w:tc>
              <w:tc>
                <w:tcPr>
                  <w:tcW w:w="678" w:type="pct"/>
                  <w:vAlign w:val="center"/>
                </w:tcPr>
                <w:p w14:paraId="7640DC75">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环境风险措施</w:t>
                  </w:r>
                </w:p>
              </w:tc>
              <w:tc>
                <w:tcPr>
                  <w:tcW w:w="3647" w:type="pct"/>
                  <w:vAlign w:val="center"/>
                </w:tcPr>
                <w:p w14:paraId="31565BFB">
                  <w:pPr>
                    <w:widowControl/>
                    <w:jc w:val="left"/>
                    <w:textAlignment w:val="center"/>
                    <w:rPr>
                      <w:sz w:val="21"/>
                      <w:szCs w:val="21"/>
                    </w:rPr>
                  </w:pPr>
                  <w:r>
                    <w:rPr>
                      <w:rFonts w:hint="eastAsia"/>
                      <w:sz w:val="21"/>
                      <w:szCs w:val="21"/>
                    </w:rPr>
                    <w:t>（1）设置1座初期雨水池，容积为200m</w:t>
                  </w:r>
                  <w:r>
                    <w:rPr>
                      <w:rFonts w:hint="eastAsia"/>
                      <w:sz w:val="21"/>
                      <w:szCs w:val="21"/>
                      <w:vertAlign w:val="superscript"/>
                    </w:rPr>
                    <w:t>3</w:t>
                  </w:r>
                  <w:r>
                    <w:rPr>
                      <w:rFonts w:hint="eastAsia"/>
                      <w:sz w:val="21"/>
                      <w:szCs w:val="21"/>
                    </w:rPr>
                    <w:t>，收集全厂初期雨水；</w:t>
                  </w:r>
                </w:p>
                <w:p w14:paraId="5913802D">
                  <w:pPr>
                    <w:widowControl/>
                    <w:jc w:val="left"/>
                    <w:textAlignment w:val="center"/>
                    <w:rPr>
                      <w:sz w:val="21"/>
                      <w:szCs w:val="21"/>
                    </w:rPr>
                  </w:pPr>
                  <w:r>
                    <w:rPr>
                      <w:rFonts w:hint="eastAsia"/>
                      <w:sz w:val="21"/>
                      <w:szCs w:val="21"/>
                    </w:rPr>
                    <w:t>（2）设置1座应急事故池，容积为300m</w:t>
                  </w:r>
                  <w:r>
                    <w:rPr>
                      <w:rFonts w:hint="eastAsia"/>
                      <w:sz w:val="21"/>
                      <w:szCs w:val="21"/>
                      <w:vertAlign w:val="superscript"/>
                    </w:rPr>
                    <w:t>3</w:t>
                  </w:r>
                  <w:r>
                    <w:rPr>
                      <w:rFonts w:hint="eastAsia"/>
                      <w:sz w:val="21"/>
                      <w:szCs w:val="21"/>
                    </w:rPr>
                    <w:t>，用于存放事故废水。；</w:t>
                  </w:r>
                </w:p>
              </w:tc>
            </w:tr>
          </w:tbl>
          <w:p w14:paraId="3320F21D">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4、产品方案及生产规模</w:t>
            </w:r>
          </w:p>
          <w:p w14:paraId="11F519E8">
            <w:pPr>
              <w:autoSpaceDE w:val="0"/>
              <w:autoSpaceDN w:val="0"/>
              <w:adjustRightInd w:val="0"/>
              <w:spacing w:line="360" w:lineRule="auto"/>
              <w:ind w:firstLine="48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本项目主要从事电缆制造与塑料制品制造，投产后，可年产110kv电缆150万米、光伏电缆1200万米；年产塑料制品10000吨，具体方案详见表2-2。</w:t>
            </w:r>
          </w:p>
          <w:p w14:paraId="02EF84D2">
            <w:pPr>
              <w:pStyle w:val="25"/>
              <w:spacing w:before="0" w:beforeAutospacing="0" w:after="0" w:afterAutospacing="0"/>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表2-</w:t>
            </w:r>
            <w:r>
              <w:rPr>
                <w:rFonts w:hint="eastAsia" w:ascii="Times New Roman" w:hAnsi="Times New Roman" w:cs="Times New Roman"/>
                <w:b/>
                <w:color w:val="000000" w:themeColor="text1"/>
                <w14:textFill>
                  <w14:solidFill>
                    <w14:schemeClr w14:val="tx1"/>
                  </w14:solidFill>
                </w14:textFill>
              </w:rPr>
              <w:t>2</w:t>
            </w:r>
            <w:r>
              <w:rPr>
                <w:rFonts w:ascii="Times New Roman" w:hAnsi="Times New Roman" w:cs="Times New Roman"/>
                <w:b/>
                <w:color w:val="000000" w:themeColor="text1"/>
                <w14:textFill>
                  <w14:solidFill>
                    <w14:schemeClr w14:val="tx1"/>
                  </w14:solidFill>
                </w14:textFill>
              </w:rPr>
              <w:t xml:space="preserve">  项目产品方案及规格一览表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9"/>
              <w:gridCol w:w="1175"/>
              <w:gridCol w:w="1696"/>
              <w:gridCol w:w="2376"/>
              <w:gridCol w:w="751"/>
              <w:gridCol w:w="776"/>
              <w:gridCol w:w="1016"/>
            </w:tblGrid>
            <w:tr w14:paraId="0F13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2" w:type="pct"/>
                  <w:vAlign w:val="center"/>
                </w:tcPr>
                <w:p w14:paraId="39C70DDC">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序号</w:t>
                  </w:r>
                </w:p>
              </w:tc>
              <w:tc>
                <w:tcPr>
                  <w:tcW w:w="701" w:type="pct"/>
                  <w:vAlign w:val="center"/>
                </w:tcPr>
                <w:p w14:paraId="246B72CA">
                  <w:pPr>
                    <w:pStyle w:val="26"/>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产品名称</w:t>
                  </w:r>
                </w:p>
              </w:tc>
              <w:tc>
                <w:tcPr>
                  <w:tcW w:w="1012" w:type="pct"/>
                  <w:vAlign w:val="center"/>
                </w:tcPr>
                <w:p w14:paraId="491F6CE6">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细分产品名称</w:t>
                  </w:r>
                </w:p>
              </w:tc>
              <w:tc>
                <w:tcPr>
                  <w:tcW w:w="1418" w:type="pct"/>
                  <w:vAlign w:val="center"/>
                </w:tcPr>
                <w:p w14:paraId="55A19243">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主要规格型号</w:t>
                  </w:r>
                </w:p>
              </w:tc>
              <w:tc>
                <w:tcPr>
                  <w:tcW w:w="448" w:type="pct"/>
                  <w:vAlign w:val="center"/>
                </w:tcPr>
                <w:p w14:paraId="327504F5">
                  <w:pPr>
                    <w:pStyle w:val="26"/>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数量</w:t>
                  </w:r>
                </w:p>
              </w:tc>
              <w:tc>
                <w:tcPr>
                  <w:tcW w:w="463" w:type="pct"/>
                  <w:vAlign w:val="center"/>
                </w:tcPr>
                <w:p w14:paraId="4E4C0511">
                  <w:pPr>
                    <w:pStyle w:val="26"/>
                    <w:rPr>
                      <w:b/>
                      <w:bCs/>
                      <w:color w:val="000000" w:themeColor="text1"/>
                      <w:sz w:val="21"/>
                      <w14:textFill>
                        <w14:solidFill>
                          <w14:schemeClr w14:val="tx1"/>
                        </w14:solidFill>
                      </w14:textFill>
                    </w:rPr>
                  </w:pPr>
                  <w:r>
                    <w:rPr>
                      <w:b/>
                      <w:bCs/>
                      <w:color w:val="000000" w:themeColor="text1"/>
                      <w:sz w:val="21"/>
                      <w14:textFill>
                        <w14:solidFill>
                          <w14:schemeClr w14:val="tx1"/>
                        </w14:solidFill>
                      </w14:textFill>
                    </w:rPr>
                    <w:t>单位</w:t>
                  </w:r>
                </w:p>
              </w:tc>
              <w:tc>
                <w:tcPr>
                  <w:tcW w:w="607" w:type="pct"/>
                  <w:vAlign w:val="center"/>
                </w:tcPr>
                <w:p w14:paraId="556B43C0">
                  <w:pPr>
                    <w:pStyle w:val="26"/>
                    <w:rPr>
                      <w:b/>
                      <w:bCs/>
                      <w:color w:val="000000" w:themeColor="text1"/>
                      <w:sz w:val="21"/>
                      <w14:textFill>
                        <w14:solidFill>
                          <w14:schemeClr w14:val="tx1"/>
                        </w14:solidFill>
                      </w14:textFill>
                    </w:rPr>
                  </w:pPr>
                  <w:r>
                    <w:rPr>
                      <w:rFonts w:hint="eastAsia"/>
                      <w:b/>
                      <w:bCs/>
                      <w:color w:val="000000" w:themeColor="text1"/>
                      <w:sz w:val="21"/>
                      <w14:textFill>
                        <w14:solidFill>
                          <w14:schemeClr w14:val="tx1"/>
                        </w14:solidFill>
                      </w14:textFill>
                    </w:rPr>
                    <w:t>备注</w:t>
                  </w:r>
                </w:p>
              </w:tc>
            </w:tr>
            <w:tr w14:paraId="66E53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 w:type="pct"/>
                  <w:vAlign w:val="center"/>
                </w:tcPr>
                <w:p w14:paraId="695F046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701" w:type="pct"/>
                  <w:vAlign w:val="center"/>
                </w:tcPr>
                <w:p w14:paraId="7D39B125">
                  <w:pPr>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110kv</w:t>
                  </w:r>
                  <w:r>
                    <w:rPr>
                      <w:color w:val="000000" w:themeColor="text1"/>
                      <w:sz w:val="21"/>
                      <w:szCs w:val="21"/>
                      <w14:textFill>
                        <w14:solidFill>
                          <w14:schemeClr w14:val="tx1"/>
                        </w14:solidFill>
                      </w14:textFill>
                    </w:rPr>
                    <w:t>电缆</w:t>
                  </w:r>
                </w:p>
              </w:tc>
              <w:tc>
                <w:tcPr>
                  <w:tcW w:w="1012" w:type="pct"/>
                  <w:vAlign w:val="center"/>
                </w:tcPr>
                <w:p w14:paraId="294DD9B2">
                  <w:pPr>
                    <w:jc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110kV交联聚乙烯绝缘电力电缆</w:t>
                  </w:r>
                </w:p>
              </w:tc>
              <w:tc>
                <w:tcPr>
                  <w:tcW w:w="1418" w:type="pct"/>
                  <w:shd w:val="clear" w:color="auto" w:fill="auto"/>
                  <w:vAlign w:val="center"/>
                </w:tcPr>
                <w:p w14:paraId="2AA541E1">
                  <w:pPr>
                    <w:widowControl/>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YJV、YJLV、ZR-YJV（截面：240-800mm²）</w:t>
                  </w:r>
                </w:p>
              </w:tc>
              <w:tc>
                <w:tcPr>
                  <w:tcW w:w="448" w:type="pct"/>
                  <w:vAlign w:val="center"/>
                </w:tcPr>
                <w:p w14:paraId="20DD21C4">
                  <w:pPr>
                    <w:pStyle w:val="26"/>
                    <w:rPr>
                      <w:color w:val="000000" w:themeColor="text1"/>
                      <w:sz w:val="21"/>
                      <w14:textFill>
                        <w14:solidFill>
                          <w14:schemeClr w14:val="tx1"/>
                        </w14:solidFill>
                      </w14:textFill>
                    </w:rPr>
                  </w:pPr>
                  <w:r>
                    <w:rPr>
                      <w:rFonts w:hint="eastAsia"/>
                      <w:color w:val="000000" w:themeColor="text1"/>
                      <w:sz w:val="21"/>
                      <w14:textFill>
                        <w14:solidFill>
                          <w14:schemeClr w14:val="tx1"/>
                        </w14:solidFill>
                      </w14:textFill>
                    </w:rPr>
                    <w:t>150</w:t>
                  </w:r>
                </w:p>
              </w:tc>
              <w:tc>
                <w:tcPr>
                  <w:tcW w:w="463" w:type="pct"/>
                  <w:vAlign w:val="center"/>
                </w:tcPr>
                <w:p w14:paraId="5E652B8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万米</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年</w:t>
                  </w:r>
                </w:p>
              </w:tc>
              <w:tc>
                <w:tcPr>
                  <w:tcW w:w="607" w:type="pct"/>
                  <w:vAlign w:val="center"/>
                </w:tcPr>
                <w:p w14:paraId="6A44A7C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5B397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52" w:type="pct"/>
                  <w:vAlign w:val="center"/>
                </w:tcPr>
                <w:p w14:paraId="01B5056F">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701" w:type="pct"/>
                  <w:vAlign w:val="center"/>
                </w:tcPr>
                <w:p w14:paraId="189E130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光伏电缆</w:t>
                  </w:r>
                </w:p>
              </w:tc>
              <w:tc>
                <w:tcPr>
                  <w:tcW w:w="1012" w:type="pct"/>
                  <w:vAlign w:val="center"/>
                </w:tcPr>
                <w:p w14:paraId="034C7A4B">
                  <w:pPr>
                    <w:jc w:val="center"/>
                    <w:rPr>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铝合金芯/镀锡铜光伏电缆</w:t>
                  </w:r>
                </w:p>
              </w:tc>
              <w:tc>
                <w:tcPr>
                  <w:tcW w:w="1418" w:type="pct"/>
                  <w:shd w:val="clear" w:color="auto" w:fill="auto"/>
                  <w:vAlign w:val="center"/>
                </w:tcPr>
                <w:p w14:paraId="27FC40B3">
                  <w:pPr>
                    <w:snapToGrid w:val="0"/>
                    <w:jc w:val="center"/>
                    <w:rPr>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PV1-F、H1Z2Z2-K（截面：4-300mm²）</w:t>
                  </w:r>
                </w:p>
              </w:tc>
              <w:tc>
                <w:tcPr>
                  <w:tcW w:w="448" w:type="pct"/>
                  <w:vAlign w:val="center"/>
                </w:tcPr>
                <w:p w14:paraId="134AE86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1200</w:t>
                  </w:r>
                </w:p>
              </w:tc>
              <w:tc>
                <w:tcPr>
                  <w:tcW w:w="463" w:type="pct"/>
                  <w:vAlign w:val="center"/>
                </w:tcPr>
                <w:p w14:paraId="3BC1711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万米</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年</w:t>
                  </w:r>
                </w:p>
              </w:tc>
              <w:tc>
                <w:tcPr>
                  <w:tcW w:w="607" w:type="pct"/>
                  <w:vAlign w:val="center"/>
                </w:tcPr>
                <w:p w14:paraId="071C140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r w14:paraId="0F175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52" w:type="pct"/>
                  <w:vAlign w:val="center"/>
                </w:tcPr>
                <w:p w14:paraId="475EB60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701" w:type="pct"/>
                  <w:vAlign w:val="center"/>
                </w:tcPr>
                <w:p w14:paraId="177ADE6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塑料制品</w:t>
                  </w:r>
                </w:p>
              </w:tc>
              <w:tc>
                <w:tcPr>
                  <w:tcW w:w="1012" w:type="pct"/>
                  <w:vAlign w:val="center"/>
                </w:tcPr>
                <w:p w14:paraId="5FB3BCEF">
                  <w:pPr>
                    <w:jc w:val="center"/>
                    <w:rPr>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环保型绝缘料/护套料</w:t>
                  </w:r>
                </w:p>
              </w:tc>
              <w:tc>
                <w:tcPr>
                  <w:tcW w:w="1418" w:type="pct"/>
                  <w:shd w:val="clear" w:color="auto" w:fill="auto"/>
                  <w:vAlign w:val="center"/>
                </w:tcPr>
                <w:p w14:paraId="0D6405A7">
                  <w:pPr>
                    <w:widowControl/>
                    <w:jc w:val="center"/>
                    <w:rPr>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PVC粒料、低烟无卤PE料</w:t>
                  </w:r>
                </w:p>
              </w:tc>
              <w:tc>
                <w:tcPr>
                  <w:tcW w:w="448" w:type="pct"/>
                  <w:vAlign w:val="center"/>
                </w:tcPr>
                <w:p w14:paraId="51398F9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10000</w:t>
                  </w:r>
                </w:p>
              </w:tc>
              <w:tc>
                <w:tcPr>
                  <w:tcW w:w="463" w:type="pct"/>
                  <w:vAlign w:val="center"/>
                </w:tcPr>
                <w:p w14:paraId="2845747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吨</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年</w:t>
                  </w:r>
                </w:p>
              </w:tc>
              <w:tc>
                <w:tcPr>
                  <w:tcW w:w="607" w:type="pct"/>
                  <w:vAlign w:val="center"/>
                </w:tcPr>
                <w:p w14:paraId="0B92857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自用4000吨，外销6000吨</w:t>
                  </w:r>
                </w:p>
              </w:tc>
            </w:tr>
          </w:tbl>
          <w:p w14:paraId="2CBC7E29">
            <w:pPr>
              <w:spacing w:line="240" w:lineRule="auto"/>
              <w:rPr>
                <w:rFonts w:hint="eastAsia" w:eastAsia="宋体"/>
                <w:b/>
                <w:color w:val="000000" w:themeColor="text1"/>
                <w:sz w:val="21"/>
                <w:szCs w:val="21"/>
                <w:lang w:val="en-US" w:eastAsia="zh-CN"/>
                <w14:textFill>
                  <w14:solidFill>
                    <w14:schemeClr w14:val="tx1"/>
                  </w14:solidFill>
                </w14:textFill>
              </w:rPr>
            </w:pPr>
            <w:r>
              <w:rPr>
                <w:rFonts w:hint="eastAsia"/>
                <w:b/>
                <w:color w:val="000000" w:themeColor="text1"/>
                <w:sz w:val="21"/>
                <w:szCs w:val="21"/>
                <w:lang w:val="en-US" w:eastAsia="zh-CN"/>
                <w14:textFill>
                  <w14:solidFill>
                    <w14:schemeClr w14:val="tx1"/>
                  </w14:solidFill>
                </w14:textFill>
              </w:rPr>
              <w:t>注：</w:t>
            </w:r>
            <w:r>
              <w:rPr>
                <w:rFonts w:hint="eastAsia"/>
                <w:b/>
                <w:color w:val="000000" w:themeColor="text1"/>
                <w:sz w:val="21"/>
                <w:szCs w:val="21"/>
                <w14:textFill>
                  <w14:solidFill>
                    <w14:schemeClr w14:val="tx1"/>
                  </w14:solidFill>
                </w14:textFill>
              </w:rPr>
              <w:t>光伏电缆生产于新能源线缆车间及低压线缆车间两个车间实施，两个车间设计的生产工艺、设备均相同，根据下游厂商要求，光伏电缆产品在规格上略有差异。</w:t>
            </w:r>
          </w:p>
          <w:p w14:paraId="0D7C6DAE">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5、主要生产设备</w:t>
            </w:r>
          </w:p>
          <w:p w14:paraId="79885DBC">
            <w:pPr>
              <w:autoSpaceDE w:val="0"/>
              <w:autoSpaceDN w:val="0"/>
              <w:adjustRightInd w:val="0"/>
              <w:spacing w:line="360" w:lineRule="auto"/>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建设项目主要生产</w:t>
            </w:r>
            <w:r>
              <w:rPr>
                <w:color w:val="000000" w:themeColor="text1"/>
                <w:kern w:val="0"/>
                <w14:textFill>
                  <w14:solidFill>
                    <w14:schemeClr w14:val="tx1"/>
                  </w14:solidFill>
                </w14:textFill>
              </w:rPr>
              <w:t>设备见下表所示：</w:t>
            </w:r>
          </w:p>
          <w:p w14:paraId="7F80F7F8">
            <w:pPr>
              <w:pStyle w:val="5"/>
              <w:spacing w:before="0" w:line="240" w:lineRule="auto"/>
              <w:rPr>
                <w:rFonts w:eastAsia="宋体"/>
                <w:b/>
                <w:color w:val="000000" w:themeColor="text1"/>
                <w:szCs w:val="24"/>
                <w14:textFill>
                  <w14:solidFill>
                    <w14:schemeClr w14:val="tx1"/>
                  </w14:solidFill>
                </w14:textFill>
              </w:rPr>
            </w:pPr>
            <w:r>
              <w:rPr>
                <w:rFonts w:eastAsia="宋体"/>
                <w:b/>
                <w:color w:val="000000" w:themeColor="text1"/>
                <w:szCs w:val="24"/>
                <w14:textFill>
                  <w14:solidFill>
                    <w14:schemeClr w14:val="tx1"/>
                  </w14:solidFill>
                </w14:textFill>
              </w:rPr>
              <w:t>表2-</w:t>
            </w:r>
            <w:r>
              <w:rPr>
                <w:rFonts w:hint="eastAsia" w:eastAsia="宋体"/>
                <w:b/>
                <w:color w:val="000000" w:themeColor="text1"/>
                <w:szCs w:val="24"/>
                <w14:textFill>
                  <w14:solidFill>
                    <w14:schemeClr w14:val="tx1"/>
                  </w14:solidFill>
                </w14:textFill>
              </w:rPr>
              <w:t>3</w:t>
            </w:r>
            <w:r>
              <w:rPr>
                <w:rFonts w:eastAsia="宋体"/>
                <w:b/>
                <w:color w:val="000000" w:themeColor="text1"/>
                <w:szCs w:val="24"/>
                <w14:textFill>
                  <w14:solidFill>
                    <w14:schemeClr w14:val="tx1"/>
                  </w14:solidFill>
                </w14:textFill>
              </w:rPr>
              <w:t xml:space="preserve">  建设项目主要生产设备一览表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35"/>
              <w:gridCol w:w="1260"/>
              <w:gridCol w:w="2217"/>
              <w:gridCol w:w="780"/>
              <w:gridCol w:w="2651"/>
            </w:tblGrid>
            <w:tr w14:paraId="65D7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83" w:type="pct"/>
                  <w:shd w:val="clear" w:color="auto" w:fill="auto"/>
                  <w:vAlign w:val="center"/>
                </w:tcPr>
                <w:p w14:paraId="46C9D372">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生产车间</w:t>
                  </w:r>
                </w:p>
              </w:tc>
              <w:tc>
                <w:tcPr>
                  <w:tcW w:w="517" w:type="pct"/>
                  <w:shd w:val="clear" w:color="auto" w:fill="auto"/>
                  <w:vAlign w:val="center"/>
                </w:tcPr>
                <w:p w14:paraId="08E874D8">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生产线</w:t>
                  </w:r>
                </w:p>
              </w:tc>
              <w:tc>
                <w:tcPr>
                  <w:tcW w:w="879" w:type="pct"/>
                  <w:shd w:val="clear" w:color="auto" w:fill="auto"/>
                  <w:vAlign w:val="center"/>
                </w:tcPr>
                <w:p w14:paraId="58D73DA9">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设备名称</w:t>
                  </w:r>
                </w:p>
              </w:tc>
              <w:tc>
                <w:tcPr>
                  <w:tcW w:w="1072" w:type="pct"/>
                  <w:shd w:val="clear" w:color="auto" w:fill="auto"/>
                  <w:vAlign w:val="center"/>
                </w:tcPr>
                <w:p w14:paraId="54656944">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规格型号</w:t>
                  </w:r>
                </w:p>
              </w:tc>
              <w:tc>
                <w:tcPr>
                  <w:tcW w:w="515" w:type="pct"/>
                  <w:shd w:val="clear" w:color="auto" w:fill="auto"/>
                  <w:vAlign w:val="center"/>
                </w:tcPr>
                <w:p w14:paraId="51842C9F">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数量</w:t>
                  </w:r>
                </w:p>
                <w:p w14:paraId="56B09E36">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(台/套)</w:t>
                  </w:r>
                </w:p>
              </w:tc>
              <w:tc>
                <w:tcPr>
                  <w:tcW w:w="1630" w:type="pct"/>
                  <w:shd w:val="clear" w:color="auto" w:fill="auto"/>
                  <w:vAlign w:val="center"/>
                </w:tcPr>
                <w:p w14:paraId="50B25E46">
                  <w:pPr>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关键技术备注</w:t>
                  </w:r>
                </w:p>
              </w:tc>
            </w:tr>
            <w:tr w14:paraId="6A4F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14:paraId="74402E2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高压生产车间</w:t>
                  </w:r>
                </w:p>
              </w:tc>
              <w:tc>
                <w:tcPr>
                  <w:tcW w:w="517" w:type="pct"/>
                  <w:vMerge w:val="restart"/>
                  <w:shd w:val="clear" w:color="auto" w:fill="auto"/>
                  <w:vAlign w:val="center"/>
                </w:tcPr>
                <w:p w14:paraId="7B8BDB55">
                  <w:pPr>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110kV干法交联生产线</w:t>
                  </w:r>
                </w:p>
              </w:tc>
              <w:tc>
                <w:tcPr>
                  <w:tcW w:w="879" w:type="pct"/>
                  <w:shd w:val="clear" w:color="auto" w:fill="auto"/>
                  <w:vAlign w:val="center"/>
                </w:tcPr>
                <w:p w14:paraId="3F6A56C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110kV悬链式(CCV)干法交联生产线</w:t>
                  </w:r>
                  <w:r>
                    <w:rPr>
                      <w:rFonts w:hint="eastAsia"/>
                      <w:color w:val="000000" w:themeColor="text1"/>
                      <w:kern w:val="0"/>
                      <w:sz w:val="21"/>
                      <w:szCs w:val="21"/>
                      <w14:textFill>
                        <w14:solidFill>
                          <w14:schemeClr w14:val="tx1"/>
                        </w14:solidFill>
                      </w14:textFill>
                    </w:rPr>
                    <w:t>联合装置</w:t>
                  </w:r>
                </w:p>
              </w:tc>
              <w:tc>
                <w:tcPr>
                  <w:tcW w:w="1072" w:type="pct"/>
                  <w:shd w:val="clear" w:color="auto" w:fill="auto"/>
                  <w:vAlign w:val="center"/>
                </w:tcPr>
                <w:p w14:paraId="6D90A0F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CCV-110/65+150+90</w:t>
                  </w:r>
                </w:p>
              </w:tc>
              <w:tc>
                <w:tcPr>
                  <w:tcW w:w="515" w:type="pct"/>
                  <w:shd w:val="clear" w:color="auto" w:fill="auto"/>
                  <w:vAlign w:val="center"/>
                </w:tcPr>
                <w:p w14:paraId="607BB07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630" w:type="pct"/>
                  <w:shd w:val="clear" w:color="auto" w:fill="auto"/>
                  <w:vAlign w:val="center"/>
                </w:tcPr>
                <w:p w14:paraId="042DC0F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核心设备。采用全封闭氮气保护三层共挤技术及SAG下垂控制系统，属国家鼓励的高端装备，非限制类普通干法线。</w:t>
                  </w:r>
                </w:p>
              </w:tc>
            </w:tr>
            <w:tr w14:paraId="0C3A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34E2592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8290D8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3CFAD2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4133926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SJ-200/25 (护套)</w:t>
                  </w:r>
                </w:p>
              </w:tc>
              <w:tc>
                <w:tcPr>
                  <w:tcW w:w="515" w:type="pct"/>
                  <w:shd w:val="clear" w:color="auto" w:fill="auto"/>
                  <w:vAlign w:val="center"/>
                </w:tcPr>
                <w:p w14:paraId="728376D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630" w:type="pct"/>
                  <w:shd w:val="clear" w:color="auto" w:fill="auto"/>
                  <w:vAlign w:val="center"/>
                </w:tcPr>
                <w:p w14:paraId="3872192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配备自动吸料及米重控制系统，用于高压电缆外护套。</w:t>
                  </w:r>
                </w:p>
              </w:tc>
            </w:tr>
            <w:tr w14:paraId="5E59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5170F55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3E1A209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DC8E6B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5F47FB5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SJ-120/25 (内衬)</w:t>
                  </w:r>
                </w:p>
              </w:tc>
              <w:tc>
                <w:tcPr>
                  <w:tcW w:w="515" w:type="pct"/>
                  <w:shd w:val="clear" w:color="auto" w:fill="auto"/>
                  <w:vAlign w:val="center"/>
                </w:tcPr>
                <w:p w14:paraId="6782BC1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1630" w:type="pct"/>
                  <w:shd w:val="clear" w:color="auto" w:fill="auto"/>
                  <w:vAlign w:val="center"/>
                </w:tcPr>
                <w:p w14:paraId="1D764C4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用于内衬层及小截面绝缘挤出。</w:t>
                  </w:r>
                </w:p>
              </w:tc>
            </w:tr>
            <w:tr w14:paraId="0419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D736B6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4614C31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A2E74B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铜大拉机组</w:t>
                  </w:r>
                </w:p>
              </w:tc>
              <w:tc>
                <w:tcPr>
                  <w:tcW w:w="1072" w:type="pct"/>
                  <w:shd w:val="clear" w:color="auto" w:fill="auto"/>
                  <w:vAlign w:val="center"/>
                </w:tcPr>
                <w:p w14:paraId="6340D31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LHT-450/13</w:t>
                  </w:r>
                </w:p>
              </w:tc>
              <w:tc>
                <w:tcPr>
                  <w:tcW w:w="515" w:type="pct"/>
                  <w:shd w:val="clear" w:color="auto" w:fill="auto"/>
                  <w:vAlign w:val="center"/>
                </w:tcPr>
                <w:p w14:paraId="48EE28B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1630" w:type="pct"/>
                  <w:shd w:val="clear" w:color="auto" w:fill="auto"/>
                  <w:vAlign w:val="center"/>
                </w:tcPr>
                <w:p w14:paraId="739DB446">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铜杆、铝杆设备拉拔成丝</w:t>
                  </w:r>
                  <w:r>
                    <w:rPr>
                      <w:color w:val="000000" w:themeColor="text1"/>
                      <w:kern w:val="0"/>
                      <w:sz w:val="21"/>
                      <w:szCs w:val="21"/>
                      <w14:textFill>
                        <w14:solidFill>
                          <w14:schemeClr w14:val="tx1"/>
                        </w14:solidFill>
                      </w14:textFill>
                    </w:rPr>
                    <w:t>，高效节能。</w:t>
                  </w:r>
                </w:p>
              </w:tc>
            </w:tr>
            <w:tr w14:paraId="3445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903A8C8">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F78222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2180F2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自动化框式绞线机</w:t>
                  </w:r>
                </w:p>
              </w:tc>
              <w:tc>
                <w:tcPr>
                  <w:tcW w:w="1072" w:type="pct"/>
                  <w:shd w:val="clear" w:color="auto" w:fill="auto"/>
                  <w:vAlign w:val="center"/>
                </w:tcPr>
                <w:p w14:paraId="100956B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JLK-630/12+18+24+30</w:t>
                  </w:r>
                </w:p>
              </w:tc>
              <w:tc>
                <w:tcPr>
                  <w:tcW w:w="515" w:type="pct"/>
                  <w:shd w:val="clear" w:color="auto" w:fill="auto"/>
                  <w:vAlign w:val="center"/>
                </w:tcPr>
                <w:p w14:paraId="5151136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2E63587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适用于大截面分割导体绞制，紧压系数&gt;0.9。</w:t>
                  </w:r>
                </w:p>
              </w:tc>
            </w:tr>
            <w:tr w14:paraId="61EA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3A42E0A8">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85FA547">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AB328C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盘式成缆铠装一体机</w:t>
                  </w:r>
                </w:p>
              </w:tc>
              <w:tc>
                <w:tcPr>
                  <w:tcW w:w="1072" w:type="pct"/>
                  <w:shd w:val="clear" w:color="auto" w:fill="auto"/>
                  <w:vAlign w:val="center"/>
                </w:tcPr>
                <w:p w14:paraId="0630AC8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CL-2500/3+2</w:t>
                  </w:r>
                </w:p>
              </w:tc>
              <w:tc>
                <w:tcPr>
                  <w:tcW w:w="515" w:type="pct"/>
                  <w:shd w:val="clear" w:color="auto" w:fill="auto"/>
                  <w:vAlign w:val="center"/>
                </w:tcPr>
                <w:p w14:paraId="14581E33">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1630" w:type="pct"/>
                  <w:shd w:val="clear" w:color="auto" w:fill="auto"/>
                  <w:vAlign w:val="center"/>
                </w:tcPr>
                <w:p w14:paraId="138B4BD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集成钢带铠装功能，确保成缆圆整度。</w:t>
                  </w:r>
                </w:p>
              </w:tc>
            </w:tr>
            <w:tr w14:paraId="06FB0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775E3E5">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42A6B15">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64D5547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屏蔽铜带绕包机</w:t>
                  </w:r>
                </w:p>
              </w:tc>
              <w:tc>
                <w:tcPr>
                  <w:tcW w:w="1072" w:type="pct"/>
                  <w:shd w:val="clear" w:color="auto" w:fill="auto"/>
                  <w:vAlign w:val="center"/>
                </w:tcPr>
                <w:p w14:paraId="6716DB2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RB-800 (双头)</w:t>
                  </w:r>
                </w:p>
              </w:tc>
              <w:tc>
                <w:tcPr>
                  <w:tcW w:w="515" w:type="pct"/>
                  <w:shd w:val="clear" w:color="auto" w:fill="auto"/>
                  <w:vAlign w:val="center"/>
                </w:tcPr>
                <w:p w14:paraId="72E1892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w:t>
                  </w:r>
                </w:p>
              </w:tc>
              <w:tc>
                <w:tcPr>
                  <w:tcW w:w="1630" w:type="pct"/>
                  <w:shd w:val="clear" w:color="auto" w:fill="auto"/>
                  <w:vAlign w:val="center"/>
                </w:tcPr>
                <w:p w14:paraId="5156B8C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恒张力控制，用于高压电缆金属屏蔽层制造。</w:t>
                  </w:r>
                </w:p>
              </w:tc>
            </w:tr>
            <w:tr w14:paraId="5ECD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C85B824">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4C0B0037">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DA63F7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氩弧焊轧纹</w:t>
                  </w:r>
                  <w:r>
                    <w:rPr>
                      <w:rFonts w:hint="eastAsia"/>
                      <w:color w:val="000000" w:themeColor="text1"/>
                      <w:kern w:val="0"/>
                      <w:sz w:val="21"/>
                      <w:szCs w:val="21"/>
                      <w14:textFill>
                        <w14:solidFill>
                          <w14:schemeClr w14:val="tx1"/>
                        </w14:solidFill>
                      </w14:textFill>
                    </w:rPr>
                    <w:t>成套设备</w:t>
                  </w:r>
                </w:p>
              </w:tc>
              <w:tc>
                <w:tcPr>
                  <w:tcW w:w="1072" w:type="pct"/>
                  <w:shd w:val="clear" w:color="auto" w:fill="auto"/>
                  <w:vAlign w:val="center"/>
                </w:tcPr>
                <w:p w14:paraId="3DDD066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YW-120</w:t>
                  </w:r>
                </w:p>
              </w:tc>
              <w:tc>
                <w:tcPr>
                  <w:tcW w:w="515" w:type="pct"/>
                  <w:shd w:val="clear" w:color="auto" w:fill="auto"/>
                  <w:vAlign w:val="center"/>
                </w:tcPr>
                <w:p w14:paraId="634B7F4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1630" w:type="pct"/>
                  <w:shd w:val="clear" w:color="auto" w:fill="auto"/>
                  <w:vAlign w:val="center"/>
                </w:tcPr>
                <w:p w14:paraId="625E82C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生产铝/不锈钢金属护套，</w:t>
                  </w:r>
                  <w:r>
                    <w:rPr>
                      <w:rFonts w:hint="eastAsia"/>
                      <w:color w:val="000000" w:themeColor="text1"/>
                      <w:kern w:val="0"/>
                      <w:sz w:val="21"/>
                      <w:szCs w:val="21"/>
                      <w14:textFill>
                        <w14:solidFill>
                          <w14:schemeClr w14:val="tx1"/>
                        </w14:solidFill>
                      </w14:textFill>
                    </w:rPr>
                    <w:t>采用自熔焊接，靠母材熔化形成焊缝，</w:t>
                  </w:r>
                  <w:r>
                    <w:rPr>
                      <w:color w:val="000000" w:themeColor="text1"/>
                      <w:kern w:val="0"/>
                      <w:sz w:val="21"/>
                      <w:szCs w:val="21"/>
                      <w14:textFill>
                        <w14:solidFill>
                          <w14:schemeClr w14:val="tx1"/>
                        </w14:solidFill>
                      </w14:textFill>
                    </w:rPr>
                    <w:t>高防水防潮。</w:t>
                  </w:r>
                </w:p>
              </w:tc>
            </w:tr>
            <w:tr w14:paraId="3873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FC86B46">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B31F8D5">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967CC1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激光/喷墨喷码机</w:t>
                  </w:r>
                </w:p>
              </w:tc>
              <w:tc>
                <w:tcPr>
                  <w:tcW w:w="1072" w:type="pct"/>
                  <w:shd w:val="clear" w:color="auto" w:fill="auto"/>
                  <w:vAlign w:val="center"/>
                </w:tcPr>
                <w:p w14:paraId="2E0DAC9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V120i</w:t>
                  </w:r>
                </w:p>
              </w:tc>
              <w:tc>
                <w:tcPr>
                  <w:tcW w:w="515" w:type="pct"/>
                  <w:shd w:val="clear" w:color="auto" w:fill="auto"/>
                  <w:vAlign w:val="center"/>
                </w:tcPr>
                <w:p w14:paraId="5DA325BF">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1630" w:type="pct"/>
                  <w:shd w:val="clear" w:color="auto" w:fill="auto"/>
                  <w:vAlign w:val="center"/>
                </w:tcPr>
                <w:p w14:paraId="56EC0B1E">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使用水性油墨</w:t>
                  </w:r>
                  <w:r>
                    <w:rPr>
                      <w:color w:val="000000" w:themeColor="text1"/>
                      <w:kern w:val="0"/>
                      <w:sz w:val="21"/>
                      <w:szCs w:val="21"/>
                      <w14:textFill>
                        <w14:solidFill>
                          <w14:schemeClr w14:val="tx1"/>
                        </w14:solidFill>
                      </w14:textFill>
                    </w:rPr>
                    <w:t>，废气微量收集。</w:t>
                  </w:r>
                </w:p>
              </w:tc>
            </w:tr>
            <w:tr w14:paraId="6182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3D298650">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119CCE63">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43D310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自动倒线/复绕机</w:t>
                  </w:r>
                </w:p>
              </w:tc>
              <w:tc>
                <w:tcPr>
                  <w:tcW w:w="1072" w:type="pct"/>
                  <w:shd w:val="clear" w:color="auto" w:fill="auto"/>
                  <w:vAlign w:val="center"/>
                </w:tcPr>
                <w:p w14:paraId="2A8F20A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DXP-2000</w:t>
                  </w:r>
                </w:p>
              </w:tc>
              <w:tc>
                <w:tcPr>
                  <w:tcW w:w="515" w:type="pct"/>
                  <w:shd w:val="clear" w:color="auto" w:fill="auto"/>
                  <w:vAlign w:val="center"/>
                </w:tcPr>
                <w:p w14:paraId="4FE38BB7">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26</w:t>
                  </w:r>
                </w:p>
              </w:tc>
              <w:tc>
                <w:tcPr>
                  <w:tcW w:w="1630" w:type="pct"/>
                  <w:shd w:val="clear" w:color="auto" w:fill="auto"/>
                  <w:vAlign w:val="center"/>
                </w:tcPr>
                <w:p w14:paraId="6773D36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用于半成品分盘流转。</w:t>
                  </w:r>
                </w:p>
              </w:tc>
            </w:tr>
            <w:tr w14:paraId="1811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3A58DE76">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14E5201">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B9A8E0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履带式牵引机</w:t>
                  </w:r>
                </w:p>
              </w:tc>
              <w:tc>
                <w:tcPr>
                  <w:tcW w:w="1072" w:type="pct"/>
                  <w:shd w:val="clear" w:color="auto" w:fill="auto"/>
                  <w:vAlign w:val="center"/>
                </w:tcPr>
                <w:p w14:paraId="4346FC5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QY-2500</w:t>
                  </w:r>
                </w:p>
              </w:tc>
              <w:tc>
                <w:tcPr>
                  <w:tcW w:w="515" w:type="pct"/>
                  <w:shd w:val="clear" w:color="auto" w:fill="auto"/>
                  <w:vAlign w:val="center"/>
                </w:tcPr>
                <w:p w14:paraId="154B0A4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6</w:t>
                  </w:r>
                </w:p>
              </w:tc>
              <w:tc>
                <w:tcPr>
                  <w:tcW w:w="1630" w:type="pct"/>
                  <w:shd w:val="clear" w:color="auto" w:fill="auto"/>
                  <w:vAlign w:val="center"/>
                </w:tcPr>
                <w:p w14:paraId="7AD6A8A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配合各挤出及绞线工序。</w:t>
                  </w:r>
                </w:p>
              </w:tc>
            </w:tr>
            <w:tr w14:paraId="6D55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E0B5B0F">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478B044B">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26AAB6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工业冷水机组</w:t>
                  </w:r>
                </w:p>
              </w:tc>
              <w:tc>
                <w:tcPr>
                  <w:tcW w:w="1072" w:type="pct"/>
                  <w:shd w:val="clear" w:color="auto" w:fill="auto"/>
                  <w:vAlign w:val="center"/>
                </w:tcPr>
                <w:p w14:paraId="513D3B0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LS-100HP</w:t>
                  </w:r>
                </w:p>
              </w:tc>
              <w:tc>
                <w:tcPr>
                  <w:tcW w:w="515" w:type="pct"/>
                  <w:shd w:val="clear" w:color="auto" w:fill="auto"/>
                  <w:vAlign w:val="center"/>
                </w:tcPr>
                <w:p w14:paraId="350F058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1630" w:type="pct"/>
                  <w:shd w:val="clear" w:color="auto" w:fill="auto"/>
                  <w:vAlign w:val="center"/>
                </w:tcPr>
                <w:p w14:paraId="1C54693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为挤出机水槽提供</w:t>
                  </w:r>
                  <w:r>
                    <w:rPr>
                      <w:rFonts w:hint="eastAsia"/>
                      <w:color w:val="000000" w:themeColor="text1"/>
                      <w:kern w:val="0"/>
                      <w:sz w:val="21"/>
                      <w:szCs w:val="21"/>
                      <w14:textFill>
                        <w14:solidFill>
                          <w14:schemeClr w14:val="tx1"/>
                        </w14:solidFill>
                      </w14:textFill>
                    </w:rPr>
                    <w:t>自来水用作</w:t>
                  </w:r>
                  <w:r>
                    <w:rPr>
                      <w:color w:val="000000" w:themeColor="text1"/>
                      <w:kern w:val="0"/>
                      <w:sz w:val="21"/>
                      <w:szCs w:val="21"/>
                      <w14:textFill>
                        <w14:solidFill>
                          <w14:schemeClr w14:val="tx1"/>
                        </w14:solidFill>
                      </w14:textFill>
                    </w:rPr>
                    <w:t>循环冷却水</w:t>
                  </w:r>
                  <w:r>
                    <w:rPr>
                      <w:rStyle w:val="19"/>
                      <w:rFonts w:hint="eastAsia"/>
                      <w:kern w:val="0"/>
                    </w:rPr>
                    <w:t>，</w:t>
                  </w:r>
                  <w:r>
                    <w:rPr>
                      <w:color w:val="000000" w:themeColor="text1"/>
                      <w:kern w:val="0"/>
                      <w:sz w:val="21"/>
                      <w:szCs w:val="21"/>
                      <w14:textFill>
                        <w14:solidFill>
                          <w14:schemeClr w14:val="tx1"/>
                        </w14:solidFill>
                      </w14:textFill>
                    </w:rPr>
                    <w:t>。</w:t>
                  </w:r>
                </w:p>
              </w:tc>
            </w:tr>
            <w:tr w14:paraId="3745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EBF017A">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185DD2A">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2F96FC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螺杆式空压机</w:t>
                  </w:r>
                </w:p>
              </w:tc>
              <w:tc>
                <w:tcPr>
                  <w:tcW w:w="1072" w:type="pct"/>
                  <w:shd w:val="clear" w:color="auto" w:fill="auto"/>
                  <w:vAlign w:val="center"/>
                </w:tcPr>
                <w:p w14:paraId="7642BA0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GA-75+</w:t>
                  </w:r>
                </w:p>
              </w:tc>
              <w:tc>
                <w:tcPr>
                  <w:tcW w:w="515" w:type="pct"/>
                  <w:shd w:val="clear" w:color="auto" w:fill="auto"/>
                  <w:vAlign w:val="center"/>
                </w:tcPr>
                <w:p w14:paraId="78E68A7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w:t>
                  </w:r>
                </w:p>
              </w:tc>
              <w:tc>
                <w:tcPr>
                  <w:tcW w:w="1630" w:type="pct"/>
                  <w:shd w:val="clear" w:color="auto" w:fill="auto"/>
                  <w:vAlign w:val="center"/>
                </w:tcPr>
                <w:p w14:paraId="3F5B93E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变频节能型，提供气动动力。</w:t>
                  </w:r>
                </w:p>
              </w:tc>
            </w:tr>
            <w:tr w14:paraId="04FF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7D128D6">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114C331">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13AEE41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交流对焊机</w:t>
                  </w:r>
                </w:p>
              </w:tc>
              <w:tc>
                <w:tcPr>
                  <w:tcW w:w="1072" w:type="pct"/>
                  <w:shd w:val="clear" w:color="auto" w:fill="auto"/>
                  <w:vAlign w:val="center"/>
                </w:tcPr>
                <w:p w14:paraId="376FF6A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UN-100</w:t>
                  </w:r>
                </w:p>
              </w:tc>
              <w:tc>
                <w:tcPr>
                  <w:tcW w:w="515" w:type="pct"/>
                  <w:shd w:val="clear" w:color="auto" w:fill="auto"/>
                  <w:vAlign w:val="center"/>
                </w:tcPr>
                <w:p w14:paraId="5D56516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13</w:t>
                  </w:r>
                </w:p>
              </w:tc>
              <w:tc>
                <w:tcPr>
                  <w:tcW w:w="1630" w:type="pct"/>
                  <w:shd w:val="clear" w:color="auto" w:fill="auto"/>
                  <w:vAlign w:val="center"/>
                </w:tcPr>
                <w:p w14:paraId="537D324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焊接</w:t>
                  </w:r>
                  <w:r>
                    <w:rPr>
                      <w:rFonts w:hint="eastAsia"/>
                      <w:color w:val="000000" w:themeColor="text1"/>
                      <w:kern w:val="0"/>
                      <w:sz w:val="21"/>
                      <w:szCs w:val="21"/>
                      <w14:textFill>
                        <w14:solidFill>
                          <w14:schemeClr w14:val="tx1"/>
                        </w14:solidFill>
                      </w14:textFill>
                    </w:rPr>
                    <w:t>采用双面双点过流焊接的原理</w:t>
                  </w:r>
                  <w:r>
                    <w:rPr>
                      <w:rStyle w:val="19"/>
                      <w:kern w:val="0"/>
                    </w:rPr>
                    <w:t>不使用焊条，无焊接烟尘产生</w:t>
                  </w:r>
                  <w:r>
                    <w:rPr>
                      <w:color w:val="000000" w:themeColor="text1"/>
                      <w:kern w:val="0"/>
                      <w:sz w:val="21"/>
                      <w:szCs w:val="21"/>
                      <w14:textFill>
                        <w14:solidFill>
                          <w14:schemeClr w14:val="tx1"/>
                        </w14:solidFill>
                      </w14:textFill>
                    </w:rPr>
                    <w:t>。</w:t>
                  </w:r>
                </w:p>
              </w:tc>
            </w:tr>
            <w:tr w14:paraId="45CB5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E924CD6">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63784BA">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F2127C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桥式起重机 (天车)</w:t>
                  </w:r>
                </w:p>
              </w:tc>
              <w:tc>
                <w:tcPr>
                  <w:tcW w:w="1072" w:type="pct"/>
                  <w:shd w:val="clear" w:color="auto" w:fill="auto"/>
                  <w:vAlign w:val="center"/>
                </w:tcPr>
                <w:p w14:paraId="15FFE9D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16T/32T</w:t>
                  </w:r>
                </w:p>
              </w:tc>
              <w:tc>
                <w:tcPr>
                  <w:tcW w:w="515" w:type="pct"/>
                  <w:shd w:val="clear" w:color="auto" w:fill="auto"/>
                  <w:vAlign w:val="center"/>
                </w:tcPr>
                <w:p w14:paraId="15BBA4B2">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1630" w:type="pct"/>
                  <w:shd w:val="clear" w:color="auto" w:fill="auto"/>
                  <w:vAlign w:val="center"/>
                </w:tcPr>
                <w:p w14:paraId="5AA9F93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车间重物吊装。</w:t>
                  </w:r>
                </w:p>
              </w:tc>
            </w:tr>
            <w:tr w14:paraId="0E1F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C0B70CE">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038264C">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F88512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工艺周转盘具</w:t>
                  </w:r>
                </w:p>
              </w:tc>
              <w:tc>
                <w:tcPr>
                  <w:tcW w:w="1072" w:type="pct"/>
                  <w:shd w:val="clear" w:color="auto" w:fill="auto"/>
                  <w:vAlign w:val="center"/>
                </w:tcPr>
                <w:p w14:paraId="6B9F2FF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PN800-2500</w:t>
                  </w:r>
                </w:p>
              </w:tc>
              <w:tc>
                <w:tcPr>
                  <w:tcW w:w="515" w:type="pct"/>
                  <w:shd w:val="clear" w:color="auto" w:fill="auto"/>
                  <w:vAlign w:val="center"/>
                </w:tcPr>
                <w:p w14:paraId="55002A4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r>
                    <w:rPr>
                      <w:rFonts w:hint="eastAsia"/>
                      <w:color w:val="000000" w:themeColor="text1"/>
                      <w:kern w:val="0"/>
                      <w:sz w:val="21"/>
                      <w:szCs w:val="21"/>
                      <w14:textFill>
                        <w14:solidFill>
                          <w14:schemeClr w14:val="tx1"/>
                        </w14:solidFill>
                      </w14:textFill>
                    </w:rPr>
                    <w:t>00</w:t>
                  </w:r>
                </w:p>
              </w:tc>
              <w:tc>
                <w:tcPr>
                  <w:tcW w:w="1630" w:type="pct"/>
                  <w:shd w:val="clear" w:color="auto" w:fill="auto"/>
                  <w:vAlign w:val="center"/>
                </w:tcPr>
                <w:p w14:paraId="02623F3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含铁盘、木盘及工序流转用具。</w:t>
                  </w:r>
                </w:p>
              </w:tc>
            </w:tr>
            <w:tr w14:paraId="3BEB1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14:paraId="1BAB2F0C">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新能源线缆车间</w:t>
                  </w:r>
                </w:p>
              </w:tc>
              <w:tc>
                <w:tcPr>
                  <w:tcW w:w="517" w:type="pct"/>
                  <w:vMerge w:val="restart"/>
                  <w:shd w:val="clear" w:color="auto" w:fill="auto"/>
                  <w:vAlign w:val="center"/>
                </w:tcPr>
                <w:p w14:paraId="25C84D9A">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光伏电缆生产线</w:t>
                  </w:r>
                </w:p>
              </w:tc>
              <w:tc>
                <w:tcPr>
                  <w:tcW w:w="879" w:type="pct"/>
                  <w:shd w:val="clear" w:color="auto" w:fill="auto"/>
                  <w:vAlign w:val="center"/>
                </w:tcPr>
                <w:p w14:paraId="7C4B8D7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69C472B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SJ-150/25 (绝缘)</w:t>
                  </w:r>
                </w:p>
              </w:tc>
              <w:tc>
                <w:tcPr>
                  <w:tcW w:w="515" w:type="pct"/>
                  <w:shd w:val="clear" w:color="auto" w:fill="auto"/>
                  <w:vAlign w:val="center"/>
                </w:tcPr>
                <w:p w14:paraId="1C6702EF">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1C34566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w:t>
                  </w:r>
                  <w:r>
                    <w:rPr>
                      <w:rFonts w:hint="eastAsia"/>
                      <w:color w:val="000000" w:themeColor="text1"/>
                      <w:kern w:val="0"/>
                      <w:sz w:val="21"/>
                      <w:szCs w:val="21"/>
                      <w14:textFill>
                        <w14:solidFill>
                          <w14:schemeClr w14:val="tx1"/>
                        </w14:solidFill>
                      </w14:textFill>
                    </w:rPr>
                    <w:t>光伏</w:t>
                  </w:r>
                  <w:r>
                    <w:rPr>
                      <w:color w:val="000000" w:themeColor="text1"/>
                      <w:kern w:val="0"/>
                      <w:sz w:val="21"/>
                      <w:szCs w:val="21"/>
                      <w14:textFill>
                        <w14:solidFill>
                          <w14:schemeClr w14:val="tx1"/>
                        </w14:solidFill>
                      </w14:textFill>
                    </w:rPr>
                    <w:t>电缆绝缘挤出。</w:t>
                  </w:r>
                </w:p>
              </w:tc>
            </w:tr>
            <w:tr w14:paraId="7F7D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873162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D0EE983">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D7CDC2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5BFED3F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SJ-120/25 (内衬)</w:t>
                  </w:r>
                </w:p>
              </w:tc>
              <w:tc>
                <w:tcPr>
                  <w:tcW w:w="515" w:type="pct"/>
                  <w:shd w:val="clear" w:color="auto" w:fill="auto"/>
                  <w:vAlign w:val="center"/>
                </w:tcPr>
                <w:p w14:paraId="536DA8F5">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46D3456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用于内衬层及小截面绝缘挤出。</w:t>
                  </w:r>
                </w:p>
              </w:tc>
            </w:tr>
            <w:tr w14:paraId="4AC0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0BF84D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6957C63">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E5AD52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自动化管式绞线机</w:t>
                  </w:r>
                </w:p>
              </w:tc>
              <w:tc>
                <w:tcPr>
                  <w:tcW w:w="1072" w:type="pct"/>
                  <w:shd w:val="clear" w:color="auto" w:fill="auto"/>
                  <w:vAlign w:val="center"/>
                </w:tcPr>
                <w:p w14:paraId="06F6AAC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GZL-630/12</w:t>
                  </w:r>
                </w:p>
              </w:tc>
              <w:tc>
                <w:tcPr>
                  <w:tcW w:w="515" w:type="pct"/>
                  <w:shd w:val="clear" w:color="auto" w:fill="auto"/>
                  <w:vAlign w:val="center"/>
                </w:tcPr>
                <w:p w14:paraId="48F1BD7D">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7C97A1E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高速绞制，适用于光伏电缆导体。</w:t>
                  </w:r>
                </w:p>
              </w:tc>
            </w:tr>
            <w:tr w14:paraId="6E32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1C89559">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2C25EFC">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8C197E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盘式成缆铠装一体机</w:t>
                  </w:r>
                </w:p>
              </w:tc>
              <w:tc>
                <w:tcPr>
                  <w:tcW w:w="1072" w:type="pct"/>
                  <w:shd w:val="clear" w:color="auto" w:fill="auto"/>
                  <w:vAlign w:val="center"/>
                </w:tcPr>
                <w:p w14:paraId="456376E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CL-2500/3+2</w:t>
                  </w:r>
                </w:p>
              </w:tc>
              <w:tc>
                <w:tcPr>
                  <w:tcW w:w="515" w:type="pct"/>
                  <w:shd w:val="clear" w:color="auto" w:fill="auto"/>
                  <w:vAlign w:val="center"/>
                </w:tcPr>
                <w:p w14:paraId="1A1DF25A">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3AC209F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集成钢带铠装功能，确保成缆圆整度。</w:t>
                  </w:r>
                </w:p>
              </w:tc>
            </w:tr>
            <w:tr w14:paraId="7CBC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6EE43B4">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2F0C35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A62037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悬臂式成缆机</w:t>
                  </w:r>
                </w:p>
              </w:tc>
              <w:tc>
                <w:tcPr>
                  <w:tcW w:w="1072" w:type="pct"/>
                  <w:shd w:val="clear" w:color="auto" w:fill="auto"/>
                  <w:vAlign w:val="center"/>
                </w:tcPr>
                <w:p w14:paraId="31789DC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CL-1600/3</w:t>
                  </w:r>
                </w:p>
              </w:tc>
              <w:tc>
                <w:tcPr>
                  <w:tcW w:w="515" w:type="pct"/>
                  <w:shd w:val="clear" w:color="auto" w:fill="auto"/>
                  <w:vAlign w:val="center"/>
                </w:tcPr>
                <w:p w14:paraId="5BF3675B">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0ABD0B0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w:t>
                  </w:r>
                  <w:r>
                    <w:rPr>
                      <w:rFonts w:hint="eastAsia"/>
                      <w:color w:val="000000" w:themeColor="text1"/>
                      <w:kern w:val="0"/>
                      <w:sz w:val="21"/>
                      <w:szCs w:val="21"/>
                      <w14:textFill>
                        <w14:solidFill>
                          <w14:schemeClr w14:val="tx1"/>
                        </w14:solidFill>
                      </w14:textFill>
                    </w:rPr>
                    <w:t>光伏</w:t>
                  </w:r>
                  <w:r>
                    <w:rPr>
                      <w:color w:val="000000" w:themeColor="text1"/>
                      <w:kern w:val="0"/>
                      <w:sz w:val="21"/>
                      <w:szCs w:val="21"/>
                      <w14:textFill>
                        <w14:solidFill>
                          <w14:schemeClr w14:val="tx1"/>
                        </w14:solidFill>
                      </w14:textFill>
                    </w:rPr>
                    <w:t>电缆成缆。</w:t>
                  </w:r>
                </w:p>
              </w:tc>
            </w:tr>
            <w:tr w14:paraId="03CD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9DC551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E88A59F">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1B91A0B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激光/喷墨喷码机</w:t>
                  </w:r>
                </w:p>
              </w:tc>
              <w:tc>
                <w:tcPr>
                  <w:tcW w:w="1072" w:type="pct"/>
                  <w:shd w:val="clear" w:color="auto" w:fill="auto"/>
                  <w:vAlign w:val="center"/>
                </w:tcPr>
                <w:p w14:paraId="7046201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V120i</w:t>
                  </w:r>
                </w:p>
              </w:tc>
              <w:tc>
                <w:tcPr>
                  <w:tcW w:w="515" w:type="pct"/>
                  <w:shd w:val="clear" w:color="auto" w:fill="auto"/>
                  <w:vAlign w:val="center"/>
                </w:tcPr>
                <w:p w14:paraId="2A571C73">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34893BB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使用水性油墨</w:t>
                  </w:r>
                  <w:r>
                    <w:rPr>
                      <w:color w:val="000000" w:themeColor="text1"/>
                      <w:kern w:val="0"/>
                      <w:sz w:val="21"/>
                      <w:szCs w:val="21"/>
                      <w14:textFill>
                        <w14:solidFill>
                          <w14:schemeClr w14:val="tx1"/>
                        </w14:solidFill>
                      </w14:textFill>
                    </w:rPr>
                    <w:t>，废气微量收集。</w:t>
                  </w:r>
                </w:p>
              </w:tc>
            </w:tr>
            <w:tr w14:paraId="221B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947066C">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D319D8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147F27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自动倒线/复绕机</w:t>
                  </w:r>
                </w:p>
              </w:tc>
              <w:tc>
                <w:tcPr>
                  <w:tcW w:w="1072" w:type="pct"/>
                  <w:shd w:val="clear" w:color="auto" w:fill="auto"/>
                  <w:vAlign w:val="center"/>
                </w:tcPr>
                <w:p w14:paraId="465D102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DXP-2000</w:t>
                  </w:r>
                </w:p>
              </w:tc>
              <w:tc>
                <w:tcPr>
                  <w:tcW w:w="515" w:type="pct"/>
                  <w:shd w:val="clear" w:color="auto" w:fill="auto"/>
                  <w:vAlign w:val="center"/>
                </w:tcPr>
                <w:p w14:paraId="18B10387">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p>
              </w:tc>
              <w:tc>
                <w:tcPr>
                  <w:tcW w:w="1630" w:type="pct"/>
                  <w:shd w:val="clear" w:color="auto" w:fill="auto"/>
                  <w:vAlign w:val="center"/>
                </w:tcPr>
                <w:p w14:paraId="172DFEC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用于半成品分盘流转。</w:t>
                  </w:r>
                </w:p>
              </w:tc>
            </w:tr>
            <w:tr w14:paraId="4DCE8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35DAA35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AD5E0DE">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9B59B4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履带式牵引机</w:t>
                  </w:r>
                </w:p>
              </w:tc>
              <w:tc>
                <w:tcPr>
                  <w:tcW w:w="1072" w:type="pct"/>
                  <w:shd w:val="clear" w:color="auto" w:fill="auto"/>
                  <w:vAlign w:val="center"/>
                </w:tcPr>
                <w:p w14:paraId="1E9360A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QY-2500</w:t>
                  </w:r>
                </w:p>
              </w:tc>
              <w:tc>
                <w:tcPr>
                  <w:tcW w:w="515" w:type="pct"/>
                  <w:shd w:val="clear" w:color="auto" w:fill="auto"/>
                  <w:vAlign w:val="center"/>
                </w:tcPr>
                <w:p w14:paraId="4A67DE6B">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p>
              </w:tc>
              <w:tc>
                <w:tcPr>
                  <w:tcW w:w="1630" w:type="pct"/>
                  <w:shd w:val="clear" w:color="auto" w:fill="auto"/>
                  <w:vAlign w:val="center"/>
                </w:tcPr>
                <w:p w14:paraId="15CDBC7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配合各挤出及绞线工序。</w:t>
                  </w:r>
                </w:p>
              </w:tc>
            </w:tr>
            <w:tr w14:paraId="3FCC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F6F81BF">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C6E07DA">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CD9F65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高频火花检测仪</w:t>
                  </w:r>
                </w:p>
              </w:tc>
              <w:tc>
                <w:tcPr>
                  <w:tcW w:w="1072" w:type="pct"/>
                  <w:shd w:val="clear" w:color="auto" w:fill="auto"/>
                  <w:vAlign w:val="center"/>
                </w:tcPr>
                <w:p w14:paraId="67B6C9F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HS-15KV</w:t>
                  </w:r>
                </w:p>
              </w:tc>
              <w:tc>
                <w:tcPr>
                  <w:tcW w:w="515" w:type="pct"/>
                  <w:shd w:val="clear" w:color="auto" w:fill="auto"/>
                  <w:vAlign w:val="center"/>
                </w:tcPr>
                <w:p w14:paraId="77773122">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1630" w:type="pct"/>
                  <w:shd w:val="clear" w:color="auto" w:fill="auto"/>
                  <w:vAlign w:val="center"/>
                </w:tcPr>
                <w:p w14:paraId="2DE8615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在线检测绝缘破损，自动报警停机。</w:t>
                  </w:r>
                </w:p>
              </w:tc>
            </w:tr>
            <w:tr w14:paraId="6724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50F24B0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18E945A7">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1486FC4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工业冷水机组</w:t>
                  </w:r>
                </w:p>
              </w:tc>
              <w:tc>
                <w:tcPr>
                  <w:tcW w:w="1072" w:type="pct"/>
                  <w:shd w:val="clear" w:color="auto" w:fill="auto"/>
                  <w:vAlign w:val="center"/>
                </w:tcPr>
                <w:p w14:paraId="0C458DE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LS-100HP</w:t>
                  </w:r>
                </w:p>
              </w:tc>
              <w:tc>
                <w:tcPr>
                  <w:tcW w:w="515" w:type="pct"/>
                  <w:shd w:val="clear" w:color="auto" w:fill="auto"/>
                  <w:vAlign w:val="center"/>
                </w:tcPr>
                <w:p w14:paraId="21C5B850">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23BDFF8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为挤出机水槽提供</w:t>
                  </w:r>
                  <w:r>
                    <w:rPr>
                      <w:rFonts w:hint="eastAsia"/>
                      <w:color w:val="000000" w:themeColor="text1"/>
                      <w:kern w:val="0"/>
                      <w:sz w:val="21"/>
                      <w:szCs w:val="21"/>
                      <w14:textFill>
                        <w14:solidFill>
                          <w14:schemeClr w14:val="tx1"/>
                        </w14:solidFill>
                      </w14:textFill>
                    </w:rPr>
                    <w:t>自来水用作</w:t>
                  </w:r>
                  <w:r>
                    <w:rPr>
                      <w:color w:val="000000" w:themeColor="text1"/>
                      <w:kern w:val="0"/>
                      <w:sz w:val="21"/>
                      <w:szCs w:val="21"/>
                      <w14:textFill>
                        <w14:solidFill>
                          <w14:schemeClr w14:val="tx1"/>
                        </w14:solidFill>
                      </w14:textFill>
                    </w:rPr>
                    <w:t>循环冷却水</w:t>
                  </w:r>
                  <w:r>
                    <w:rPr>
                      <w:rStyle w:val="19"/>
                      <w:rFonts w:hint="eastAsia"/>
                      <w:kern w:val="0"/>
                    </w:rPr>
                    <w:t>，</w:t>
                  </w:r>
                  <w:r>
                    <w:rPr>
                      <w:color w:val="000000" w:themeColor="text1"/>
                      <w:kern w:val="0"/>
                      <w:sz w:val="21"/>
                      <w:szCs w:val="21"/>
                      <w14:textFill>
                        <w14:solidFill>
                          <w14:schemeClr w14:val="tx1"/>
                        </w14:solidFill>
                      </w14:textFill>
                    </w:rPr>
                    <w:t>。</w:t>
                  </w:r>
                </w:p>
              </w:tc>
            </w:tr>
            <w:tr w14:paraId="4A95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0A18CF0">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99691AD">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5F7039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桥式起重机 (天车)</w:t>
                  </w:r>
                </w:p>
              </w:tc>
              <w:tc>
                <w:tcPr>
                  <w:tcW w:w="1072" w:type="pct"/>
                  <w:shd w:val="clear" w:color="auto" w:fill="auto"/>
                  <w:vAlign w:val="center"/>
                </w:tcPr>
                <w:p w14:paraId="07C4932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16T/32T</w:t>
                  </w:r>
                </w:p>
              </w:tc>
              <w:tc>
                <w:tcPr>
                  <w:tcW w:w="515" w:type="pct"/>
                  <w:shd w:val="clear" w:color="auto" w:fill="auto"/>
                  <w:vAlign w:val="center"/>
                </w:tcPr>
                <w:p w14:paraId="0AB7C330">
                  <w:pPr>
                    <w:jc w:val="center"/>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4D57952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车间重物吊装。</w:t>
                  </w:r>
                </w:p>
              </w:tc>
            </w:tr>
            <w:tr w14:paraId="2197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76C5AB5C">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B05F94D">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ED4D0E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工艺周转盘具</w:t>
                  </w:r>
                </w:p>
              </w:tc>
              <w:tc>
                <w:tcPr>
                  <w:tcW w:w="1072" w:type="pct"/>
                  <w:shd w:val="clear" w:color="auto" w:fill="auto"/>
                  <w:vAlign w:val="center"/>
                </w:tcPr>
                <w:p w14:paraId="41C8FF7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PN800-2500</w:t>
                  </w:r>
                </w:p>
              </w:tc>
              <w:tc>
                <w:tcPr>
                  <w:tcW w:w="515" w:type="pct"/>
                  <w:shd w:val="clear" w:color="auto" w:fill="auto"/>
                  <w:vAlign w:val="center"/>
                </w:tcPr>
                <w:p w14:paraId="3CD1CF7D">
                  <w:pPr>
                    <w:jc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w:t>
                  </w:r>
                </w:p>
              </w:tc>
              <w:tc>
                <w:tcPr>
                  <w:tcW w:w="1630" w:type="pct"/>
                  <w:shd w:val="clear" w:color="auto" w:fill="auto"/>
                  <w:vAlign w:val="center"/>
                </w:tcPr>
                <w:p w14:paraId="73B78C0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含铁盘、木盘及工序流转用具。</w:t>
                  </w:r>
                </w:p>
              </w:tc>
            </w:tr>
            <w:tr w14:paraId="32C7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14:paraId="3EA05373">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低压线缆车间</w:t>
                  </w:r>
                </w:p>
              </w:tc>
              <w:tc>
                <w:tcPr>
                  <w:tcW w:w="517" w:type="pct"/>
                  <w:vMerge w:val="restart"/>
                  <w:shd w:val="clear" w:color="auto" w:fill="auto"/>
                  <w:vAlign w:val="center"/>
                </w:tcPr>
                <w:p w14:paraId="6AE6BC6D">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光伏电缆生产线</w:t>
                  </w:r>
                </w:p>
              </w:tc>
              <w:tc>
                <w:tcPr>
                  <w:tcW w:w="879" w:type="pct"/>
                  <w:shd w:val="clear" w:color="auto" w:fill="auto"/>
                  <w:vAlign w:val="center"/>
                </w:tcPr>
                <w:p w14:paraId="36A2A86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0BB1692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SJ-150/25 (绝缘)</w:t>
                  </w:r>
                </w:p>
              </w:tc>
              <w:tc>
                <w:tcPr>
                  <w:tcW w:w="515" w:type="pct"/>
                  <w:shd w:val="clear" w:color="auto" w:fill="auto"/>
                  <w:vAlign w:val="center"/>
                </w:tcPr>
                <w:p w14:paraId="3870BB8A">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58B3C62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w:t>
                  </w:r>
                  <w:r>
                    <w:rPr>
                      <w:rFonts w:hint="eastAsia"/>
                      <w:color w:val="000000" w:themeColor="text1"/>
                      <w:kern w:val="0"/>
                      <w:sz w:val="21"/>
                      <w:szCs w:val="21"/>
                      <w14:textFill>
                        <w14:solidFill>
                          <w14:schemeClr w14:val="tx1"/>
                        </w14:solidFill>
                      </w14:textFill>
                    </w:rPr>
                    <w:t>光伏</w:t>
                  </w:r>
                  <w:r>
                    <w:rPr>
                      <w:color w:val="000000" w:themeColor="text1"/>
                      <w:kern w:val="0"/>
                      <w:sz w:val="21"/>
                      <w:szCs w:val="21"/>
                      <w14:textFill>
                        <w14:solidFill>
                          <w14:schemeClr w14:val="tx1"/>
                        </w14:solidFill>
                      </w14:textFill>
                    </w:rPr>
                    <w:t>电缆绝缘挤出。</w:t>
                  </w:r>
                </w:p>
              </w:tc>
            </w:tr>
            <w:tr w14:paraId="7943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DB8FD7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51354B7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605340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自动化塑料挤出成套机组</w:t>
                  </w:r>
                </w:p>
              </w:tc>
              <w:tc>
                <w:tcPr>
                  <w:tcW w:w="1072" w:type="pct"/>
                  <w:shd w:val="clear" w:color="auto" w:fill="auto"/>
                  <w:vAlign w:val="center"/>
                </w:tcPr>
                <w:p w14:paraId="3432ACC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SJ-120/25 (内衬)</w:t>
                  </w:r>
                </w:p>
              </w:tc>
              <w:tc>
                <w:tcPr>
                  <w:tcW w:w="515" w:type="pct"/>
                  <w:shd w:val="clear" w:color="auto" w:fill="auto"/>
                  <w:vAlign w:val="center"/>
                </w:tcPr>
                <w:p w14:paraId="65753B68">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6EEE58E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用于内衬层及小截面绝缘挤出。</w:t>
                  </w:r>
                </w:p>
              </w:tc>
            </w:tr>
            <w:tr w14:paraId="2A5C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44DB009">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13BA4F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689DF05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自动化管式绞线机</w:t>
                  </w:r>
                </w:p>
              </w:tc>
              <w:tc>
                <w:tcPr>
                  <w:tcW w:w="1072" w:type="pct"/>
                  <w:shd w:val="clear" w:color="auto" w:fill="auto"/>
                  <w:vAlign w:val="center"/>
                </w:tcPr>
                <w:p w14:paraId="5F3F2C3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GZL-630/12</w:t>
                  </w:r>
                </w:p>
              </w:tc>
              <w:tc>
                <w:tcPr>
                  <w:tcW w:w="515" w:type="pct"/>
                  <w:shd w:val="clear" w:color="auto" w:fill="auto"/>
                  <w:vAlign w:val="center"/>
                </w:tcPr>
                <w:p w14:paraId="2E9238C6">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30EF0D8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高速绞制，适用于光伏电缆导体。</w:t>
                  </w:r>
                </w:p>
              </w:tc>
            </w:tr>
            <w:tr w14:paraId="5922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7CB9E5F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652862E">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59F66A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盘式成缆铠装一体机</w:t>
                  </w:r>
                </w:p>
              </w:tc>
              <w:tc>
                <w:tcPr>
                  <w:tcW w:w="1072" w:type="pct"/>
                  <w:shd w:val="clear" w:color="auto" w:fill="auto"/>
                  <w:vAlign w:val="center"/>
                </w:tcPr>
                <w:p w14:paraId="446E9B6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CL-2500/3+2</w:t>
                  </w:r>
                </w:p>
              </w:tc>
              <w:tc>
                <w:tcPr>
                  <w:tcW w:w="515" w:type="pct"/>
                  <w:shd w:val="clear" w:color="auto" w:fill="auto"/>
                  <w:vAlign w:val="center"/>
                </w:tcPr>
                <w:p w14:paraId="01013670">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0E2DEA9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集成钢带铠装功能，确保成缆圆整度。</w:t>
                  </w:r>
                </w:p>
              </w:tc>
            </w:tr>
            <w:tr w14:paraId="5663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AF8B5BF">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9E1A3C9">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656C99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悬臂式成缆机</w:t>
                  </w:r>
                </w:p>
              </w:tc>
              <w:tc>
                <w:tcPr>
                  <w:tcW w:w="1072" w:type="pct"/>
                  <w:shd w:val="clear" w:color="auto" w:fill="auto"/>
                  <w:vAlign w:val="center"/>
                </w:tcPr>
                <w:p w14:paraId="3EBA684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CL-1600/3</w:t>
                  </w:r>
                </w:p>
              </w:tc>
              <w:tc>
                <w:tcPr>
                  <w:tcW w:w="515" w:type="pct"/>
                  <w:shd w:val="clear" w:color="auto" w:fill="auto"/>
                  <w:vAlign w:val="center"/>
                </w:tcPr>
                <w:p w14:paraId="03EE108D">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2D955D1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w:t>
                  </w:r>
                  <w:r>
                    <w:rPr>
                      <w:rFonts w:hint="eastAsia"/>
                      <w:color w:val="000000" w:themeColor="text1"/>
                      <w:kern w:val="0"/>
                      <w:sz w:val="21"/>
                      <w:szCs w:val="21"/>
                      <w14:textFill>
                        <w14:solidFill>
                          <w14:schemeClr w14:val="tx1"/>
                        </w14:solidFill>
                      </w14:textFill>
                    </w:rPr>
                    <w:t>光伏</w:t>
                  </w:r>
                  <w:r>
                    <w:rPr>
                      <w:color w:val="000000" w:themeColor="text1"/>
                      <w:kern w:val="0"/>
                      <w:sz w:val="21"/>
                      <w:szCs w:val="21"/>
                      <w14:textFill>
                        <w14:solidFill>
                          <w14:schemeClr w14:val="tx1"/>
                        </w14:solidFill>
                      </w14:textFill>
                    </w:rPr>
                    <w:t>电缆成缆。</w:t>
                  </w:r>
                </w:p>
              </w:tc>
            </w:tr>
            <w:tr w14:paraId="2E822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38F9D7A">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481B049">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60BBFAC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激光/喷墨喷码机</w:t>
                  </w:r>
                </w:p>
              </w:tc>
              <w:tc>
                <w:tcPr>
                  <w:tcW w:w="1072" w:type="pct"/>
                  <w:shd w:val="clear" w:color="auto" w:fill="auto"/>
                  <w:vAlign w:val="center"/>
                </w:tcPr>
                <w:p w14:paraId="3C9A669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V120i</w:t>
                  </w:r>
                </w:p>
              </w:tc>
              <w:tc>
                <w:tcPr>
                  <w:tcW w:w="515" w:type="pct"/>
                  <w:shd w:val="clear" w:color="auto" w:fill="auto"/>
                  <w:vAlign w:val="center"/>
                </w:tcPr>
                <w:p w14:paraId="23201443">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4633CB4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使用水性油墨</w:t>
                  </w:r>
                  <w:r>
                    <w:rPr>
                      <w:color w:val="000000" w:themeColor="text1"/>
                      <w:kern w:val="0"/>
                      <w:sz w:val="21"/>
                      <w:szCs w:val="21"/>
                      <w14:textFill>
                        <w14:solidFill>
                          <w14:schemeClr w14:val="tx1"/>
                        </w14:solidFill>
                      </w14:textFill>
                    </w:rPr>
                    <w:t>，废气微量收集。</w:t>
                  </w:r>
                </w:p>
              </w:tc>
            </w:tr>
            <w:tr w14:paraId="7C7C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37A39BD">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26A769D">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D9D8D2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自动倒线/复绕机</w:t>
                  </w:r>
                </w:p>
              </w:tc>
              <w:tc>
                <w:tcPr>
                  <w:tcW w:w="1072" w:type="pct"/>
                  <w:shd w:val="clear" w:color="auto" w:fill="auto"/>
                  <w:vAlign w:val="center"/>
                </w:tcPr>
                <w:p w14:paraId="6F618C4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DXP-2000</w:t>
                  </w:r>
                </w:p>
              </w:tc>
              <w:tc>
                <w:tcPr>
                  <w:tcW w:w="515" w:type="pct"/>
                  <w:shd w:val="clear" w:color="auto" w:fill="auto"/>
                  <w:vAlign w:val="center"/>
                </w:tcPr>
                <w:p w14:paraId="5115503E">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p>
              </w:tc>
              <w:tc>
                <w:tcPr>
                  <w:tcW w:w="1630" w:type="pct"/>
                  <w:shd w:val="clear" w:color="auto" w:fill="auto"/>
                  <w:vAlign w:val="center"/>
                </w:tcPr>
                <w:p w14:paraId="3D3B5E9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用于半成品分盘流转。</w:t>
                  </w:r>
                </w:p>
              </w:tc>
            </w:tr>
            <w:tr w14:paraId="482FF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5545873E">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1ACDC5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BC7124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履带式牵引机</w:t>
                  </w:r>
                </w:p>
              </w:tc>
              <w:tc>
                <w:tcPr>
                  <w:tcW w:w="1072" w:type="pct"/>
                  <w:shd w:val="clear" w:color="auto" w:fill="auto"/>
                  <w:vAlign w:val="center"/>
                </w:tcPr>
                <w:p w14:paraId="40A781C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QY-2500</w:t>
                  </w:r>
                </w:p>
              </w:tc>
              <w:tc>
                <w:tcPr>
                  <w:tcW w:w="515" w:type="pct"/>
                  <w:shd w:val="clear" w:color="auto" w:fill="auto"/>
                  <w:vAlign w:val="center"/>
                </w:tcPr>
                <w:p w14:paraId="06FA99CF">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10</w:t>
                  </w:r>
                </w:p>
              </w:tc>
              <w:tc>
                <w:tcPr>
                  <w:tcW w:w="1630" w:type="pct"/>
                  <w:shd w:val="clear" w:color="auto" w:fill="auto"/>
                  <w:vAlign w:val="center"/>
                </w:tcPr>
                <w:p w14:paraId="30EE649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配合各挤出及绞线工序。</w:t>
                  </w:r>
                </w:p>
              </w:tc>
            </w:tr>
            <w:tr w14:paraId="2F4B8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6CBF557">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22D4BD2">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E942C8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高频火花检测仪</w:t>
                  </w:r>
                </w:p>
              </w:tc>
              <w:tc>
                <w:tcPr>
                  <w:tcW w:w="1072" w:type="pct"/>
                  <w:shd w:val="clear" w:color="auto" w:fill="auto"/>
                  <w:vAlign w:val="center"/>
                </w:tcPr>
                <w:p w14:paraId="3296F7E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HS-15KV</w:t>
                  </w:r>
                </w:p>
              </w:tc>
              <w:tc>
                <w:tcPr>
                  <w:tcW w:w="515" w:type="pct"/>
                  <w:shd w:val="clear" w:color="auto" w:fill="auto"/>
                  <w:vAlign w:val="center"/>
                </w:tcPr>
                <w:p w14:paraId="69C1690E">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w:t>
                  </w:r>
                </w:p>
              </w:tc>
              <w:tc>
                <w:tcPr>
                  <w:tcW w:w="1630" w:type="pct"/>
                  <w:shd w:val="clear" w:color="auto" w:fill="auto"/>
                  <w:vAlign w:val="center"/>
                </w:tcPr>
                <w:p w14:paraId="49871F7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在线检测绝缘破损，自动报警停机。</w:t>
                  </w:r>
                </w:p>
              </w:tc>
            </w:tr>
            <w:tr w14:paraId="17B07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7A5BDD89">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4E32AC7">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8C52A8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工业冷水机组</w:t>
                  </w:r>
                </w:p>
              </w:tc>
              <w:tc>
                <w:tcPr>
                  <w:tcW w:w="1072" w:type="pct"/>
                  <w:shd w:val="clear" w:color="auto" w:fill="auto"/>
                  <w:vAlign w:val="center"/>
                </w:tcPr>
                <w:p w14:paraId="29D5904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LS-100HP</w:t>
                  </w:r>
                </w:p>
              </w:tc>
              <w:tc>
                <w:tcPr>
                  <w:tcW w:w="515" w:type="pct"/>
                  <w:shd w:val="clear" w:color="auto" w:fill="auto"/>
                  <w:vAlign w:val="center"/>
                </w:tcPr>
                <w:p w14:paraId="5B41C374">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w:t>
                  </w:r>
                </w:p>
              </w:tc>
              <w:tc>
                <w:tcPr>
                  <w:tcW w:w="1630" w:type="pct"/>
                  <w:shd w:val="clear" w:color="auto" w:fill="auto"/>
                  <w:vAlign w:val="center"/>
                </w:tcPr>
                <w:p w14:paraId="4B678AB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为挤出机水槽提供</w:t>
                  </w:r>
                  <w:r>
                    <w:rPr>
                      <w:rFonts w:hint="eastAsia"/>
                      <w:color w:val="000000" w:themeColor="text1"/>
                      <w:kern w:val="0"/>
                      <w:sz w:val="21"/>
                      <w:szCs w:val="21"/>
                      <w14:textFill>
                        <w14:solidFill>
                          <w14:schemeClr w14:val="tx1"/>
                        </w14:solidFill>
                      </w14:textFill>
                    </w:rPr>
                    <w:t>自来水用作</w:t>
                  </w:r>
                  <w:r>
                    <w:rPr>
                      <w:color w:val="000000" w:themeColor="text1"/>
                      <w:kern w:val="0"/>
                      <w:sz w:val="21"/>
                      <w:szCs w:val="21"/>
                      <w14:textFill>
                        <w14:solidFill>
                          <w14:schemeClr w14:val="tx1"/>
                        </w14:solidFill>
                      </w14:textFill>
                    </w:rPr>
                    <w:t>循环冷却水</w:t>
                  </w:r>
                  <w:r>
                    <w:rPr>
                      <w:rStyle w:val="19"/>
                      <w:rFonts w:hint="eastAsia"/>
                      <w:kern w:val="0"/>
                    </w:rPr>
                    <w:t>，</w:t>
                  </w:r>
                  <w:r>
                    <w:rPr>
                      <w:color w:val="000000" w:themeColor="text1"/>
                      <w:kern w:val="0"/>
                      <w:sz w:val="21"/>
                      <w:szCs w:val="21"/>
                      <w14:textFill>
                        <w14:solidFill>
                          <w14:schemeClr w14:val="tx1"/>
                        </w14:solidFill>
                      </w14:textFill>
                    </w:rPr>
                    <w:t>。</w:t>
                  </w:r>
                </w:p>
              </w:tc>
            </w:tr>
            <w:tr w14:paraId="6250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49B809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0D9C505">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BEA4F1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桥式起重机 (天车)</w:t>
                  </w:r>
                </w:p>
              </w:tc>
              <w:tc>
                <w:tcPr>
                  <w:tcW w:w="1072" w:type="pct"/>
                  <w:shd w:val="clear" w:color="auto" w:fill="auto"/>
                  <w:vAlign w:val="center"/>
                </w:tcPr>
                <w:p w14:paraId="11A79D1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16T/32T</w:t>
                  </w:r>
                </w:p>
              </w:tc>
              <w:tc>
                <w:tcPr>
                  <w:tcW w:w="515" w:type="pct"/>
                  <w:shd w:val="clear" w:color="auto" w:fill="auto"/>
                  <w:vAlign w:val="center"/>
                </w:tcPr>
                <w:p w14:paraId="62B40066">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1</w:t>
                  </w:r>
                </w:p>
              </w:tc>
              <w:tc>
                <w:tcPr>
                  <w:tcW w:w="1630" w:type="pct"/>
                  <w:shd w:val="clear" w:color="auto" w:fill="auto"/>
                  <w:vAlign w:val="center"/>
                </w:tcPr>
                <w:p w14:paraId="0B9539C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车间重物吊装。</w:t>
                  </w:r>
                </w:p>
              </w:tc>
            </w:tr>
            <w:tr w14:paraId="24AB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D806717">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96465A4">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9BF672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工艺周转盘具</w:t>
                  </w:r>
                </w:p>
              </w:tc>
              <w:tc>
                <w:tcPr>
                  <w:tcW w:w="1072" w:type="pct"/>
                  <w:shd w:val="clear" w:color="auto" w:fill="auto"/>
                  <w:vAlign w:val="center"/>
                </w:tcPr>
                <w:p w14:paraId="1ACFE79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PN800-2500</w:t>
                  </w:r>
                </w:p>
              </w:tc>
              <w:tc>
                <w:tcPr>
                  <w:tcW w:w="515" w:type="pct"/>
                  <w:shd w:val="clear" w:color="auto" w:fill="auto"/>
                  <w:vAlign w:val="center"/>
                </w:tcPr>
                <w:p w14:paraId="4CD36E05">
                  <w:pPr>
                    <w:jc w:val="center"/>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w:t>
                  </w:r>
                </w:p>
              </w:tc>
              <w:tc>
                <w:tcPr>
                  <w:tcW w:w="1630" w:type="pct"/>
                  <w:shd w:val="clear" w:color="auto" w:fill="auto"/>
                  <w:vAlign w:val="center"/>
                </w:tcPr>
                <w:p w14:paraId="22B6302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含铁盘、木盘及工序流转用具。</w:t>
                  </w:r>
                </w:p>
              </w:tc>
            </w:tr>
            <w:tr w14:paraId="3BBCC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14:paraId="6FE5BA67">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塑料制品生产区</w:t>
                  </w:r>
                </w:p>
              </w:tc>
              <w:tc>
                <w:tcPr>
                  <w:tcW w:w="517" w:type="pct"/>
                  <w:vMerge w:val="restart"/>
                  <w:shd w:val="clear" w:color="auto" w:fill="auto"/>
                  <w:vAlign w:val="center"/>
                </w:tcPr>
                <w:p w14:paraId="7D66A539">
                  <w:pPr>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塑料制品（PVC粒料，低烟无卤PE料）生产线</w:t>
                  </w:r>
                </w:p>
              </w:tc>
              <w:tc>
                <w:tcPr>
                  <w:tcW w:w="879" w:type="pct"/>
                  <w:shd w:val="clear" w:color="auto" w:fill="auto"/>
                  <w:vAlign w:val="center"/>
                </w:tcPr>
                <w:p w14:paraId="65DD71D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双螺杆造粒机组</w:t>
                  </w:r>
                </w:p>
              </w:tc>
              <w:tc>
                <w:tcPr>
                  <w:tcW w:w="1072" w:type="pct"/>
                  <w:shd w:val="clear" w:color="auto" w:fill="auto"/>
                  <w:vAlign w:val="center"/>
                </w:tcPr>
                <w:p w14:paraId="7B663CB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SHJ-75D</w:t>
                  </w:r>
                </w:p>
              </w:tc>
              <w:tc>
                <w:tcPr>
                  <w:tcW w:w="515" w:type="pct"/>
                  <w:shd w:val="clear" w:color="auto" w:fill="auto"/>
                  <w:vAlign w:val="center"/>
                </w:tcPr>
                <w:p w14:paraId="1C344E5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1DAE1DE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含高混机、主挤出机，全封闭作业。</w:t>
                  </w:r>
                </w:p>
              </w:tc>
            </w:tr>
            <w:tr w14:paraId="5D790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D9BAAFB">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B42773D">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4B87AF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水冷拉条切粒机组</w:t>
                  </w:r>
                </w:p>
              </w:tc>
              <w:tc>
                <w:tcPr>
                  <w:tcW w:w="1072" w:type="pct"/>
                  <w:shd w:val="clear" w:color="auto" w:fill="auto"/>
                  <w:vAlign w:val="center"/>
                </w:tcPr>
                <w:p w14:paraId="3452AE0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LQ-300</w:t>
                  </w:r>
                </w:p>
              </w:tc>
              <w:tc>
                <w:tcPr>
                  <w:tcW w:w="515" w:type="pct"/>
                  <w:shd w:val="clear" w:color="auto" w:fill="auto"/>
                  <w:vAlign w:val="center"/>
                </w:tcPr>
                <w:p w14:paraId="62EBEB6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0FB2E7F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配套静音切粒机，低噪设计。</w:t>
                  </w:r>
                </w:p>
              </w:tc>
            </w:tr>
            <w:tr w14:paraId="700F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AF5EDA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34EC572A">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E2D523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电缆料摇罐干燥机</w:t>
                  </w:r>
                </w:p>
              </w:tc>
              <w:tc>
                <w:tcPr>
                  <w:tcW w:w="1072" w:type="pct"/>
                  <w:shd w:val="clear" w:color="auto" w:fill="auto"/>
                  <w:vAlign w:val="center"/>
                </w:tcPr>
                <w:p w14:paraId="1BB858A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YG-2000</w:t>
                  </w:r>
                </w:p>
              </w:tc>
              <w:tc>
                <w:tcPr>
                  <w:tcW w:w="515" w:type="pct"/>
                  <w:shd w:val="clear" w:color="auto" w:fill="auto"/>
                  <w:vAlign w:val="center"/>
                </w:tcPr>
                <w:p w14:paraId="0A2DF9D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w:t>
                  </w:r>
                </w:p>
              </w:tc>
              <w:tc>
                <w:tcPr>
                  <w:tcW w:w="1630" w:type="pct"/>
                  <w:shd w:val="clear" w:color="auto" w:fill="auto"/>
                  <w:vAlign w:val="center"/>
                </w:tcPr>
                <w:p w14:paraId="20D6EB5A">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干燥时在密闭的夹层中通入蒸汽</w:t>
                  </w:r>
                  <w:r>
                    <w:rPr>
                      <w:rStyle w:val="19"/>
                      <w:kern w:val="0"/>
                    </w:rPr>
                    <w:t>干燥时间约5s</w:t>
                  </w:r>
                  <w:r>
                    <w:rPr>
                      <w:color w:val="000000" w:themeColor="text1"/>
                      <w:kern w:val="0"/>
                      <w:sz w:val="21"/>
                      <w:szCs w:val="21"/>
                      <w14:textFill>
                        <w14:solidFill>
                          <w14:schemeClr w14:val="tx1"/>
                        </w14:solidFill>
                      </w14:textFill>
                    </w:rPr>
                    <w:t>。</w:t>
                  </w:r>
                </w:p>
              </w:tc>
            </w:tr>
            <w:tr w14:paraId="0BE35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shd w:val="clear" w:color="auto" w:fill="auto"/>
                  <w:vAlign w:val="center"/>
                </w:tcPr>
                <w:p w14:paraId="5C8A17AA">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4D4F71C">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8EE0A9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不锈钢冷却塔</w:t>
                  </w:r>
                </w:p>
              </w:tc>
              <w:tc>
                <w:tcPr>
                  <w:tcW w:w="1072" w:type="pct"/>
                  <w:shd w:val="clear" w:color="auto" w:fill="auto"/>
                  <w:vAlign w:val="center"/>
                </w:tcPr>
                <w:p w14:paraId="5F193B9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100T</w:t>
                  </w:r>
                </w:p>
              </w:tc>
              <w:tc>
                <w:tcPr>
                  <w:tcW w:w="515" w:type="pct"/>
                  <w:shd w:val="clear" w:color="auto" w:fill="auto"/>
                  <w:vAlign w:val="center"/>
                </w:tcPr>
                <w:p w14:paraId="660EF52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p>
              </w:tc>
              <w:tc>
                <w:tcPr>
                  <w:tcW w:w="1630" w:type="pct"/>
                  <w:shd w:val="clear" w:color="auto" w:fill="auto"/>
                  <w:vAlign w:val="center"/>
                </w:tcPr>
                <w:p w14:paraId="66DEC97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采用水淋</w:t>
                  </w:r>
                  <w:r>
                    <w:rPr>
                      <w:color w:val="000000" w:themeColor="text1"/>
                      <w:kern w:val="0"/>
                      <w:sz w:val="21"/>
                      <w:szCs w:val="21"/>
                      <w14:textFill>
                        <w14:solidFill>
                          <w14:schemeClr w14:val="tx1"/>
                        </w14:solidFill>
                      </w14:textFill>
                    </w:rPr>
                    <w:t>冷却</w:t>
                  </w:r>
                  <w:r>
                    <w:rPr>
                      <w:rFonts w:hint="eastAsia"/>
                      <w:color w:val="000000" w:themeColor="text1"/>
                      <w:kern w:val="0"/>
                      <w:sz w:val="21"/>
                      <w:szCs w:val="21"/>
                      <w14:textFill>
                        <w14:solidFill>
                          <w14:schemeClr w14:val="tx1"/>
                        </w14:solidFill>
                      </w14:textFill>
                    </w:rPr>
                    <w:t>物料，冷却后的物料温度为60°C</w:t>
                  </w:r>
                  <w:r>
                    <w:rPr>
                      <w:color w:val="000000" w:themeColor="text1"/>
                      <w:kern w:val="0"/>
                      <w:sz w:val="21"/>
                      <w:szCs w:val="21"/>
                      <w14:textFill>
                        <w14:solidFill>
                          <w14:schemeClr w14:val="tx1"/>
                        </w14:solidFill>
                      </w14:textFill>
                    </w:rPr>
                    <w:t>。</w:t>
                  </w:r>
                </w:p>
              </w:tc>
            </w:tr>
            <w:tr w14:paraId="24A27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4AB7FED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1DB8F765">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ADCF82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自动称重打包系统</w:t>
                  </w:r>
                </w:p>
              </w:tc>
              <w:tc>
                <w:tcPr>
                  <w:tcW w:w="1072" w:type="pct"/>
                  <w:shd w:val="clear" w:color="auto" w:fill="auto"/>
                  <w:vAlign w:val="center"/>
                </w:tcPr>
                <w:p w14:paraId="0A29827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DBS-50</w:t>
                  </w:r>
                </w:p>
              </w:tc>
              <w:tc>
                <w:tcPr>
                  <w:tcW w:w="515" w:type="pct"/>
                  <w:shd w:val="clear" w:color="auto" w:fill="auto"/>
                  <w:vAlign w:val="center"/>
                </w:tcPr>
                <w:p w14:paraId="757F821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37ADE12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包含金属检测剔除功能。</w:t>
                  </w:r>
                </w:p>
              </w:tc>
            </w:tr>
            <w:tr w14:paraId="42019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restart"/>
                  <w:shd w:val="clear" w:color="auto" w:fill="auto"/>
                  <w:vAlign w:val="center"/>
                </w:tcPr>
                <w:p w14:paraId="1D734FA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研发车间（含检测中心）</w:t>
                  </w:r>
                </w:p>
              </w:tc>
              <w:tc>
                <w:tcPr>
                  <w:tcW w:w="517" w:type="pct"/>
                  <w:vMerge w:val="restart"/>
                  <w:shd w:val="clear" w:color="auto" w:fill="auto"/>
                  <w:vAlign w:val="center"/>
                </w:tcPr>
                <w:p w14:paraId="56ECBBE2">
                  <w:pPr>
                    <w:jc w:val="center"/>
                    <w:rPr>
                      <w:color w:val="000000" w:themeColor="text1"/>
                      <w:kern w:val="0"/>
                      <w:sz w:val="21"/>
                      <w:szCs w:val="21"/>
                      <w14:textFill>
                        <w14:solidFill>
                          <w14:schemeClr w14:val="tx1"/>
                        </w14:solidFill>
                      </w14:textFill>
                    </w:rPr>
                  </w:pPr>
                  <w:r>
                    <w:rPr>
                      <w:sz w:val="21"/>
                      <w:szCs w:val="21"/>
                    </w:rPr>
                    <w:t>检测研发设备</w:t>
                  </w:r>
                </w:p>
              </w:tc>
              <w:tc>
                <w:tcPr>
                  <w:tcW w:w="879" w:type="pct"/>
                  <w:shd w:val="clear" w:color="auto" w:fill="auto"/>
                  <w:vAlign w:val="center"/>
                </w:tcPr>
                <w:p w14:paraId="52F0A19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西克拉(SIKORA)在线测偏仪</w:t>
                  </w:r>
                </w:p>
              </w:tc>
              <w:tc>
                <w:tcPr>
                  <w:tcW w:w="1072" w:type="pct"/>
                  <w:shd w:val="clear" w:color="auto" w:fill="auto"/>
                  <w:vAlign w:val="center"/>
                </w:tcPr>
                <w:p w14:paraId="74752667">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4D4F2ED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630" w:type="pct"/>
                  <w:shd w:val="clear" w:color="auto" w:fill="auto"/>
                  <w:vAlign w:val="center"/>
                </w:tcPr>
                <w:p w14:paraId="71C5880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X射线原理，精确控制高压电缆几何尺寸。</w:t>
                  </w:r>
                </w:p>
              </w:tc>
            </w:tr>
            <w:tr w14:paraId="50861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86BEB0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C666BA4">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1527CB2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激光测径仪</w:t>
                  </w:r>
                </w:p>
              </w:tc>
              <w:tc>
                <w:tcPr>
                  <w:tcW w:w="1072" w:type="pct"/>
                  <w:shd w:val="clear" w:color="auto" w:fill="auto"/>
                  <w:vAlign w:val="center"/>
                </w:tcPr>
                <w:p w14:paraId="32A984A4">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2C52498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c>
                <w:tcPr>
                  <w:tcW w:w="1630" w:type="pct"/>
                  <w:shd w:val="clear" w:color="auto" w:fill="auto"/>
                  <w:vAlign w:val="center"/>
                </w:tcPr>
                <w:p w14:paraId="6BDB20C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实时监控外径。</w:t>
                  </w:r>
                </w:p>
              </w:tc>
            </w:tr>
            <w:tr w14:paraId="1651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17EF431">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2D9FFCB5">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6C042DB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局部放电耐压测试系统</w:t>
                  </w:r>
                </w:p>
              </w:tc>
              <w:tc>
                <w:tcPr>
                  <w:tcW w:w="1072" w:type="pct"/>
                  <w:shd w:val="clear" w:color="auto" w:fill="auto"/>
                  <w:vAlign w:val="center"/>
                </w:tcPr>
                <w:p w14:paraId="7759AAD3">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45FB647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630" w:type="pct"/>
                  <w:shd w:val="clear" w:color="auto" w:fill="auto"/>
                  <w:vAlign w:val="center"/>
                </w:tcPr>
                <w:p w14:paraId="58497D1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置于屏蔽室，背景噪声&lt;5pC。</w:t>
                  </w:r>
                </w:p>
              </w:tc>
            </w:tr>
            <w:tr w14:paraId="7D9DC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6265E87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C16468A">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4BDCD6A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直流高压发生器</w:t>
                  </w:r>
                </w:p>
              </w:tc>
              <w:tc>
                <w:tcPr>
                  <w:tcW w:w="1072" w:type="pct"/>
                  <w:shd w:val="clear" w:color="auto" w:fill="auto"/>
                  <w:vAlign w:val="center"/>
                </w:tcPr>
                <w:p w14:paraId="7222B7F3">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38F7E0D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1630" w:type="pct"/>
                  <w:shd w:val="clear" w:color="auto" w:fill="auto"/>
                  <w:vAlign w:val="center"/>
                </w:tcPr>
                <w:p w14:paraId="1879397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绝缘耐压测试。</w:t>
                  </w:r>
                </w:p>
              </w:tc>
            </w:tr>
            <w:tr w14:paraId="3C7B0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45B82E5">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6B86BC59">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59DB3EE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电子万能拉力试验机</w:t>
                  </w:r>
                </w:p>
              </w:tc>
              <w:tc>
                <w:tcPr>
                  <w:tcW w:w="1072" w:type="pct"/>
                  <w:shd w:val="clear" w:color="auto" w:fill="auto"/>
                  <w:vAlign w:val="center"/>
                </w:tcPr>
                <w:p w14:paraId="4B09847A">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472C249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w:t>
                  </w:r>
                </w:p>
              </w:tc>
              <w:tc>
                <w:tcPr>
                  <w:tcW w:w="1630" w:type="pct"/>
                  <w:shd w:val="clear" w:color="auto" w:fill="auto"/>
                  <w:vAlign w:val="center"/>
                </w:tcPr>
                <w:p w14:paraId="0385BB9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测定抗张强度。</w:t>
                  </w:r>
                </w:p>
              </w:tc>
            </w:tr>
            <w:tr w14:paraId="5808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1FE53CC">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7586D1ED">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F6905E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削片机</w:t>
                  </w:r>
                </w:p>
              </w:tc>
              <w:tc>
                <w:tcPr>
                  <w:tcW w:w="1072" w:type="pct"/>
                  <w:shd w:val="clear" w:color="auto" w:fill="auto"/>
                  <w:vAlign w:val="center"/>
                </w:tcPr>
                <w:p w14:paraId="6B14600F">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07B603E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c>
                <w:tcPr>
                  <w:tcW w:w="1630" w:type="pct"/>
                  <w:shd w:val="clear" w:color="auto" w:fill="auto"/>
                  <w:vAlign w:val="center"/>
                </w:tcPr>
                <w:p w14:paraId="6CC18B4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制备哑铃片试样。</w:t>
                  </w:r>
                </w:p>
              </w:tc>
            </w:tr>
            <w:tr w14:paraId="21F3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7E697E35">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01801BF">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D8C0A9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冲片机</w:t>
                  </w:r>
                </w:p>
              </w:tc>
              <w:tc>
                <w:tcPr>
                  <w:tcW w:w="1072" w:type="pct"/>
                  <w:shd w:val="clear" w:color="auto" w:fill="auto"/>
                  <w:vAlign w:val="center"/>
                </w:tcPr>
                <w:p w14:paraId="507F5950">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409221B6">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c>
                <w:tcPr>
                  <w:tcW w:w="1630" w:type="pct"/>
                  <w:shd w:val="clear" w:color="auto" w:fill="auto"/>
                  <w:vAlign w:val="center"/>
                </w:tcPr>
                <w:p w14:paraId="4124202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制备试样。</w:t>
                  </w:r>
                </w:p>
              </w:tc>
            </w:tr>
            <w:tr w14:paraId="31F74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54BEBC3F">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4096C9E6">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049AB29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热老化试验箱</w:t>
                  </w:r>
                </w:p>
              </w:tc>
              <w:tc>
                <w:tcPr>
                  <w:tcW w:w="1072" w:type="pct"/>
                  <w:shd w:val="clear" w:color="auto" w:fill="auto"/>
                  <w:vAlign w:val="center"/>
                </w:tcPr>
                <w:p w14:paraId="3DC1ECCC">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53A632D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c>
                <w:tcPr>
                  <w:tcW w:w="1630" w:type="pct"/>
                  <w:shd w:val="clear" w:color="auto" w:fill="auto"/>
                  <w:vAlign w:val="center"/>
                </w:tcPr>
                <w:p w14:paraId="29F8343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老化寿命测试。</w:t>
                  </w:r>
                </w:p>
              </w:tc>
            </w:tr>
            <w:tr w14:paraId="462A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0F75D4D7">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3EDAD673">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2F9B4A6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热延伸测试仪</w:t>
                  </w:r>
                </w:p>
              </w:tc>
              <w:tc>
                <w:tcPr>
                  <w:tcW w:w="1072" w:type="pct"/>
                  <w:shd w:val="clear" w:color="auto" w:fill="auto"/>
                  <w:vAlign w:val="center"/>
                </w:tcPr>
                <w:p w14:paraId="7382355F">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6546633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c>
                <w:tcPr>
                  <w:tcW w:w="1630" w:type="pct"/>
                  <w:shd w:val="clear" w:color="auto" w:fill="auto"/>
                  <w:vAlign w:val="center"/>
                </w:tcPr>
                <w:p w14:paraId="5858150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交联度测试。</w:t>
                  </w:r>
                </w:p>
              </w:tc>
            </w:tr>
            <w:tr w14:paraId="7AF9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C68BE06">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3B89CCD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68B0E1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氧指数测定仪</w:t>
                  </w:r>
                </w:p>
              </w:tc>
              <w:tc>
                <w:tcPr>
                  <w:tcW w:w="1072" w:type="pct"/>
                  <w:shd w:val="clear" w:color="auto" w:fill="auto"/>
                  <w:vAlign w:val="center"/>
                </w:tcPr>
                <w:p w14:paraId="0FA74B17">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1FF86B9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1630" w:type="pct"/>
                  <w:shd w:val="clear" w:color="auto" w:fill="auto"/>
                  <w:vAlign w:val="center"/>
                </w:tcPr>
                <w:p w14:paraId="1843C56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阻燃性能测试。</w:t>
                  </w:r>
                </w:p>
              </w:tc>
            </w:tr>
            <w:tr w14:paraId="491E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2F387457">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A314F13">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21CFF8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电缆截面投影仪</w:t>
                  </w:r>
                </w:p>
              </w:tc>
              <w:tc>
                <w:tcPr>
                  <w:tcW w:w="1072" w:type="pct"/>
                  <w:shd w:val="clear" w:color="auto" w:fill="auto"/>
                  <w:vAlign w:val="center"/>
                </w:tcPr>
                <w:p w14:paraId="5D8352E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120F592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71DD129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微观结构分析。</w:t>
                  </w:r>
                </w:p>
              </w:tc>
            </w:tr>
            <w:tr w14:paraId="2FF5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C5F9AA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07AD1E3E">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10EA79E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智能测量影像仪</w:t>
                  </w:r>
                </w:p>
              </w:tc>
              <w:tc>
                <w:tcPr>
                  <w:tcW w:w="1072" w:type="pct"/>
                  <w:shd w:val="clear" w:color="auto" w:fill="auto"/>
                  <w:vAlign w:val="center"/>
                </w:tcPr>
                <w:p w14:paraId="0E5384F6">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3520966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630" w:type="pct"/>
                  <w:shd w:val="clear" w:color="auto" w:fill="auto"/>
                  <w:vAlign w:val="center"/>
                </w:tcPr>
                <w:p w14:paraId="3E35C5E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尺寸测量。</w:t>
                  </w:r>
                </w:p>
              </w:tc>
            </w:tr>
            <w:tr w14:paraId="24161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C486262">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1986C3C0">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3E4EB91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绝缘电阻测试仪</w:t>
                  </w:r>
                </w:p>
              </w:tc>
              <w:tc>
                <w:tcPr>
                  <w:tcW w:w="1072" w:type="pct"/>
                  <w:shd w:val="clear" w:color="auto" w:fill="auto"/>
                  <w:vAlign w:val="center"/>
                </w:tcPr>
                <w:p w14:paraId="6D1F257B">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5EEDCB2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630" w:type="pct"/>
                  <w:shd w:val="clear" w:color="auto" w:fill="auto"/>
                  <w:vAlign w:val="center"/>
                </w:tcPr>
                <w:p w14:paraId="63969D1C">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r>
            <w:tr w14:paraId="19A6C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shd w:val="clear" w:color="auto" w:fill="auto"/>
                  <w:vAlign w:val="center"/>
                </w:tcPr>
                <w:p w14:paraId="1AF748FC">
                  <w:pPr>
                    <w:jc w:val="center"/>
                    <w:rPr>
                      <w:color w:val="000000" w:themeColor="text1"/>
                      <w:kern w:val="0"/>
                      <w:sz w:val="21"/>
                      <w:szCs w:val="21"/>
                      <w14:textFill>
                        <w14:solidFill>
                          <w14:schemeClr w14:val="tx1"/>
                        </w14:solidFill>
                      </w14:textFill>
                    </w:rPr>
                  </w:pPr>
                </w:p>
              </w:tc>
              <w:tc>
                <w:tcPr>
                  <w:tcW w:w="517" w:type="pct"/>
                  <w:vMerge w:val="continue"/>
                  <w:shd w:val="clear" w:color="auto" w:fill="auto"/>
                  <w:vAlign w:val="center"/>
                </w:tcPr>
                <w:p w14:paraId="4D0FABA8">
                  <w:pPr>
                    <w:jc w:val="center"/>
                    <w:rPr>
                      <w:color w:val="000000" w:themeColor="text1"/>
                      <w:kern w:val="0"/>
                      <w:sz w:val="21"/>
                      <w:szCs w:val="21"/>
                      <w14:textFill>
                        <w14:solidFill>
                          <w14:schemeClr w14:val="tx1"/>
                        </w14:solidFill>
                      </w14:textFill>
                    </w:rPr>
                  </w:pPr>
                </w:p>
              </w:tc>
              <w:tc>
                <w:tcPr>
                  <w:tcW w:w="879" w:type="pct"/>
                  <w:shd w:val="clear" w:color="auto" w:fill="auto"/>
                  <w:vAlign w:val="center"/>
                </w:tcPr>
                <w:p w14:paraId="75E437C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实验台及辅助仪器</w:t>
                  </w:r>
                </w:p>
              </w:tc>
              <w:tc>
                <w:tcPr>
                  <w:tcW w:w="1072" w:type="pct"/>
                  <w:shd w:val="clear" w:color="auto" w:fill="auto"/>
                  <w:vAlign w:val="center"/>
                </w:tcPr>
                <w:p w14:paraId="4F3DF07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5" w:type="pct"/>
                  <w:shd w:val="clear" w:color="auto" w:fill="auto"/>
                  <w:vAlign w:val="center"/>
                </w:tcPr>
                <w:p w14:paraId="163DFCC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19</w:t>
                  </w:r>
                </w:p>
              </w:tc>
              <w:tc>
                <w:tcPr>
                  <w:tcW w:w="1630" w:type="pct"/>
                  <w:shd w:val="clear" w:color="auto" w:fill="auto"/>
                  <w:vAlign w:val="center"/>
                </w:tcPr>
                <w:p w14:paraId="63178DC6">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r>
          </w:tbl>
          <w:p w14:paraId="2F418299">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6、原辅料及能源消耗</w:t>
            </w:r>
          </w:p>
          <w:p w14:paraId="7F3BFC06">
            <w:pPr>
              <w:pStyle w:val="25"/>
              <w:spacing w:before="0" w:beforeAutospacing="0" w:after="0" w:afterAutospacing="0" w:line="360" w:lineRule="auto"/>
              <w:ind w:firstLine="480" w:firstLineChars="200"/>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本项目原辅材料及能源消耗情况如下表所示：</w:t>
            </w:r>
          </w:p>
          <w:p w14:paraId="3B406738">
            <w:pPr>
              <w:pStyle w:val="25"/>
              <w:spacing w:before="0" w:beforeAutospacing="0" w:after="0" w:afterAutospacing="0" w:line="360" w:lineRule="auto"/>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表2-4  主要原辅材料及能源消耗一览表</w:t>
            </w:r>
          </w:p>
          <w:tbl>
            <w:tblPr>
              <w:tblStyle w:val="15"/>
              <w:tblW w:w="7940" w:type="dxa"/>
              <w:jc w:val="center"/>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Layout w:type="autofit"/>
              <w:tblCellMar>
                <w:top w:w="0" w:type="dxa"/>
                <w:left w:w="108" w:type="dxa"/>
                <w:bottom w:w="0" w:type="dxa"/>
                <w:right w:w="108" w:type="dxa"/>
              </w:tblCellMar>
            </w:tblPr>
            <w:tblGrid>
              <w:gridCol w:w="1133"/>
              <w:gridCol w:w="1223"/>
              <w:gridCol w:w="1447"/>
              <w:gridCol w:w="960"/>
              <w:gridCol w:w="874"/>
              <w:gridCol w:w="902"/>
              <w:gridCol w:w="1401"/>
            </w:tblGrid>
            <w:tr w14:paraId="10B92C48">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tblHeader/>
                <w:jc w:val="center"/>
              </w:trPr>
              <w:tc>
                <w:tcPr>
                  <w:tcW w:w="713" w:type="pct"/>
                  <w:shd w:val="clear" w:color="auto" w:fill="auto"/>
                  <w:vAlign w:val="center"/>
                </w:tcPr>
                <w:p w14:paraId="30C49EB2">
                  <w:pPr>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产品种类</w:t>
                  </w:r>
                </w:p>
              </w:tc>
              <w:tc>
                <w:tcPr>
                  <w:tcW w:w="770" w:type="pct"/>
                  <w:shd w:val="clear" w:color="auto" w:fill="auto"/>
                  <w:vAlign w:val="center"/>
                </w:tcPr>
                <w:p w14:paraId="0208D3DB">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物料名称</w:t>
                  </w:r>
                </w:p>
              </w:tc>
              <w:tc>
                <w:tcPr>
                  <w:tcW w:w="911" w:type="pct"/>
                  <w:shd w:val="clear" w:color="auto" w:fill="auto"/>
                  <w:vAlign w:val="center"/>
                </w:tcPr>
                <w:p w14:paraId="27B42D16">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规格/性状</w:t>
                  </w:r>
                </w:p>
              </w:tc>
              <w:tc>
                <w:tcPr>
                  <w:tcW w:w="604" w:type="pct"/>
                  <w:shd w:val="clear" w:color="auto" w:fill="auto"/>
                  <w:vAlign w:val="center"/>
                </w:tcPr>
                <w:p w14:paraId="46326522">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年消耗量</w:t>
                  </w:r>
                </w:p>
              </w:tc>
              <w:tc>
                <w:tcPr>
                  <w:tcW w:w="550" w:type="pct"/>
                  <w:shd w:val="clear" w:color="auto" w:fill="auto"/>
                  <w:vAlign w:val="center"/>
                </w:tcPr>
                <w:p w14:paraId="165EA66A">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包装/储存方式</w:t>
                  </w:r>
                </w:p>
              </w:tc>
              <w:tc>
                <w:tcPr>
                  <w:tcW w:w="568" w:type="pct"/>
                  <w:shd w:val="clear" w:color="auto" w:fill="auto"/>
                  <w:vAlign w:val="center"/>
                </w:tcPr>
                <w:p w14:paraId="4822FAE9">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最大在线/库存量</w:t>
                  </w:r>
                </w:p>
              </w:tc>
              <w:tc>
                <w:tcPr>
                  <w:tcW w:w="882" w:type="pct"/>
                  <w:shd w:val="clear" w:color="auto" w:fill="auto"/>
                  <w:vAlign w:val="center"/>
                </w:tcPr>
                <w:p w14:paraId="0100A4A6">
                  <w:pPr>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备注</w:t>
                  </w:r>
                </w:p>
              </w:tc>
            </w:tr>
            <w:tr w14:paraId="7CF2C4E2">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restart"/>
                  <w:shd w:val="clear" w:color="auto" w:fill="auto"/>
                  <w:vAlign w:val="center"/>
                </w:tcPr>
                <w:p w14:paraId="2AE46D92">
                  <w:pPr>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110kv</w:t>
                  </w:r>
                  <w:r>
                    <w:rPr>
                      <w:color w:val="000000" w:themeColor="text1"/>
                      <w:sz w:val="21"/>
                      <w:szCs w:val="21"/>
                      <w14:textFill>
                        <w14:solidFill>
                          <w14:schemeClr w14:val="tx1"/>
                        </w14:solidFill>
                      </w14:textFill>
                    </w:rPr>
                    <w:t>电缆</w:t>
                  </w:r>
                  <w:r>
                    <w:rPr>
                      <w:rFonts w:hint="eastAsia"/>
                      <w:color w:val="000000" w:themeColor="text1"/>
                      <w:sz w:val="21"/>
                      <w:szCs w:val="21"/>
                      <w14:textFill>
                        <w14:solidFill>
                          <w14:schemeClr w14:val="tx1"/>
                        </w14:solidFill>
                      </w14:textFill>
                    </w:rPr>
                    <w:t>、光伏电缆</w:t>
                  </w:r>
                </w:p>
              </w:tc>
              <w:tc>
                <w:tcPr>
                  <w:tcW w:w="770" w:type="pct"/>
                  <w:shd w:val="clear" w:color="auto" w:fill="auto"/>
                  <w:vAlign w:val="center"/>
                </w:tcPr>
                <w:p w14:paraId="184C4DD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铜杆</w:t>
                  </w:r>
                </w:p>
              </w:tc>
              <w:tc>
                <w:tcPr>
                  <w:tcW w:w="911" w:type="pct"/>
                  <w:shd w:val="clear" w:color="auto" w:fill="auto"/>
                  <w:vAlign w:val="center"/>
                </w:tcPr>
                <w:p w14:paraId="42534AD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T1无氧铜, Φ8mm</w:t>
                  </w:r>
                </w:p>
              </w:tc>
              <w:tc>
                <w:tcPr>
                  <w:tcW w:w="604" w:type="pct"/>
                  <w:shd w:val="clear" w:color="auto" w:fill="auto"/>
                  <w:vAlign w:val="center"/>
                </w:tcPr>
                <w:p w14:paraId="106A395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3000 吨</w:t>
                  </w:r>
                </w:p>
              </w:tc>
              <w:tc>
                <w:tcPr>
                  <w:tcW w:w="550" w:type="pct"/>
                  <w:shd w:val="clear" w:color="auto" w:fill="auto"/>
                  <w:vAlign w:val="center"/>
                </w:tcPr>
                <w:p w14:paraId="56266EB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散装/原料库</w:t>
                  </w:r>
                </w:p>
              </w:tc>
              <w:tc>
                <w:tcPr>
                  <w:tcW w:w="568" w:type="pct"/>
                  <w:shd w:val="clear" w:color="auto" w:fill="auto"/>
                  <w:vAlign w:val="center"/>
                </w:tcPr>
                <w:p w14:paraId="1B72071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 吨</w:t>
                  </w:r>
                </w:p>
              </w:tc>
              <w:tc>
                <w:tcPr>
                  <w:tcW w:w="882" w:type="pct"/>
                  <w:shd w:val="clear" w:color="auto" w:fill="auto"/>
                  <w:vAlign w:val="center"/>
                </w:tcPr>
                <w:p w14:paraId="0088034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市场采购</w:t>
                  </w:r>
                </w:p>
              </w:tc>
            </w:tr>
            <w:tr w14:paraId="26C680AC">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0878093E">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0007473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铝杆</w:t>
                  </w:r>
                </w:p>
              </w:tc>
              <w:tc>
                <w:tcPr>
                  <w:tcW w:w="911" w:type="pct"/>
                  <w:shd w:val="clear" w:color="auto" w:fill="auto"/>
                  <w:vAlign w:val="center"/>
                </w:tcPr>
                <w:p w14:paraId="3243216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电工圆铝杆, Φ9.5mm</w:t>
                  </w:r>
                </w:p>
              </w:tc>
              <w:tc>
                <w:tcPr>
                  <w:tcW w:w="604" w:type="pct"/>
                  <w:shd w:val="clear" w:color="auto" w:fill="auto"/>
                  <w:vAlign w:val="center"/>
                </w:tcPr>
                <w:p w14:paraId="546651C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1500 吨</w:t>
                  </w:r>
                </w:p>
              </w:tc>
              <w:tc>
                <w:tcPr>
                  <w:tcW w:w="550" w:type="pct"/>
                  <w:shd w:val="clear" w:color="auto" w:fill="auto"/>
                  <w:vAlign w:val="center"/>
                </w:tcPr>
                <w:p w14:paraId="745B239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散装/原料库</w:t>
                  </w:r>
                </w:p>
              </w:tc>
              <w:tc>
                <w:tcPr>
                  <w:tcW w:w="568" w:type="pct"/>
                  <w:shd w:val="clear" w:color="auto" w:fill="auto"/>
                  <w:vAlign w:val="center"/>
                </w:tcPr>
                <w:p w14:paraId="677146D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 吨</w:t>
                  </w:r>
                </w:p>
              </w:tc>
              <w:tc>
                <w:tcPr>
                  <w:tcW w:w="882" w:type="pct"/>
                  <w:shd w:val="clear" w:color="auto" w:fill="auto"/>
                  <w:vAlign w:val="center"/>
                </w:tcPr>
                <w:p w14:paraId="7FB6E6F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市场采购</w:t>
                  </w:r>
                </w:p>
              </w:tc>
            </w:tr>
            <w:tr w14:paraId="0CC9777D">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28430726">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2E760D4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镀锡铜丝</w:t>
                  </w:r>
                </w:p>
              </w:tc>
              <w:tc>
                <w:tcPr>
                  <w:tcW w:w="911" w:type="pct"/>
                  <w:shd w:val="clear" w:color="auto" w:fill="auto"/>
                  <w:vAlign w:val="center"/>
                </w:tcPr>
                <w:p w14:paraId="01E839C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Φ0.2-0.5mm</w:t>
                  </w:r>
                </w:p>
              </w:tc>
              <w:tc>
                <w:tcPr>
                  <w:tcW w:w="604" w:type="pct"/>
                  <w:shd w:val="clear" w:color="auto" w:fill="auto"/>
                  <w:vAlign w:val="center"/>
                </w:tcPr>
                <w:p w14:paraId="44FD711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 吨</w:t>
                  </w:r>
                </w:p>
              </w:tc>
              <w:tc>
                <w:tcPr>
                  <w:tcW w:w="550" w:type="pct"/>
                  <w:shd w:val="clear" w:color="auto" w:fill="auto"/>
                  <w:vAlign w:val="center"/>
                </w:tcPr>
                <w:p w14:paraId="49E86B7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轴装/辅料库</w:t>
                  </w:r>
                </w:p>
              </w:tc>
              <w:tc>
                <w:tcPr>
                  <w:tcW w:w="568" w:type="pct"/>
                  <w:shd w:val="clear" w:color="auto" w:fill="auto"/>
                  <w:vAlign w:val="center"/>
                </w:tcPr>
                <w:p w14:paraId="74701C4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 吨</w:t>
                  </w:r>
                </w:p>
              </w:tc>
              <w:tc>
                <w:tcPr>
                  <w:tcW w:w="882" w:type="pct"/>
                  <w:shd w:val="clear" w:color="auto" w:fill="auto"/>
                  <w:vAlign w:val="center"/>
                </w:tcPr>
                <w:p w14:paraId="0BF9E4C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光伏电缆用</w:t>
                  </w:r>
                </w:p>
              </w:tc>
            </w:tr>
            <w:tr w14:paraId="60EDDC27">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27F9B2CE">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314D4BC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钢带/铜带</w:t>
                  </w:r>
                </w:p>
              </w:tc>
              <w:tc>
                <w:tcPr>
                  <w:tcW w:w="911" w:type="pct"/>
                  <w:shd w:val="clear" w:color="auto" w:fill="auto"/>
                  <w:vAlign w:val="center"/>
                </w:tcPr>
                <w:p w14:paraId="7D5FC01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0.5×50mm 卷状</w:t>
                  </w:r>
                </w:p>
              </w:tc>
              <w:tc>
                <w:tcPr>
                  <w:tcW w:w="604" w:type="pct"/>
                  <w:shd w:val="clear" w:color="auto" w:fill="auto"/>
                  <w:vAlign w:val="center"/>
                </w:tcPr>
                <w:p w14:paraId="5D592D2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 吨</w:t>
                  </w:r>
                </w:p>
              </w:tc>
              <w:tc>
                <w:tcPr>
                  <w:tcW w:w="550" w:type="pct"/>
                  <w:shd w:val="clear" w:color="auto" w:fill="auto"/>
                  <w:vAlign w:val="center"/>
                </w:tcPr>
                <w:p w14:paraId="4126730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卷装/辅料库</w:t>
                  </w:r>
                </w:p>
              </w:tc>
              <w:tc>
                <w:tcPr>
                  <w:tcW w:w="568" w:type="pct"/>
                  <w:shd w:val="clear" w:color="auto" w:fill="auto"/>
                  <w:vAlign w:val="center"/>
                </w:tcPr>
                <w:p w14:paraId="7B16E9E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 吨</w:t>
                  </w:r>
                </w:p>
              </w:tc>
              <w:tc>
                <w:tcPr>
                  <w:tcW w:w="882" w:type="pct"/>
                  <w:shd w:val="clear" w:color="auto" w:fill="auto"/>
                  <w:vAlign w:val="center"/>
                </w:tcPr>
                <w:p w14:paraId="3917CBA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铠装/屏蔽用</w:t>
                  </w:r>
                </w:p>
              </w:tc>
            </w:tr>
            <w:tr w14:paraId="692F1AAD">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2023AD5F">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13BEC9E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XLPE绝缘料</w:t>
                  </w:r>
                </w:p>
              </w:tc>
              <w:tc>
                <w:tcPr>
                  <w:tcW w:w="911" w:type="pct"/>
                  <w:shd w:val="clear" w:color="auto" w:fill="auto"/>
                  <w:vAlign w:val="center"/>
                </w:tcPr>
                <w:p w14:paraId="1953E20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颗粒状</w:t>
                  </w:r>
                </w:p>
              </w:tc>
              <w:tc>
                <w:tcPr>
                  <w:tcW w:w="604" w:type="pct"/>
                  <w:shd w:val="clear" w:color="auto" w:fill="auto"/>
                  <w:vAlign w:val="center"/>
                </w:tcPr>
                <w:p w14:paraId="42131B3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2500 吨</w:t>
                  </w:r>
                </w:p>
              </w:tc>
              <w:tc>
                <w:tcPr>
                  <w:tcW w:w="550" w:type="pct"/>
                  <w:shd w:val="clear" w:color="auto" w:fill="auto"/>
                  <w:vAlign w:val="center"/>
                </w:tcPr>
                <w:p w14:paraId="720792F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25kg防潮袋</w:t>
                  </w:r>
                </w:p>
              </w:tc>
              <w:tc>
                <w:tcPr>
                  <w:tcW w:w="568" w:type="pct"/>
                  <w:shd w:val="clear" w:color="auto" w:fill="auto"/>
                  <w:vAlign w:val="center"/>
                </w:tcPr>
                <w:p w14:paraId="279E48A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 吨</w:t>
                  </w:r>
                </w:p>
              </w:tc>
              <w:tc>
                <w:tcPr>
                  <w:tcW w:w="882" w:type="pct"/>
                  <w:shd w:val="clear" w:color="auto" w:fill="auto"/>
                  <w:vAlign w:val="center"/>
                </w:tcPr>
                <w:p w14:paraId="7E56F62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110kV专用</w:t>
                  </w:r>
                </w:p>
              </w:tc>
            </w:tr>
            <w:tr w14:paraId="1075715F">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restart"/>
                  <w:shd w:val="clear" w:color="auto" w:fill="auto"/>
                  <w:vAlign w:val="center"/>
                </w:tcPr>
                <w:p w14:paraId="4F1F4247">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塑料制品</w:t>
                  </w:r>
                </w:p>
              </w:tc>
              <w:tc>
                <w:tcPr>
                  <w:tcW w:w="770" w:type="pct"/>
                  <w:shd w:val="clear" w:color="auto" w:fill="auto"/>
                  <w:vAlign w:val="center"/>
                </w:tcPr>
                <w:p w14:paraId="7D3E790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PVC/PE树脂粉</w:t>
                  </w:r>
                </w:p>
              </w:tc>
              <w:tc>
                <w:tcPr>
                  <w:tcW w:w="911" w:type="pct"/>
                  <w:shd w:val="clear" w:color="auto" w:fill="auto"/>
                  <w:vAlign w:val="center"/>
                </w:tcPr>
                <w:p w14:paraId="60B6F11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粉状</w:t>
                  </w:r>
                </w:p>
              </w:tc>
              <w:tc>
                <w:tcPr>
                  <w:tcW w:w="604" w:type="pct"/>
                  <w:shd w:val="clear" w:color="auto" w:fill="auto"/>
                  <w:vAlign w:val="center"/>
                </w:tcPr>
                <w:p w14:paraId="654AF11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6000 吨</w:t>
                  </w:r>
                </w:p>
              </w:tc>
              <w:tc>
                <w:tcPr>
                  <w:tcW w:w="550" w:type="pct"/>
                  <w:shd w:val="clear" w:color="auto" w:fill="auto"/>
                  <w:vAlign w:val="center"/>
                </w:tcPr>
                <w:p w14:paraId="070EF57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吨袋/筒仓</w:t>
                  </w:r>
                </w:p>
              </w:tc>
              <w:tc>
                <w:tcPr>
                  <w:tcW w:w="568" w:type="pct"/>
                  <w:shd w:val="clear" w:color="auto" w:fill="auto"/>
                  <w:vAlign w:val="center"/>
                </w:tcPr>
                <w:p w14:paraId="63EC8DD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300 吨</w:t>
                  </w:r>
                </w:p>
              </w:tc>
              <w:tc>
                <w:tcPr>
                  <w:tcW w:w="882" w:type="pct"/>
                  <w:shd w:val="clear" w:color="auto" w:fill="auto"/>
                  <w:vAlign w:val="center"/>
                </w:tcPr>
                <w:p w14:paraId="050AF56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造粒原料</w:t>
                  </w:r>
                  <w:r>
                    <w:rPr>
                      <w:rFonts w:hint="eastAsia"/>
                      <w:color w:val="000000" w:themeColor="text1"/>
                      <w:kern w:val="0"/>
                      <w:sz w:val="21"/>
                      <w:szCs w:val="21"/>
                      <w14:textFill>
                        <w14:solidFill>
                          <w14:schemeClr w14:val="tx1"/>
                        </w14:solidFill>
                      </w14:textFill>
                    </w:rPr>
                    <w:t>（新料）</w:t>
                  </w:r>
                </w:p>
              </w:tc>
            </w:tr>
            <w:tr w14:paraId="3AD4BA66">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048B1425">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66907F9E">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碳酸钙</w:t>
                  </w:r>
                </w:p>
              </w:tc>
              <w:tc>
                <w:tcPr>
                  <w:tcW w:w="911" w:type="pct"/>
                  <w:shd w:val="clear" w:color="auto" w:fill="auto"/>
                  <w:vAlign w:val="center"/>
                </w:tcPr>
                <w:p w14:paraId="507CC8BC">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粉状</w:t>
                  </w:r>
                </w:p>
              </w:tc>
              <w:tc>
                <w:tcPr>
                  <w:tcW w:w="604" w:type="pct"/>
                  <w:shd w:val="clear" w:color="auto" w:fill="auto"/>
                  <w:vAlign w:val="center"/>
                </w:tcPr>
                <w:p w14:paraId="5E2DA33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1500 吨</w:t>
                  </w:r>
                </w:p>
              </w:tc>
              <w:tc>
                <w:tcPr>
                  <w:tcW w:w="550" w:type="pct"/>
                  <w:shd w:val="clear" w:color="auto" w:fill="auto"/>
                  <w:vAlign w:val="center"/>
                </w:tcPr>
                <w:p w14:paraId="17DA994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袋装</w:t>
                  </w:r>
                </w:p>
              </w:tc>
              <w:tc>
                <w:tcPr>
                  <w:tcW w:w="568" w:type="pct"/>
                  <w:shd w:val="clear" w:color="auto" w:fill="auto"/>
                  <w:vAlign w:val="center"/>
                </w:tcPr>
                <w:p w14:paraId="3836B95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80 吨</w:t>
                  </w:r>
                </w:p>
              </w:tc>
              <w:tc>
                <w:tcPr>
                  <w:tcW w:w="882" w:type="pct"/>
                  <w:shd w:val="clear" w:color="auto" w:fill="auto"/>
                  <w:vAlign w:val="center"/>
                </w:tcPr>
                <w:p w14:paraId="26703CAF">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无毒无害</w:t>
                  </w:r>
                </w:p>
              </w:tc>
            </w:tr>
            <w:tr w14:paraId="090345F7">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restart"/>
                  <w:shd w:val="clear" w:color="auto" w:fill="auto"/>
                  <w:vAlign w:val="center"/>
                </w:tcPr>
                <w:p w14:paraId="0DFFB71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关键辅料</w:t>
                  </w:r>
                </w:p>
              </w:tc>
              <w:tc>
                <w:tcPr>
                  <w:tcW w:w="770" w:type="pct"/>
                  <w:shd w:val="clear" w:color="auto" w:fill="auto"/>
                  <w:vAlign w:val="center"/>
                </w:tcPr>
                <w:p w14:paraId="261EE31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无纺布/阻燃带</w:t>
                  </w:r>
                </w:p>
              </w:tc>
              <w:tc>
                <w:tcPr>
                  <w:tcW w:w="911" w:type="pct"/>
                  <w:shd w:val="clear" w:color="auto" w:fill="auto"/>
                  <w:vAlign w:val="center"/>
                </w:tcPr>
                <w:p w14:paraId="09FBA482">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绕包带</w:t>
                  </w:r>
                </w:p>
              </w:tc>
              <w:tc>
                <w:tcPr>
                  <w:tcW w:w="604" w:type="pct"/>
                  <w:shd w:val="clear" w:color="auto" w:fill="auto"/>
                  <w:vAlign w:val="center"/>
                </w:tcPr>
                <w:p w14:paraId="15E2C1F5">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 吨</w:t>
                  </w:r>
                </w:p>
              </w:tc>
              <w:tc>
                <w:tcPr>
                  <w:tcW w:w="550" w:type="pct"/>
                  <w:shd w:val="clear" w:color="auto" w:fill="auto"/>
                  <w:vAlign w:val="center"/>
                </w:tcPr>
                <w:p w14:paraId="3737865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纸箱</w:t>
                  </w:r>
                </w:p>
              </w:tc>
              <w:tc>
                <w:tcPr>
                  <w:tcW w:w="568" w:type="pct"/>
                  <w:shd w:val="clear" w:color="auto" w:fill="auto"/>
                  <w:vAlign w:val="center"/>
                </w:tcPr>
                <w:p w14:paraId="682A2D4B">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 吨</w:t>
                  </w:r>
                </w:p>
              </w:tc>
              <w:tc>
                <w:tcPr>
                  <w:tcW w:w="882" w:type="pct"/>
                  <w:shd w:val="clear" w:color="auto" w:fill="auto"/>
                  <w:vAlign w:val="center"/>
                </w:tcPr>
                <w:p w14:paraId="3518871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增加成缆圆整度</w:t>
                  </w:r>
                </w:p>
              </w:tc>
            </w:tr>
            <w:tr w14:paraId="65A2555E">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5D9FC894">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55DECA4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合成云母带</w:t>
                  </w:r>
                </w:p>
              </w:tc>
              <w:tc>
                <w:tcPr>
                  <w:tcW w:w="911" w:type="pct"/>
                  <w:shd w:val="clear" w:color="auto" w:fill="auto"/>
                  <w:vAlign w:val="center"/>
                </w:tcPr>
                <w:p w14:paraId="5F02F0F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耐火层</w:t>
                  </w:r>
                </w:p>
              </w:tc>
              <w:tc>
                <w:tcPr>
                  <w:tcW w:w="604" w:type="pct"/>
                  <w:shd w:val="clear" w:color="auto" w:fill="auto"/>
                  <w:vAlign w:val="center"/>
                </w:tcPr>
                <w:p w14:paraId="0EE21DA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30 吨</w:t>
                  </w:r>
                </w:p>
              </w:tc>
              <w:tc>
                <w:tcPr>
                  <w:tcW w:w="550" w:type="pct"/>
                  <w:shd w:val="clear" w:color="auto" w:fill="auto"/>
                  <w:vAlign w:val="center"/>
                </w:tcPr>
                <w:p w14:paraId="139849D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纸箱</w:t>
                  </w:r>
                </w:p>
              </w:tc>
              <w:tc>
                <w:tcPr>
                  <w:tcW w:w="568" w:type="pct"/>
                  <w:shd w:val="clear" w:color="auto" w:fill="auto"/>
                  <w:vAlign w:val="center"/>
                </w:tcPr>
                <w:p w14:paraId="5454889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 吨</w:t>
                  </w:r>
                </w:p>
              </w:tc>
              <w:tc>
                <w:tcPr>
                  <w:tcW w:w="882" w:type="pct"/>
                  <w:shd w:val="clear" w:color="auto" w:fill="auto"/>
                  <w:vAlign w:val="center"/>
                </w:tcPr>
                <w:p w14:paraId="4A096631">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铠装、绕包</w:t>
                  </w:r>
                  <w:r>
                    <w:rPr>
                      <w:color w:val="000000" w:themeColor="text1"/>
                      <w:kern w:val="0"/>
                      <w:sz w:val="21"/>
                      <w:szCs w:val="21"/>
                      <w14:textFill>
                        <w14:solidFill>
                          <w14:schemeClr w14:val="tx1"/>
                        </w14:solidFill>
                      </w14:textFill>
                    </w:rPr>
                    <w:t>用</w:t>
                  </w:r>
                </w:p>
              </w:tc>
            </w:tr>
            <w:tr w14:paraId="5753CC23">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1FB1E2BF">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06548CF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喷码油墨</w:t>
                  </w:r>
                </w:p>
              </w:tc>
              <w:tc>
                <w:tcPr>
                  <w:tcW w:w="911" w:type="pct"/>
                  <w:shd w:val="clear" w:color="auto" w:fill="auto"/>
                  <w:vAlign w:val="center"/>
                </w:tcPr>
                <w:p w14:paraId="74AF749A">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水性油墨</w:t>
                  </w:r>
                </w:p>
              </w:tc>
              <w:tc>
                <w:tcPr>
                  <w:tcW w:w="604" w:type="pct"/>
                  <w:shd w:val="clear" w:color="auto" w:fill="auto"/>
                  <w:vAlign w:val="center"/>
                </w:tcPr>
                <w:p w14:paraId="0A19389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0.8 吨</w:t>
                  </w:r>
                </w:p>
              </w:tc>
              <w:tc>
                <w:tcPr>
                  <w:tcW w:w="550" w:type="pct"/>
                  <w:shd w:val="clear" w:color="auto" w:fill="auto"/>
                  <w:vAlign w:val="center"/>
                </w:tcPr>
                <w:p w14:paraId="049D1AC8">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铁罐</w:t>
                  </w:r>
                </w:p>
              </w:tc>
              <w:tc>
                <w:tcPr>
                  <w:tcW w:w="568" w:type="pct"/>
                  <w:shd w:val="clear" w:color="auto" w:fill="auto"/>
                  <w:vAlign w:val="center"/>
                </w:tcPr>
                <w:p w14:paraId="1A190BED">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0.1 吨</w:t>
                  </w:r>
                </w:p>
              </w:tc>
              <w:tc>
                <w:tcPr>
                  <w:tcW w:w="882" w:type="pct"/>
                  <w:shd w:val="clear" w:color="auto" w:fill="auto"/>
                  <w:vAlign w:val="center"/>
                </w:tcPr>
                <w:p w14:paraId="4DEB4F7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市场采购</w:t>
                  </w:r>
                </w:p>
              </w:tc>
            </w:tr>
            <w:tr w14:paraId="64FD7BC9">
              <w:tblPrEx>
                <w:tblBorders>
                  <w:top w:val="single" w:color="1F1F1F" w:sz="4" w:space="0"/>
                  <w:left w:val="single" w:color="1F1F1F" w:sz="4" w:space="0"/>
                  <w:bottom w:val="single" w:color="1F1F1F" w:sz="4" w:space="0"/>
                  <w:right w:val="single" w:color="1F1F1F" w:sz="4" w:space="0"/>
                  <w:insideH w:val="single" w:color="1F1F1F" w:sz="4" w:space="0"/>
                  <w:insideV w:val="single" w:color="1F1F1F" w:sz="4" w:space="0"/>
                </w:tblBorders>
                <w:tblCellMar>
                  <w:top w:w="0" w:type="dxa"/>
                  <w:left w:w="108" w:type="dxa"/>
                  <w:bottom w:w="0" w:type="dxa"/>
                  <w:right w:w="108" w:type="dxa"/>
                </w:tblCellMar>
              </w:tblPrEx>
              <w:trPr>
                <w:jc w:val="center"/>
              </w:trPr>
              <w:tc>
                <w:tcPr>
                  <w:tcW w:w="713" w:type="pct"/>
                  <w:vMerge w:val="continue"/>
                  <w:shd w:val="clear" w:color="auto" w:fill="auto"/>
                  <w:vAlign w:val="center"/>
                </w:tcPr>
                <w:p w14:paraId="44CB40FE">
                  <w:pPr>
                    <w:jc w:val="center"/>
                    <w:rPr>
                      <w:color w:val="000000" w:themeColor="text1"/>
                      <w:kern w:val="0"/>
                      <w:sz w:val="21"/>
                      <w:szCs w:val="21"/>
                      <w14:textFill>
                        <w14:solidFill>
                          <w14:schemeClr w14:val="tx1"/>
                        </w14:solidFill>
                      </w14:textFill>
                    </w:rPr>
                  </w:pPr>
                </w:p>
              </w:tc>
              <w:tc>
                <w:tcPr>
                  <w:tcW w:w="770" w:type="pct"/>
                  <w:shd w:val="clear" w:color="auto" w:fill="auto"/>
                  <w:vAlign w:val="center"/>
                </w:tcPr>
                <w:p w14:paraId="448927CA">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润滑油/拉丝</w:t>
                  </w:r>
                  <w:r>
                    <w:rPr>
                      <w:rFonts w:hint="eastAsia"/>
                      <w:color w:val="000000" w:themeColor="text1"/>
                      <w:kern w:val="0"/>
                      <w:sz w:val="21"/>
                      <w:szCs w:val="21"/>
                      <w14:textFill>
                        <w14:solidFill>
                          <w14:schemeClr w14:val="tx1"/>
                        </w14:solidFill>
                      </w14:textFill>
                    </w:rPr>
                    <w:t>油</w:t>
                  </w:r>
                </w:p>
              </w:tc>
              <w:tc>
                <w:tcPr>
                  <w:tcW w:w="911" w:type="pct"/>
                  <w:shd w:val="clear" w:color="auto" w:fill="auto"/>
                  <w:vAlign w:val="center"/>
                </w:tcPr>
                <w:p w14:paraId="5CC85037">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液体</w:t>
                  </w:r>
                </w:p>
              </w:tc>
              <w:tc>
                <w:tcPr>
                  <w:tcW w:w="604" w:type="pct"/>
                  <w:shd w:val="clear" w:color="auto" w:fill="auto"/>
                  <w:vAlign w:val="center"/>
                </w:tcPr>
                <w:p w14:paraId="0BBA3409">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 吨</w:t>
                  </w:r>
                </w:p>
              </w:tc>
              <w:tc>
                <w:tcPr>
                  <w:tcW w:w="550" w:type="pct"/>
                  <w:shd w:val="clear" w:color="auto" w:fill="auto"/>
                  <w:vAlign w:val="center"/>
                </w:tcPr>
                <w:p w14:paraId="016AFFE3">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568" w:type="pct"/>
                  <w:shd w:val="clear" w:color="auto" w:fill="auto"/>
                  <w:vAlign w:val="center"/>
                </w:tcPr>
                <w:p w14:paraId="00E746F0">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 吨</w:t>
                  </w:r>
                </w:p>
              </w:tc>
              <w:tc>
                <w:tcPr>
                  <w:tcW w:w="882" w:type="pct"/>
                  <w:shd w:val="clear" w:color="auto" w:fill="auto"/>
                  <w:vAlign w:val="center"/>
                </w:tcPr>
                <w:p w14:paraId="439923C1">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循环使用</w:t>
                  </w:r>
                </w:p>
              </w:tc>
            </w:tr>
          </w:tbl>
          <w:p w14:paraId="6B82C959">
            <w:pPr>
              <w:spacing w:line="360" w:lineRule="auto"/>
              <w:ind w:firstLine="1928" w:firstLineChars="800"/>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表2-</w:t>
            </w:r>
            <w:r>
              <w:rPr>
                <w:rFonts w:hint="eastAsia"/>
                <w:b/>
                <w:color w:val="000000" w:themeColor="text1"/>
                <w:kern w:val="0"/>
                <w14:textFill>
                  <w14:solidFill>
                    <w14:schemeClr w14:val="tx1"/>
                  </w14:solidFill>
                </w14:textFill>
              </w:rPr>
              <w:t>5</w:t>
            </w:r>
            <w:r>
              <w:rPr>
                <w:b/>
                <w:color w:val="000000" w:themeColor="text1"/>
                <w:kern w:val="0"/>
                <w14:textFill>
                  <w14:solidFill>
                    <w14:schemeClr w14:val="tx1"/>
                  </w14:solidFill>
                </w14:textFill>
              </w:rPr>
              <w:t xml:space="preserve">  原辅材料理化性质一览表</w:t>
            </w:r>
          </w:p>
          <w:tbl>
            <w:tblPr>
              <w:tblStyle w:val="16"/>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452"/>
              <w:gridCol w:w="6271"/>
            </w:tblGrid>
            <w:tr w14:paraId="0227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pct"/>
                  <w:vAlign w:val="center"/>
                </w:tcPr>
                <w:p w14:paraId="13735ACA">
                  <w:pPr>
                    <w:autoSpaceDE w:val="0"/>
                    <w:autoSpaceDN w:val="0"/>
                    <w:adjustRightInd w:val="0"/>
                    <w:spacing w:before="100" w:beforeAutospacing="1"/>
                    <w:jc w:val="center"/>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序号</w:t>
                  </w:r>
                </w:p>
              </w:tc>
              <w:tc>
                <w:tcPr>
                  <w:tcW w:w="866" w:type="pct"/>
                  <w:vAlign w:val="center"/>
                </w:tcPr>
                <w:p w14:paraId="4B6EA9CF">
                  <w:pPr>
                    <w:autoSpaceDE w:val="0"/>
                    <w:autoSpaceDN w:val="0"/>
                    <w:adjustRightInd w:val="0"/>
                    <w:spacing w:before="100" w:beforeAutospacing="1"/>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名称</w:t>
                  </w:r>
                </w:p>
              </w:tc>
              <w:tc>
                <w:tcPr>
                  <w:tcW w:w="3741" w:type="pct"/>
                  <w:vAlign w:val="center"/>
                </w:tcPr>
                <w:p w14:paraId="6F754D67">
                  <w:pPr>
                    <w:autoSpaceDE w:val="0"/>
                    <w:autoSpaceDN w:val="0"/>
                    <w:adjustRightInd w:val="0"/>
                    <w:spacing w:before="100" w:beforeAutospacing="1"/>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理化特性</w:t>
                  </w:r>
                </w:p>
              </w:tc>
            </w:tr>
            <w:tr w14:paraId="545C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92" w:type="pct"/>
                  <w:vAlign w:val="center"/>
                </w:tcPr>
                <w:p w14:paraId="39FA0F22">
                  <w:pPr>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866" w:type="pct"/>
                  <w:vAlign w:val="center"/>
                </w:tcPr>
                <w:p w14:paraId="49236904">
                  <w:pPr>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XLPE绝缘料</w:t>
                  </w:r>
                  <w:r>
                    <w:rPr>
                      <w:rFonts w:hint="eastAsia"/>
                      <w:color w:val="000000" w:themeColor="text1"/>
                      <w:kern w:val="0"/>
                      <w:sz w:val="21"/>
                      <w:szCs w:val="21"/>
                      <w14:textFill>
                        <w14:solidFill>
                          <w14:schemeClr w14:val="tx1"/>
                        </w14:solidFill>
                      </w14:textFill>
                    </w:rPr>
                    <w:t>（交联聚乙烯）</w:t>
                  </w:r>
                </w:p>
              </w:tc>
              <w:tc>
                <w:tcPr>
                  <w:tcW w:w="3741" w:type="pct"/>
                  <w:vAlign w:val="center"/>
                </w:tcPr>
                <w:p w14:paraId="6E808AE1">
                  <w:pPr>
                    <w:jc w:val="left"/>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常缩写为PEX、XPE或XLPE，是具有交联键的聚乙烯的一种形式通过交联可以显着提高低温冲击强度、耐磨性和耐环境应力开裂性，而硬度和刚度会有所降低。与热塑性聚乙烯相比，PEX不会熔化（类似于弹性体）并且耐热。</w:t>
                  </w:r>
                </w:p>
              </w:tc>
            </w:tr>
            <w:tr w14:paraId="0C05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2" w:type="pct"/>
                  <w:vAlign w:val="center"/>
                </w:tcPr>
                <w:p w14:paraId="04F4746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866" w:type="pct"/>
                  <w:vAlign w:val="center"/>
                </w:tcPr>
                <w:p w14:paraId="312298A4">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PVC</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聚氯乙烯</w:t>
                  </w:r>
                  <w:r>
                    <w:rPr>
                      <w:rFonts w:hint="eastAsia"/>
                      <w:color w:val="000000" w:themeColor="text1"/>
                      <w:sz w:val="21"/>
                      <w:szCs w:val="21"/>
                      <w14:textFill>
                        <w14:solidFill>
                          <w14:schemeClr w14:val="tx1"/>
                        </w14:solidFill>
                      </w14:textFill>
                    </w:rPr>
                    <w:t>）</w:t>
                  </w:r>
                </w:p>
              </w:tc>
              <w:tc>
                <w:tcPr>
                  <w:tcW w:w="3741" w:type="pct"/>
                  <w:vAlign w:val="center"/>
                </w:tcPr>
                <w:p w14:paraId="1746A3C6">
                  <w:pPr>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聚氯乙烯对光、热稳定性较差。软化点为80℃，于130℃开始分解。在不加热稳定剂情况下，聚氯乙烯100℃时即开始分解，130℃以上分解更快。阳光中的紫外线和</w:t>
                  </w:r>
                  <w:r>
                    <w:rPr>
                      <w:rFonts w:hint="eastAsia"/>
                      <w:color w:val="000000" w:themeColor="text1"/>
                      <w:sz w:val="21"/>
                      <w:szCs w:val="21"/>
                      <w14:textFill>
                        <w14:solidFill>
                          <w14:schemeClr w14:val="tx1"/>
                        </w14:solidFill>
                      </w14:textFill>
                    </w:rPr>
                    <w:t>氧</w:t>
                  </w:r>
                  <w:r>
                    <w:rPr>
                      <w:color w:val="000000" w:themeColor="text1"/>
                      <w:sz w:val="21"/>
                      <w:szCs w:val="21"/>
                      <w14:textFill>
                        <w14:solidFill>
                          <w14:schemeClr w14:val="tx1"/>
                        </w14:solidFill>
                      </w14:textFill>
                    </w:rPr>
                    <w:t>会使</w:t>
                  </w:r>
                  <w:r>
                    <w:rPr>
                      <w:rFonts w:hint="eastAsia"/>
                      <w:color w:val="000000" w:themeColor="text1"/>
                      <w:sz w:val="21"/>
                      <w:szCs w:val="21"/>
                      <w14:textFill>
                        <w14:solidFill>
                          <w14:schemeClr w14:val="tx1"/>
                        </w14:solidFill>
                      </w14:textFill>
                    </w:rPr>
                    <w:t>其</w:t>
                  </w:r>
                  <w:r>
                    <w:rPr>
                      <w:color w:val="000000" w:themeColor="text1"/>
                      <w:sz w:val="21"/>
                      <w:szCs w:val="21"/>
                      <w14:textFill>
                        <w14:solidFill>
                          <w14:schemeClr w14:val="tx1"/>
                        </w14:solidFill>
                      </w14:textFill>
                    </w:rPr>
                    <w:t>发生光氧化分解，因而使聚氯乙烯的柔性下降，最后发脆。</w:t>
                  </w:r>
                </w:p>
              </w:tc>
            </w:tr>
            <w:tr w14:paraId="2C2DE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2" w:type="pct"/>
                  <w:vAlign w:val="center"/>
                </w:tcPr>
                <w:p w14:paraId="4C34534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866" w:type="pct"/>
                  <w:vAlign w:val="center"/>
                </w:tcPr>
                <w:p w14:paraId="0E6C2A3C">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PE</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聚乙烯</w:t>
                  </w:r>
                  <w:r>
                    <w:rPr>
                      <w:rFonts w:hint="eastAsia"/>
                      <w:color w:val="000000" w:themeColor="text1"/>
                      <w:sz w:val="21"/>
                      <w:szCs w:val="21"/>
                      <w14:textFill>
                        <w14:solidFill>
                          <w14:schemeClr w14:val="tx1"/>
                        </w14:solidFill>
                      </w14:textFill>
                    </w:rPr>
                    <w:t>）</w:t>
                  </w:r>
                </w:p>
              </w:tc>
              <w:tc>
                <w:tcPr>
                  <w:tcW w:w="3741" w:type="pct"/>
                  <w:vAlign w:val="center"/>
                </w:tcPr>
                <w:p w14:paraId="669CE5EF">
                  <w:pPr>
                    <w:jc w:val="lef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聚乙烯是乙烯经聚合制得的一种热塑性树脂。在工业上，也包括乙烯与少量 a-烯烃的共聚物。聚乙烯无臭，无毒，手感似蜡，具有优良的耐低温性能(最低使用温度可达-100~-70C)，化学稳定性好，能耐大多数酸碱的侵蚀(不耐具有氧化性质的酸)。常温下不溶于一般溶剂，吸水性小，电绝缘性优良。</w:t>
                  </w:r>
                </w:p>
              </w:tc>
            </w:tr>
            <w:tr w14:paraId="67CF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2" w:type="pct"/>
                  <w:vAlign w:val="center"/>
                </w:tcPr>
                <w:p w14:paraId="78EE9C4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866" w:type="pct"/>
                  <w:vAlign w:val="center"/>
                </w:tcPr>
                <w:p w14:paraId="74EEE7D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拉丝油</w:t>
                  </w:r>
                </w:p>
              </w:tc>
              <w:tc>
                <w:tcPr>
                  <w:tcW w:w="3741" w:type="pct"/>
                  <w:vAlign w:val="center"/>
                </w:tcPr>
                <w:p w14:paraId="0C425552">
                  <w:pPr>
                    <w:jc w:val="left"/>
                    <w:rPr>
                      <w:color w:val="000000" w:themeColor="text1"/>
                      <w:sz w:val="21"/>
                      <w:szCs w:val="21"/>
                      <w14:textFill>
                        <w14:solidFill>
                          <w14:schemeClr w14:val="tx1"/>
                        </w14:solidFill>
                      </w14:textFill>
                    </w:rPr>
                  </w:pPr>
                  <w:r>
                    <w:rPr>
                      <w:sz w:val="21"/>
                      <w:szCs w:val="21"/>
                    </w:rPr>
                    <w:t>透明匀相的液体，能与水形成稳定的乳化液，由基础油（30%）、司盘（20%）、NP-10（25）%、702（20%）、抗氧剂（1%）和清洗剂（4%）等物质组成。具有良好的冷却性、润滑性、清晰性、防锈性和热稳定剂等特点。</w:t>
                  </w:r>
                </w:p>
              </w:tc>
            </w:tr>
            <w:tr w14:paraId="204D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2" w:type="pct"/>
                  <w:vAlign w:val="center"/>
                </w:tcPr>
                <w:p w14:paraId="2A4FC23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866" w:type="pct"/>
                  <w:vAlign w:val="center"/>
                </w:tcPr>
                <w:p w14:paraId="50DB8A2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喷码油墨</w:t>
                  </w:r>
                </w:p>
              </w:tc>
              <w:tc>
                <w:tcPr>
                  <w:tcW w:w="3741" w:type="pct"/>
                  <w:vAlign w:val="center"/>
                </w:tcPr>
                <w:p w14:paraId="114F0A61">
                  <w:pPr>
                    <w:jc w:val="left"/>
                    <w:rPr>
                      <w:sz w:val="21"/>
                      <w:szCs w:val="21"/>
                    </w:rPr>
                  </w:pPr>
                  <w:r>
                    <w:rPr>
                      <w:rFonts w:hint="eastAsia"/>
                      <w:sz w:val="21"/>
                      <w:szCs w:val="21"/>
                    </w:rPr>
                    <w:t>水性油墨以去离子水为主要溶剂，含水性树脂、颜料及助剂，呈弱碱性，低粘度、流动性好，适配喷码机。具有快干、附着力强、耐磨耐水耐候等特点，不含重金属，VOC 极低、无闪点、安全环保，适用于 PVC、PE、低烟无卤等多种电缆护套喷印。挥发性有机化合物（VOCs）含量满足《油墨中可挥发性有机物（VOCs）含量的限值》（GB38507-2020）中“溶剂油墨—喷墨印刷油墨”的限值（≦95%）。</w:t>
                  </w:r>
                </w:p>
              </w:tc>
            </w:tr>
          </w:tbl>
          <w:p w14:paraId="665A64AB">
            <w:pPr>
              <w:spacing w:line="360" w:lineRule="auto"/>
              <w:rPr>
                <w:color w:val="000000" w:themeColor="text1"/>
                <w14:textFill>
                  <w14:solidFill>
                    <w14:schemeClr w14:val="tx1"/>
                  </w14:solidFill>
                </w14:textFill>
              </w:rPr>
            </w:pPr>
            <w:r>
              <w:rPr>
                <w:rFonts w:hint="eastAsia"/>
                <w:b/>
                <w:color w:val="000000" w:themeColor="text1"/>
                <w14:textFill>
                  <w14:solidFill>
                    <w14:schemeClr w14:val="tx1"/>
                  </w14:solidFill>
                </w14:textFill>
              </w:rPr>
              <w:t>7、</w:t>
            </w:r>
            <w:r>
              <w:rPr>
                <w:rFonts w:hint="eastAsia"/>
                <w:b/>
                <w:color w:val="000000" w:themeColor="text1"/>
                <w:kern w:val="0"/>
                <w14:textFill>
                  <w14:solidFill>
                    <w14:schemeClr w14:val="tx1"/>
                  </w14:solidFill>
                </w14:textFill>
              </w:rPr>
              <w:t>公用工程及辅助工程</w:t>
            </w:r>
          </w:p>
          <w:p w14:paraId="34D4DDFF">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（1）供水</w:t>
            </w:r>
          </w:p>
          <w:p w14:paraId="65554C5D">
            <w:pPr>
              <w:spacing w:line="360" w:lineRule="auto"/>
              <w:ind w:firstLine="480" w:firstLineChars="200"/>
              <w:jc w:val="left"/>
              <w:rPr>
                <w:rFonts w:eastAsiaTheme="minorEastAsia"/>
                <w:color w:val="000000" w:themeColor="text1"/>
                <w14:textFill>
                  <w14:solidFill>
                    <w14:schemeClr w14:val="tx1"/>
                  </w14:solidFill>
                </w14:textFill>
              </w:rPr>
            </w:pPr>
            <w:r>
              <w:rPr>
                <w:rFonts w:hint="eastAsia"/>
                <w:color w:val="000000" w:themeColor="text1"/>
                <w14:textFill>
                  <w14:solidFill>
                    <w14:schemeClr w14:val="tx1"/>
                  </w14:solidFill>
                </w14:textFill>
              </w:rPr>
              <w:t>项目用水依托经开区供水管网提供，年用水量为43</w:t>
            </w:r>
            <w:r>
              <w:rPr>
                <w:rFonts w:hint="eastAsia"/>
                <w:color w:val="000000" w:themeColor="text1"/>
                <w:lang w:val="en-US" w:eastAsia="zh-CN"/>
                <w14:textFill>
                  <w14:solidFill>
                    <w14:schemeClr w14:val="tx1"/>
                  </w14:solidFill>
                </w14:textFill>
              </w:rPr>
              <w:t>61.40</w:t>
            </w:r>
            <w:r>
              <w:rPr>
                <w:rFonts w:hint="eastAsia"/>
                <w:color w:val="000000" w:themeColor="text1"/>
                <w14:textFill>
                  <w14:solidFill>
                    <w14:schemeClr w14:val="tx1"/>
                  </w14:solidFill>
                </w14:textFill>
              </w:rPr>
              <w:t>t。</w:t>
            </w:r>
          </w:p>
          <w:p w14:paraId="145F65A1">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（2）生产用水</w:t>
            </w:r>
          </w:p>
          <w:p w14:paraId="2ACA7CCC">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根据清污分流、雨污分流的原则，厂区排水分为污水系统、雨水系统：</w:t>
            </w:r>
          </w:p>
          <w:p w14:paraId="35227780">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①雨水排水系统：厂区设置雨水切换阀，前15分钟初期雨水（可能携带路面油污）自动切入200m³初期雨水收集池，经沉淀处理后纳管。</w:t>
            </w:r>
          </w:p>
          <w:p w14:paraId="064F37BB">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②污水系统：本项目污水分为生活污水、循环冷却水，其中循环冷却水通过500m³循环水池冷却后循环使用，定期补充损耗，少量置换水外排。生活污水排放量为3168t/a，食堂含油废水经隔油池处理，厕所污水经化粪池处理，达到污水处理厂接管标准后，送淮南经济技术开发区污水处理厂集中处理。</w:t>
            </w:r>
          </w:p>
          <w:p w14:paraId="2819A653">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（3）供电：依托经开区供电电网，从淮南市经济开发区变电站引入一路10kV高压电源，采用电缆埋地敷设引入厂区高压配电室，满足生产要求。</w:t>
            </w:r>
          </w:p>
          <w:p w14:paraId="7B0E8A20">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8、水平衡分析</w:t>
            </w:r>
          </w:p>
          <w:p w14:paraId="77D5F4DE">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本项目水平衡情况见图2-1。</w:t>
            </w:r>
          </w:p>
          <w:p w14:paraId="661FE39B">
            <w:pPr>
              <w:spacing w:line="360" w:lineRule="auto"/>
              <w:ind w:left="480" w:left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项目用水为生产过程的循环冷却水补充用水、生活用水。</w:t>
            </w:r>
          </w:p>
          <w:p w14:paraId="706B8DFE">
            <w:pPr>
              <w:spacing w:line="360" w:lineRule="auto"/>
              <w:ind w:left="480" w:left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（1）循环冷却水补充用水</w:t>
            </w:r>
          </w:p>
          <w:p w14:paraId="69333D8F">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本项目挤绝缘、挤护套工序中需要水冷却。项目设计建设循环水池及高效冷却塔，冷却水经降温、过滤及软化处理后循环使用，循环量约为5m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/h，本次项目最大生产时间为7200 h，则年循环水量约为36000 t/a。冷却用水循环使用，存在一定量的蒸发损耗，根据《工业循环冷却水处理设计规范》(GB/T50050-2017)，循环冷却水系统排水损失水量应根据对循环水水质的要求计算确定，可按下式计算：</w:t>
            </w:r>
          </w:p>
          <w:p w14:paraId="109B9098">
            <w:pPr>
              <w:spacing w:line="360" w:lineRule="auto"/>
              <w:ind w:firstLine="480"/>
              <w:jc w:val="center"/>
              <w:rPr>
                <w:color w:val="000000"/>
                <w:kern w:val="0"/>
                <w:szCs w:val="21"/>
              </w:rPr>
            </w:pPr>
            <m:oMathPara>
              <m:oMath>
                <m:sSub>
                  <m:sSubPr>
                    <m:ctrlPr>
                      <w:rPr>
                        <w:rFonts w:ascii="Cambria Math" w:hAnsi="Cambria Math" w:eastAsia="Cambria Math"/>
                        <w:i/>
                        <w:color w:val="000000"/>
                        <w:kern w:val="0"/>
                        <w:szCs w:val="21"/>
                      </w:rPr>
                    </m:ctrlPr>
                  </m:sSubPr>
                  <m:e>
                    <m:r>
                      <m:rPr/>
                      <w:rPr>
                        <w:rFonts w:ascii="Cambria Math" w:hAnsi="Cambria Math" w:eastAsia="Cambria Math"/>
                        <w:color w:val="000000"/>
                        <w:kern w:val="0"/>
                        <w:szCs w:val="21"/>
                      </w:rPr>
                      <m:t>Q</m:t>
                    </m:r>
                    <m:ctrlPr>
                      <w:rPr>
                        <w:rFonts w:ascii="Cambria Math" w:hAnsi="Cambria Math" w:eastAsia="Cambria Math"/>
                        <w:i/>
                        <w:color w:val="000000"/>
                        <w:kern w:val="0"/>
                        <w:szCs w:val="21"/>
                      </w:rPr>
                    </m:ctrlPr>
                  </m:e>
                  <m:sub>
                    <m:r>
                      <m:rPr/>
                      <w:rPr>
                        <w:rFonts w:ascii="Cambria Math" w:hAnsi="Cambria Math" w:eastAsia="Cambria Math"/>
                        <w:color w:val="000000"/>
                        <w:kern w:val="0"/>
                        <w:szCs w:val="21"/>
                      </w:rPr>
                      <m:t>b</m:t>
                    </m:r>
                    <m:ctrlPr>
                      <w:rPr>
                        <w:rFonts w:ascii="Cambria Math" w:hAnsi="Cambria Math" w:eastAsia="Cambria Math"/>
                        <w:i/>
                        <w:color w:val="000000"/>
                        <w:kern w:val="0"/>
                        <w:szCs w:val="21"/>
                      </w:rPr>
                    </m:ctrlPr>
                  </m:sub>
                </m:sSub>
                <m:r>
                  <m:rPr>
                    <m:sty m:val="p"/>
                  </m:rPr>
                  <w:rPr>
                    <w:rFonts w:ascii="Cambria Math" w:hAnsi="Cambria Math" w:eastAsia="Cambria Math"/>
                    <w:color w:val="000000"/>
                    <w:kern w:val="0"/>
                    <w:szCs w:val="21"/>
                  </w:rPr>
                  <m:t>=</m:t>
                </m:r>
                <m:f>
                  <m:fPr>
                    <m:ctrlPr>
                      <w:rPr>
                        <w:rFonts w:ascii="Cambria Math" w:hAnsi="Cambria Math" w:eastAsia="Cambria Math"/>
                        <w:color w:val="000000"/>
                        <w:kern w:val="0"/>
                        <w:szCs w:val="21"/>
                      </w:rPr>
                    </m:ctrlPr>
                  </m:fPr>
                  <m:num>
                    <m:sSub>
                      <m:sSubPr>
                        <m:ctrlPr>
                          <w:rPr>
                            <w:rFonts w:ascii="Cambria Math" w:hAnsi="Cambria Math" w:eastAsia="Cambria Math"/>
                            <w:i/>
                            <w:color w:val="000000"/>
                            <w:kern w:val="0"/>
                            <w:szCs w:val="21"/>
                          </w:rPr>
                        </m:ctrlPr>
                      </m:sSubPr>
                      <m:e>
                        <m:r>
                          <m:rPr/>
                          <w:rPr>
                            <w:rFonts w:ascii="Cambria Math" w:hAnsi="Cambria Math" w:eastAsia="Cambria Math"/>
                            <w:color w:val="000000"/>
                            <w:kern w:val="0"/>
                            <w:szCs w:val="21"/>
                          </w:rPr>
                          <m:t>Q</m:t>
                        </m:r>
                        <m:ctrlPr>
                          <w:rPr>
                            <w:rFonts w:ascii="Cambria Math" w:hAnsi="Cambria Math" w:eastAsia="Cambria Math"/>
                            <w:i/>
                            <w:color w:val="000000"/>
                            <w:kern w:val="0"/>
                            <w:szCs w:val="21"/>
                          </w:rPr>
                        </m:ctrlPr>
                      </m:e>
                      <m:sub>
                        <m:r>
                          <m:rPr/>
                          <w:rPr>
                            <w:rFonts w:ascii="Cambria Math" w:hAnsi="Cambria Math" w:eastAsia="Cambria Math"/>
                            <w:color w:val="000000"/>
                            <w:kern w:val="0"/>
                            <w:szCs w:val="21"/>
                          </w:rPr>
                          <m:t>e</m:t>
                        </m:r>
                        <m:ctrlPr>
                          <w:rPr>
                            <w:rFonts w:ascii="Cambria Math" w:hAnsi="Cambria Math" w:eastAsia="Cambria Math"/>
                            <w:i/>
                            <w:color w:val="000000"/>
                            <w:kern w:val="0"/>
                            <w:szCs w:val="21"/>
                          </w:rPr>
                        </m:ctrlPr>
                      </m:sub>
                    </m:sSub>
                    <m:r>
                      <m:rPr>
                        <m:sty m:val="p"/>
                      </m:rPr>
                      <w:rPr>
                        <w:rFonts w:ascii="Cambria Math" w:hAnsi="Cambria Math" w:eastAsia="Cambria Math"/>
                        <w:color w:val="000000"/>
                        <w:kern w:val="0"/>
                        <w:szCs w:val="21"/>
                      </w:rPr>
                      <m:t>−</m:t>
                    </m:r>
                    <m:r>
                      <m:rPr>
                        <m:sty m:val="p"/>
                      </m:rPr>
                      <w:rPr>
                        <w:rFonts w:ascii="Cambria Math" w:hAnsi="Cambria Math"/>
                        <w:color w:val="000000"/>
                        <w:kern w:val="0"/>
                        <w:szCs w:val="21"/>
                      </w:rPr>
                      <m:t>（</m:t>
                    </m:r>
                    <m:r>
                      <m:rPr>
                        <m:sty m:val="p"/>
                      </m:rPr>
                      <w:rPr>
                        <w:rFonts w:ascii="Cambria Math" w:hAnsi="Cambria Math" w:eastAsia="Cambria Math"/>
                        <w:color w:val="000000"/>
                        <w:kern w:val="0"/>
                        <w:szCs w:val="21"/>
                      </w:rPr>
                      <m:t>n</m:t>
                    </m:r>
                    <m:r>
                      <m:rPr>
                        <m:sty m:val="p"/>
                      </m:rPr>
                      <w:rPr>
                        <w:rFonts w:ascii="Cambria Math" w:hAnsi="Cambria Math" w:eastAsia="微软雅黑"/>
                        <w:color w:val="000000"/>
                        <w:kern w:val="0"/>
                        <w:szCs w:val="21"/>
                      </w:rPr>
                      <m:t>−</m:t>
                    </m:r>
                    <m:r>
                      <m:rPr>
                        <m:sty m:val="p"/>
                      </m:rPr>
                      <w:rPr>
                        <w:rFonts w:ascii="Cambria Math" w:hAnsi="Cambria Math" w:eastAsia="Cambria Math"/>
                        <w:color w:val="000000"/>
                        <w:kern w:val="0"/>
                        <w:szCs w:val="21"/>
                      </w:rPr>
                      <m:t>1</m:t>
                    </m:r>
                    <m:r>
                      <m:rPr>
                        <m:sty m:val="p"/>
                      </m:rPr>
                      <w:rPr>
                        <w:rFonts w:ascii="Cambria Math" w:hAnsi="Cambria Math"/>
                        <w:color w:val="000000"/>
                        <w:kern w:val="0"/>
                        <w:szCs w:val="21"/>
                      </w:rPr>
                      <m:t>）</m:t>
                    </m:r>
                    <m:sSub>
                      <m:sSubPr>
                        <m:ctrlPr>
                          <w:rPr>
                            <w:rFonts w:ascii="Cambria Math" w:hAnsi="Cambria Math" w:eastAsia="Cambria Math"/>
                            <w:i/>
                            <w:color w:val="000000"/>
                            <w:kern w:val="0"/>
                            <w:szCs w:val="21"/>
                          </w:rPr>
                        </m:ctrlPr>
                      </m:sSubPr>
                      <m:e>
                        <m:r>
                          <m:rPr/>
                          <w:rPr>
                            <w:rFonts w:ascii="Cambria Math" w:hAnsi="Cambria Math" w:eastAsia="Cambria Math"/>
                            <w:color w:val="000000"/>
                            <w:kern w:val="0"/>
                            <w:szCs w:val="21"/>
                          </w:rPr>
                          <m:t>Q</m:t>
                        </m:r>
                        <m:ctrlPr>
                          <w:rPr>
                            <w:rFonts w:ascii="Cambria Math" w:hAnsi="Cambria Math" w:eastAsia="Cambria Math"/>
                            <w:i/>
                            <w:color w:val="000000"/>
                            <w:kern w:val="0"/>
                            <w:szCs w:val="21"/>
                          </w:rPr>
                        </m:ctrlPr>
                      </m:e>
                      <m:sub>
                        <m:r>
                          <m:rPr/>
                          <w:rPr>
                            <w:rFonts w:ascii="Cambria Math" w:hAnsi="Cambria Math"/>
                            <w:color w:val="000000"/>
                            <w:kern w:val="0"/>
                            <w:szCs w:val="21"/>
                          </w:rPr>
                          <m:t>w</m:t>
                        </m:r>
                        <m:ctrlPr>
                          <w:rPr>
                            <w:rFonts w:ascii="Cambria Math" w:hAnsi="Cambria Math" w:eastAsia="Cambria Math"/>
                            <w:i/>
                            <w:color w:val="000000"/>
                            <w:kern w:val="0"/>
                            <w:szCs w:val="21"/>
                          </w:rPr>
                        </m:ctrlPr>
                      </m:sub>
                    </m:sSub>
                    <m:ctrlPr>
                      <w:rPr>
                        <w:rFonts w:ascii="Cambria Math" w:hAnsi="Cambria Math" w:eastAsia="Cambria Math"/>
                        <w:color w:val="000000"/>
                        <w:kern w:val="0"/>
                        <w:szCs w:val="21"/>
                      </w:rPr>
                    </m:ctrlPr>
                  </m:num>
                  <m:den>
                    <m:r>
                      <m:rPr>
                        <m:sty m:val="p"/>
                      </m:rPr>
                      <w:rPr>
                        <w:rFonts w:ascii="Cambria Math" w:hAnsi="Cambria Math" w:eastAsia="Cambria Math"/>
                        <w:color w:val="000000"/>
                        <w:kern w:val="0"/>
                        <w:szCs w:val="21"/>
                      </w:rPr>
                      <m:t>n−1</m:t>
                    </m:r>
                    <m:ctrlPr>
                      <w:rPr>
                        <w:rFonts w:ascii="Cambria Math" w:hAnsi="Cambria Math" w:eastAsia="Cambria Math"/>
                        <w:color w:val="000000"/>
                        <w:kern w:val="0"/>
                        <w:szCs w:val="21"/>
                      </w:rPr>
                    </m:ctrlPr>
                  </m:den>
                </m:f>
              </m:oMath>
            </m:oMathPara>
          </w:p>
          <w:p w14:paraId="3B06C813">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式中：Qb——循环冷却水系统排水损失水量（m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w:t>
            </w:r>
          </w:p>
          <w:p w14:paraId="0E3644DE">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Qe——冷却塔蒸发损失水量（m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w:t>
            </w:r>
          </w:p>
          <w:p w14:paraId="52FCA275">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Qw——冷却塔风吹损失水量（m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w:t>
            </w:r>
          </w:p>
          <w:p w14:paraId="40F149FB">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n——循环水设计浓缩倍率</w:t>
            </w:r>
          </w:p>
          <w:p w14:paraId="03AFF61B">
            <w:pPr>
              <w:spacing w:line="360" w:lineRule="auto"/>
              <w:ind w:firstLine="480"/>
              <w:jc w:val="center"/>
              <w:rPr>
                <w:color w:val="000000"/>
                <w:kern w:val="0"/>
                <w:szCs w:val="21"/>
              </w:rPr>
            </w:pPr>
            <m:oMathPara>
              <m:oMath>
                <m:sSub>
                  <m:sSubPr>
                    <m:ctrlPr>
                      <w:rPr>
                        <w:rFonts w:ascii="Cambria Math" w:hAnsi="Cambria Math"/>
                        <w:i/>
                        <w:color w:val="000000"/>
                        <w:kern w:val="0"/>
                        <w:szCs w:val="21"/>
                      </w:rPr>
                    </m:ctrlPr>
                  </m:sSubPr>
                  <m:e>
                    <m:r>
                      <m:rPr/>
                      <w:rPr>
                        <w:rFonts w:ascii="Cambria Math" w:hAnsi="Cambria Math"/>
                        <w:color w:val="000000"/>
                        <w:kern w:val="0"/>
                        <w:szCs w:val="21"/>
                      </w:rPr>
                      <m:t>p</m:t>
                    </m:r>
                    <m:ctrlPr>
                      <w:rPr>
                        <w:rFonts w:ascii="Cambria Math" w:hAnsi="Cambria Math"/>
                        <w:i/>
                        <w:color w:val="000000"/>
                        <w:kern w:val="0"/>
                        <w:szCs w:val="21"/>
                      </w:rPr>
                    </m:ctrlPr>
                  </m:e>
                  <m:sub>
                    <m:r>
                      <m:rPr/>
                      <w:rPr>
                        <w:rFonts w:ascii="Cambria Math" w:hAnsi="Cambria Math"/>
                        <w:color w:val="000000"/>
                        <w:kern w:val="0"/>
                        <w:szCs w:val="21"/>
                      </w:rPr>
                      <m:t>e</m:t>
                    </m:r>
                    <m:ctrlPr>
                      <w:rPr>
                        <w:rFonts w:ascii="Cambria Math" w:hAnsi="Cambria Math"/>
                        <w:i/>
                        <w:color w:val="000000"/>
                        <w:kern w:val="0"/>
                        <w:szCs w:val="21"/>
                      </w:rPr>
                    </m:ctrlPr>
                  </m:sub>
                </m:sSub>
                <m:r>
                  <m:rPr/>
                  <w:rPr>
                    <w:rFonts w:ascii="Cambria Math" w:hAnsi="Cambria Math" w:eastAsia="Cambria Math"/>
                    <w:color w:val="000000"/>
                    <w:kern w:val="0"/>
                    <w:szCs w:val="21"/>
                  </w:rPr>
                  <m:t>=</m:t>
                </m:r>
                <m:sSub>
                  <m:sSubPr>
                    <m:ctrlPr>
                      <w:rPr>
                        <w:rFonts w:ascii="Cambria Math" w:hAnsi="Cambria Math" w:eastAsia="Cambria Math"/>
                        <w:color w:val="000000"/>
                        <w:kern w:val="0"/>
                        <w:szCs w:val="21"/>
                      </w:rPr>
                    </m:ctrlPr>
                  </m:sSubPr>
                  <m:e>
                    <m:r>
                      <m:rPr>
                        <m:sty m:val="p"/>
                      </m:rPr>
                      <w:rPr>
                        <w:rFonts w:ascii="Cambria Math" w:hAnsi="Cambria Math" w:eastAsia="Cambria Math"/>
                        <w:color w:val="000000"/>
                        <w:kern w:val="0"/>
                        <w:szCs w:val="21"/>
                      </w:rPr>
                      <m:t>K</m:t>
                    </m:r>
                    <m:ctrlPr>
                      <w:rPr>
                        <w:rFonts w:ascii="Cambria Math" w:hAnsi="Cambria Math" w:eastAsia="Cambria Math"/>
                        <w:color w:val="000000"/>
                        <w:kern w:val="0"/>
                        <w:szCs w:val="21"/>
                      </w:rPr>
                    </m:ctrlPr>
                  </m:e>
                  <m:sub>
                    <m:r>
                      <m:rPr/>
                      <w:rPr>
                        <w:rFonts w:ascii="Cambria Math" w:hAnsi="Cambria Math" w:eastAsia="Cambria Math"/>
                        <w:color w:val="000000"/>
                        <w:kern w:val="0"/>
                        <w:szCs w:val="21"/>
                      </w:rPr>
                      <m:t>zf</m:t>
                    </m:r>
                    <m:ctrlPr>
                      <w:rPr>
                        <w:rFonts w:ascii="Cambria Math" w:hAnsi="Cambria Math" w:eastAsia="Cambria Math"/>
                        <w:color w:val="000000"/>
                        <w:kern w:val="0"/>
                        <w:szCs w:val="21"/>
                      </w:rPr>
                    </m:ctrlPr>
                  </m:sub>
                </m:sSub>
                <m:r>
                  <m:rPr/>
                  <w:rPr>
                    <w:rFonts w:ascii="Cambria Math" w:hAnsi="Cambria Math" w:eastAsia="Cambria Math"/>
                    <w:color w:val="000000"/>
                    <w:kern w:val="0"/>
                    <w:szCs w:val="21"/>
                  </w:rPr>
                  <m:t>∗∆t×100%</m:t>
                </m:r>
              </m:oMath>
            </m:oMathPara>
          </w:p>
          <w:p w14:paraId="10812E12">
            <w:pPr>
              <w:spacing w:line="360" w:lineRule="auto"/>
              <w:jc w:val="center"/>
              <w:rPr>
                <w:color w:val="000000"/>
                <w:kern w:val="0"/>
                <w:szCs w:val="21"/>
              </w:rPr>
            </w:pPr>
            <m:oMathPara>
              <m:oMath>
                <m:sSub>
                  <m:sSubPr>
                    <m:ctrlPr>
                      <w:rPr>
                        <w:rFonts w:ascii="Cambria Math" w:hAnsi="Cambria Math"/>
                        <w:i/>
                        <w:color w:val="000000"/>
                        <w:kern w:val="0"/>
                        <w:szCs w:val="21"/>
                      </w:rPr>
                    </m:ctrlPr>
                  </m:sSubPr>
                  <m:e>
                    <m:r>
                      <m:rPr/>
                      <w:rPr>
                        <w:rFonts w:ascii="Cambria Math" w:hAnsi="Cambria Math"/>
                        <w:color w:val="000000"/>
                        <w:kern w:val="0"/>
                        <w:szCs w:val="21"/>
                      </w:rPr>
                      <m:t>Q</m:t>
                    </m:r>
                    <m:ctrlPr>
                      <w:rPr>
                        <w:rFonts w:ascii="Cambria Math" w:hAnsi="Cambria Math"/>
                        <w:i/>
                        <w:color w:val="000000"/>
                        <w:kern w:val="0"/>
                        <w:szCs w:val="21"/>
                      </w:rPr>
                    </m:ctrlPr>
                  </m:e>
                  <m:sub>
                    <m:r>
                      <m:rPr/>
                      <w:rPr>
                        <w:rFonts w:ascii="Cambria Math" w:hAnsi="Cambria Math"/>
                        <w:color w:val="000000"/>
                        <w:kern w:val="0"/>
                        <w:szCs w:val="21"/>
                      </w:rPr>
                      <m:t>e</m:t>
                    </m:r>
                    <m:ctrlPr>
                      <w:rPr>
                        <w:rFonts w:ascii="Cambria Math" w:hAnsi="Cambria Math"/>
                        <w:i/>
                        <w:color w:val="000000"/>
                        <w:kern w:val="0"/>
                        <w:szCs w:val="21"/>
                      </w:rPr>
                    </m:ctrlPr>
                  </m:sub>
                </m:sSub>
                <m:r>
                  <m:rPr/>
                  <w:rPr>
                    <w:rFonts w:ascii="Cambria Math" w:hAnsi="Cambria Math" w:eastAsia="Cambria Math"/>
                    <w:color w:val="000000"/>
                    <w:kern w:val="0"/>
                    <w:szCs w:val="21"/>
                  </w:rPr>
                  <m:t>=</m:t>
                </m:r>
                <m:sSub>
                  <m:sSubPr>
                    <m:ctrlPr>
                      <w:rPr>
                        <w:rFonts w:ascii="Cambria Math" w:hAnsi="Cambria Math"/>
                        <w:i/>
                        <w:color w:val="000000"/>
                        <w:kern w:val="0"/>
                        <w:szCs w:val="21"/>
                      </w:rPr>
                    </m:ctrlPr>
                  </m:sSubPr>
                  <m:e>
                    <m:r>
                      <m:rPr/>
                      <w:rPr>
                        <w:rFonts w:ascii="Cambria Math" w:hAnsi="Cambria Math"/>
                        <w:color w:val="000000"/>
                        <w:kern w:val="0"/>
                        <w:szCs w:val="21"/>
                      </w:rPr>
                      <m:t>p</m:t>
                    </m:r>
                    <m:ctrlPr>
                      <w:rPr>
                        <w:rFonts w:ascii="Cambria Math" w:hAnsi="Cambria Math"/>
                        <w:i/>
                        <w:color w:val="000000"/>
                        <w:kern w:val="0"/>
                        <w:szCs w:val="21"/>
                      </w:rPr>
                    </m:ctrlPr>
                  </m:e>
                  <m:sub>
                    <m:r>
                      <m:rPr/>
                      <w:rPr>
                        <w:rFonts w:ascii="Cambria Math" w:hAnsi="Cambria Math"/>
                        <w:color w:val="000000"/>
                        <w:kern w:val="0"/>
                        <w:szCs w:val="21"/>
                      </w:rPr>
                      <m:t>e</m:t>
                    </m:r>
                    <m:ctrlPr>
                      <w:rPr>
                        <w:rFonts w:ascii="Cambria Math" w:hAnsi="Cambria Math"/>
                        <w:i/>
                        <w:color w:val="000000"/>
                        <w:kern w:val="0"/>
                        <w:szCs w:val="21"/>
                      </w:rPr>
                    </m:ctrlPr>
                  </m:sub>
                </m:sSub>
                <m:r>
                  <m:rPr/>
                  <w:rPr>
                    <w:rFonts w:ascii="Cambria Math" w:hAnsi="Cambria Math" w:eastAsia="Cambria Math"/>
                    <w:color w:val="000000"/>
                    <w:kern w:val="0"/>
                    <w:szCs w:val="21"/>
                  </w:rPr>
                  <m:t>∗</m:t>
                </m:r>
                <m:sSub>
                  <m:sSubPr>
                    <m:ctrlPr>
                      <w:rPr>
                        <w:rFonts w:ascii="Cambria Math" w:hAnsi="Cambria Math" w:eastAsia="Cambria Math"/>
                        <w:i/>
                        <w:color w:val="000000"/>
                        <w:kern w:val="0"/>
                        <w:szCs w:val="21"/>
                      </w:rPr>
                    </m:ctrlPr>
                  </m:sSubPr>
                  <m:e>
                    <m:r>
                      <m:rPr/>
                      <w:rPr>
                        <w:rFonts w:ascii="Cambria Math" w:hAnsi="Cambria Math" w:eastAsia="Cambria Math"/>
                        <w:color w:val="000000"/>
                        <w:kern w:val="0"/>
                        <w:szCs w:val="21"/>
                      </w:rPr>
                      <m:t>Q</m:t>
                    </m:r>
                    <m:ctrlPr>
                      <w:rPr>
                        <w:rFonts w:ascii="Cambria Math" w:hAnsi="Cambria Math" w:eastAsia="Cambria Math"/>
                        <w:i/>
                        <w:color w:val="000000"/>
                        <w:kern w:val="0"/>
                        <w:szCs w:val="21"/>
                      </w:rPr>
                    </m:ctrlPr>
                  </m:e>
                  <m:sub>
                    <m:r>
                      <m:rPr/>
                      <w:rPr>
                        <w:rFonts w:ascii="Cambria Math" w:hAnsi="Cambria Math" w:eastAsia="Cambria Math"/>
                        <w:color w:val="000000"/>
                        <w:kern w:val="0"/>
                        <w:szCs w:val="21"/>
                      </w:rPr>
                      <m:t>h</m:t>
                    </m:r>
                    <m:ctrlPr>
                      <w:rPr>
                        <w:rFonts w:ascii="Cambria Math" w:hAnsi="Cambria Math" w:eastAsia="Cambria Math"/>
                        <w:i/>
                        <w:color w:val="000000"/>
                        <w:kern w:val="0"/>
                        <w:szCs w:val="21"/>
                      </w:rPr>
                    </m:ctrlPr>
                  </m:sub>
                </m:sSub>
              </m:oMath>
            </m:oMathPara>
          </w:p>
          <w:p w14:paraId="46D12E39">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式中：  Pe——蒸发损水率；</w:t>
            </w:r>
          </w:p>
          <w:p w14:paraId="61E717B2">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Kzf——系数（1/℃），按下表取值。</w:t>
            </w:r>
          </w:p>
          <w:p w14:paraId="79850371">
            <w:pPr>
              <w:widowControl/>
              <w:spacing w:line="36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w:t>
            </w:r>
            <w:r>
              <w:rPr>
                <w:rFonts w:hint="eastAsia"/>
                <w:b/>
                <w:color w:val="000000" w:themeColor="text1"/>
                <w:kern w:val="0"/>
                <w14:textFill>
                  <w14:solidFill>
                    <w14:schemeClr w14:val="tx1"/>
                  </w14:solidFill>
                </w14:textFill>
              </w:rPr>
              <w:t>2-6</w:t>
            </w:r>
            <w:r>
              <w:rPr>
                <w:b/>
                <w:color w:val="000000" w:themeColor="text1"/>
                <w:kern w:val="0"/>
                <w14:textFill>
                  <w14:solidFill>
                    <w14:schemeClr w14:val="tx1"/>
                  </w14:solidFill>
                </w14:textFill>
              </w:rPr>
              <w:t xml:space="preserve"> 系数Kzf取值</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035"/>
              <w:gridCol w:w="1140"/>
              <w:gridCol w:w="1181"/>
              <w:gridCol w:w="1181"/>
              <w:gridCol w:w="1102"/>
              <w:gridCol w:w="1102"/>
            </w:tblGrid>
            <w:tr w14:paraId="4BDE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7EE208F2">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进塔干球空气温度（℃）</w:t>
                  </w:r>
                </w:p>
              </w:tc>
              <w:tc>
                <w:tcPr>
                  <w:tcW w:w="1035" w:type="dxa"/>
                  <w:vAlign w:val="center"/>
                </w:tcPr>
                <w:p w14:paraId="407E38B4">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140" w:type="dxa"/>
                  <w:vAlign w:val="center"/>
                </w:tcPr>
                <w:p w14:paraId="455236EB">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p>
              </w:tc>
              <w:tc>
                <w:tcPr>
                  <w:tcW w:w="1181" w:type="dxa"/>
                  <w:vAlign w:val="center"/>
                </w:tcPr>
                <w:p w14:paraId="7E11B3ED">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181" w:type="dxa"/>
                  <w:vAlign w:val="center"/>
                </w:tcPr>
                <w:p w14:paraId="08309425">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102" w:type="dxa"/>
                  <w:vAlign w:val="center"/>
                </w:tcPr>
                <w:p w14:paraId="4AB00B75">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102" w:type="dxa"/>
                  <w:vAlign w:val="center"/>
                </w:tcPr>
                <w:p w14:paraId="5EB4744C">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r>
            <w:tr w14:paraId="3EFF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14:paraId="3191994E">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Kzf系数（1/℃）</w:t>
                  </w:r>
                </w:p>
              </w:tc>
              <w:tc>
                <w:tcPr>
                  <w:tcW w:w="1035" w:type="dxa"/>
                  <w:vAlign w:val="center"/>
                </w:tcPr>
                <w:p w14:paraId="39B3259F">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0.0008</w:t>
                  </w:r>
                </w:p>
              </w:tc>
              <w:tc>
                <w:tcPr>
                  <w:tcW w:w="1140" w:type="dxa"/>
                  <w:vAlign w:val="center"/>
                </w:tcPr>
                <w:p w14:paraId="28B707E6">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0.0010</w:t>
                  </w:r>
                </w:p>
              </w:tc>
              <w:tc>
                <w:tcPr>
                  <w:tcW w:w="1181" w:type="dxa"/>
                  <w:vAlign w:val="center"/>
                </w:tcPr>
                <w:p w14:paraId="10B6D2CE">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0.0012</w:t>
                  </w:r>
                </w:p>
              </w:tc>
              <w:tc>
                <w:tcPr>
                  <w:tcW w:w="1181" w:type="dxa"/>
                  <w:vAlign w:val="center"/>
                </w:tcPr>
                <w:p w14:paraId="50C1F0EB">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0.0014</w:t>
                  </w:r>
                </w:p>
              </w:tc>
              <w:tc>
                <w:tcPr>
                  <w:tcW w:w="1102" w:type="dxa"/>
                  <w:vAlign w:val="center"/>
                </w:tcPr>
                <w:p w14:paraId="3B44372C">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0.0015</w:t>
                  </w:r>
                </w:p>
              </w:tc>
              <w:tc>
                <w:tcPr>
                  <w:tcW w:w="1102" w:type="dxa"/>
                  <w:vAlign w:val="center"/>
                </w:tcPr>
                <w:p w14:paraId="4305579E">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0.0016</w:t>
                  </w:r>
                </w:p>
              </w:tc>
            </w:tr>
          </w:tbl>
          <w:p w14:paraId="5F04B67C">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冷却塔的吹损失水率，应按冷却塔的通风方式和收水器的逸出水率以及横向横穿越风从塔的进风口吹出的损失率确定，本项目进塔干球空气温度（℃）取30℃数值，温差取5℃，浓缩倍数取3.5，使用机械通风冷却塔，并配备有收水器，风吹损失水率取0.1%。</w:t>
            </w:r>
          </w:p>
          <w:p w14:paraId="52D98A56">
            <w:pPr>
              <w:widowControl/>
              <w:spacing w:line="36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w:t>
            </w:r>
            <w:r>
              <w:rPr>
                <w:rFonts w:hint="eastAsia"/>
                <w:b/>
                <w:color w:val="000000" w:themeColor="text1"/>
                <w:kern w:val="0"/>
                <w14:textFill>
                  <w14:solidFill>
                    <w14:schemeClr w14:val="tx1"/>
                  </w14:solidFill>
                </w14:textFill>
              </w:rPr>
              <w:t>2-7</w:t>
            </w:r>
            <w:r>
              <w:rPr>
                <w:b/>
                <w:color w:val="000000" w:themeColor="text1"/>
                <w:kern w:val="0"/>
                <w14:textFill>
                  <w14:solidFill>
                    <w14:schemeClr w14:val="tx1"/>
                  </w14:solidFill>
                </w14:textFill>
              </w:rPr>
              <w:t xml:space="preserve"> 风吹损失水率（%）</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2793"/>
              <w:gridCol w:w="2795"/>
            </w:tblGrid>
            <w:tr w14:paraId="4025E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E9CF688">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通风方式</w:t>
                  </w:r>
                </w:p>
              </w:tc>
              <w:tc>
                <w:tcPr>
                  <w:tcW w:w="1666" w:type="pct"/>
                </w:tcPr>
                <w:p w14:paraId="66AAB1D2">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机械通风冷却塔</w:t>
                  </w:r>
                </w:p>
              </w:tc>
              <w:tc>
                <w:tcPr>
                  <w:tcW w:w="1667" w:type="pct"/>
                </w:tcPr>
                <w:p w14:paraId="3D74AD37">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自然通风冷却塔</w:t>
                  </w:r>
                </w:p>
              </w:tc>
            </w:tr>
            <w:tr w14:paraId="1BB6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0A359E3B">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有收水器</w:t>
                  </w:r>
                </w:p>
              </w:tc>
              <w:tc>
                <w:tcPr>
                  <w:tcW w:w="1666" w:type="pct"/>
                  <w:shd w:val="clear" w:color="auto" w:fill="BFBFBF"/>
                </w:tcPr>
                <w:p w14:paraId="4604055D">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w:t>
                  </w:r>
                </w:p>
              </w:tc>
              <w:tc>
                <w:tcPr>
                  <w:tcW w:w="1667" w:type="pct"/>
                </w:tcPr>
                <w:p w14:paraId="234EA903">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r>
            <w:tr w14:paraId="4C20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48E37F82">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无收水器</w:t>
                  </w:r>
                </w:p>
              </w:tc>
              <w:tc>
                <w:tcPr>
                  <w:tcW w:w="1666" w:type="pct"/>
                </w:tcPr>
                <w:p w14:paraId="5A9F67A8">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1.20</w:t>
                  </w:r>
                </w:p>
              </w:tc>
              <w:tc>
                <w:tcPr>
                  <w:tcW w:w="1667" w:type="pct"/>
                </w:tcPr>
                <w:p w14:paraId="3058722C">
                  <w:pPr>
                    <w:widowControl/>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0.80</w:t>
                  </w:r>
                </w:p>
              </w:tc>
            </w:tr>
          </w:tbl>
          <w:p w14:paraId="455BBB28">
            <w:pPr>
              <w:widowControl/>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根据公式计算，本项目循环冷却水系统排水损失水量为0.01m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/h，年运行时间以7200小时计，则排放量为72 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/a（0.24m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/d）。循环冷却水系统补水量=Qe(损失蒸发水量）+ Qw（冷却塔风吹损失水量）+ Qb（循环冷却水系统排水损失水量）=0.0375 + 0.005 + 0.01 = 0.0525 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/h（1.26m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w:t>
            </w:r>
          </w:p>
          <w:p w14:paraId="6DCD938D">
            <w:pPr>
              <w:spacing w:line="360" w:lineRule="auto"/>
              <w:ind w:left="480" w:left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（2）生活用水</w:t>
            </w:r>
          </w:p>
          <w:p w14:paraId="02A28B0D">
            <w:pPr>
              <w:spacing w:line="360" w:lineRule="auto"/>
              <w:ind w:firstLine="480" w:firstLineChars="200"/>
              <w:jc w:val="left"/>
              <w:rPr>
                <w:rFonts w:hint="eastAsia"/>
                <w:bCs/>
                <w:color w:val="000000" w:themeColor="text1"/>
                <w14:textFill>
                  <w14:solidFill>
                    <w14:schemeClr w14:val="tx1"/>
                  </w14:solidFill>
                </w14:textFill>
              </w:rPr>
            </w:pPr>
            <w:r>
              <w:rPr>
                <w:rFonts w:hint="eastAsia"/>
                <w:bCs/>
                <w:color w:val="000000" w:themeColor="text1"/>
                <w14:textFill>
                  <w14:solidFill>
                    <w14:schemeClr w14:val="tx1"/>
                  </w14:solidFill>
                </w14:textFill>
              </w:rPr>
              <w:t>本项目劳动定员120人，年工作时间300天，设有食堂，根据《安徽省行业用水定额》(DB34/T679-2025)，员工生活用水按每人每天110L计，因此本项目生活用水量为13.2m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/d，3960m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/a，产污系数按照0.8计，则生活污水产生量为10.56m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/d，3168m</w:t>
            </w:r>
            <w:r>
              <w:rPr>
                <w:rFonts w:hint="eastAsia"/>
                <w:bCs/>
                <w:color w:val="000000" w:themeColor="text1"/>
                <w:vertAlign w:val="superscript"/>
                <w14:textFill>
                  <w14:solidFill>
                    <w14:schemeClr w14:val="tx1"/>
                  </w14:solidFill>
                </w14:textFill>
              </w:rPr>
              <w:t>3</w:t>
            </w:r>
            <w:r>
              <w:rPr>
                <w:rFonts w:hint="eastAsia"/>
                <w:bCs/>
                <w:color w:val="000000" w:themeColor="text1"/>
                <w14:textFill>
                  <w14:solidFill>
                    <w14:schemeClr w14:val="tx1"/>
                  </w14:solidFill>
                </w14:textFill>
              </w:rPr>
              <w:t>/a。</w:t>
            </w:r>
          </w:p>
          <w:p w14:paraId="6395DD57">
            <w:pPr>
              <w:spacing w:line="360" w:lineRule="auto"/>
              <w:ind w:firstLine="480" w:firstLineChars="200"/>
              <w:jc w:val="left"/>
              <w:rPr>
                <w:rFonts w:hint="eastAsia" w:eastAsia="宋体"/>
                <w:bCs/>
                <w:color w:val="000000" w:themeColor="text1"/>
                <w:lang w:eastAsia="zh-CN"/>
                <w14:textFill>
                  <w14:solidFill>
                    <w14:schemeClr w14:val="tx1"/>
                  </w14:solidFill>
                </w14:textFill>
              </w:rPr>
            </w:pPr>
            <w:r>
              <w:rPr>
                <w:rFonts w:hint="eastAsia"/>
                <w:bCs/>
                <w:color w:val="000000" w:themeColor="text1"/>
                <w:lang w:eastAsia="zh-CN"/>
                <w14:textFill>
                  <w14:solidFill>
                    <w14:schemeClr w14:val="tx1"/>
                  </w14:solidFill>
                </w14:textFill>
              </w:rPr>
              <w:t>（</w:t>
            </w:r>
            <w:r>
              <w:rPr>
                <w:rFonts w:hint="eastAsia"/>
                <w:bCs/>
                <w:color w:val="000000" w:themeColor="text1"/>
                <w:lang w:val="en-US" w:eastAsia="zh-CN"/>
                <w14:textFill>
                  <w14:solidFill>
                    <w14:schemeClr w14:val="tx1"/>
                  </w14:solidFill>
                </w14:textFill>
              </w:rPr>
              <w:t>3</w:t>
            </w:r>
            <w:r>
              <w:rPr>
                <w:rFonts w:hint="eastAsia"/>
                <w:bCs/>
                <w:color w:val="000000" w:themeColor="text1"/>
                <w:lang w:eastAsia="zh-CN"/>
                <w14:textFill>
                  <w14:solidFill>
                    <w14:schemeClr w14:val="tx1"/>
                  </w14:solidFill>
                </w14:textFill>
              </w:rPr>
              <w:t>）</w:t>
            </w:r>
            <w:r>
              <w:rPr>
                <w:rFonts w:hint="eastAsia"/>
                <w:bCs/>
                <w:color w:val="000000" w:themeColor="text1"/>
                <w14:textFill>
                  <w14:solidFill>
                    <w14:schemeClr w14:val="tx1"/>
                  </w14:solidFill>
                </w14:textFill>
              </w:rPr>
              <w:t>碱水喷淋塔给排水情况</w:t>
            </w:r>
          </w:p>
          <w:p w14:paraId="5E26091D">
            <w:pPr>
              <w:spacing w:line="360" w:lineRule="auto"/>
              <w:ind w:firstLine="480" w:firstLineChars="200"/>
              <w:rPr>
                <w:rFonts w:cs="Times New Roman"/>
                <w:color w:val="000000" w:themeColor="text1"/>
                <w:kern w:val="2"/>
                <w:sz w:val="24"/>
                <w:szCs w:val="24"/>
                <w14:textFill>
                  <w14:solidFill>
                    <w14:schemeClr w14:val="tx1"/>
                  </w14:solidFill>
                </w14:textFill>
              </w:rPr>
            </w:pPr>
            <w:r>
              <w:rPr>
                <w:rFonts w:cs="Times New Roman"/>
                <w:color w:val="000000" w:themeColor="text1"/>
                <w:kern w:val="2"/>
                <w:sz w:val="24"/>
                <w:szCs w:val="24"/>
                <w14:textFill>
                  <w14:solidFill>
                    <w14:schemeClr w14:val="tx1"/>
                  </w14:solidFill>
                </w14:textFill>
              </w:rPr>
              <w:t>为处理</w:t>
            </w:r>
            <w:r>
              <w:rPr>
                <w:rFonts w:hint="eastAsia" w:cs="Times New Roman"/>
                <w:color w:val="000000" w:themeColor="text1"/>
                <w:kern w:val="2"/>
                <w:sz w:val="24"/>
                <w:szCs w:val="24"/>
                <w:lang w:val="en-US" w:eastAsia="zh-CN"/>
                <w14:textFill>
                  <w14:solidFill>
                    <w14:schemeClr w14:val="tx1"/>
                  </w14:solidFill>
                </w14:textFill>
              </w:rPr>
              <w:t>聚氯乙烯</w:t>
            </w:r>
            <w:r>
              <w:rPr>
                <w:rFonts w:cs="Times New Roman"/>
                <w:color w:val="000000" w:themeColor="text1"/>
                <w:kern w:val="2"/>
                <w:sz w:val="24"/>
                <w:szCs w:val="24"/>
                <w14:textFill>
                  <w14:solidFill>
                    <w14:schemeClr w14:val="tx1"/>
                  </w14:solidFill>
                </w14:textFill>
              </w:rPr>
              <w:t>树脂</w:t>
            </w:r>
            <w:r>
              <w:rPr>
                <w:rFonts w:hint="eastAsia" w:cs="Times New Roman"/>
                <w:color w:val="000000" w:themeColor="text1"/>
                <w:kern w:val="2"/>
                <w:sz w:val="24"/>
                <w:szCs w:val="24"/>
                <w:lang w:val="en-US" w:eastAsia="zh-CN"/>
                <w14:textFill>
                  <w14:solidFill>
                    <w14:schemeClr w14:val="tx1"/>
                  </w14:solidFill>
                </w14:textFill>
              </w:rPr>
              <w:t>加工</w:t>
            </w:r>
            <w:r>
              <w:rPr>
                <w:rFonts w:cs="Times New Roman"/>
                <w:color w:val="000000" w:themeColor="text1"/>
                <w:kern w:val="2"/>
                <w:sz w:val="24"/>
                <w:szCs w:val="24"/>
                <w14:textFill>
                  <w14:solidFill>
                    <w14:schemeClr w14:val="tx1"/>
                  </w14:solidFill>
                </w14:textFill>
              </w:rPr>
              <w:t>生产产生的有机废气，设置了</w:t>
            </w:r>
            <w:r>
              <w:rPr>
                <w:rFonts w:hint="eastAsia" w:cs="Times New Roman"/>
                <w:color w:val="000000" w:themeColor="text1"/>
                <w:kern w:val="2"/>
                <w:sz w:val="24"/>
                <w:szCs w:val="24"/>
                <w:lang w:val="en-US" w:eastAsia="zh-CN"/>
                <w14:textFill>
                  <w14:solidFill>
                    <w14:schemeClr w14:val="tx1"/>
                  </w14:solidFill>
                </w14:textFill>
              </w:rPr>
              <w:t>4</w:t>
            </w:r>
            <w:r>
              <w:rPr>
                <w:rFonts w:cs="Times New Roman"/>
                <w:color w:val="000000" w:themeColor="text1"/>
                <w:kern w:val="2"/>
                <w:sz w:val="24"/>
                <w:szCs w:val="24"/>
                <w14:textFill>
                  <w14:solidFill>
                    <w14:schemeClr w14:val="tx1"/>
                  </w14:solidFill>
                </w14:textFill>
              </w:rPr>
              <w:t>套</w:t>
            </w:r>
            <w:r>
              <w:rPr>
                <w:rFonts w:hint="eastAsia" w:cs="Times New Roman"/>
                <w:color w:val="000000" w:themeColor="text1"/>
                <w:kern w:val="2"/>
                <w:sz w:val="24"/>
                <w:szCs w:val="24"/>
                <w:lang w:eastAsia="zh-CN"/>
                <w14:textFill>
                  <w14:solidFill>
                    <w14:schemeClr w14:val="tx1"/>
                  </w14:solidFill>
                </w14:textFill>
              </w:rPr>
              <w:t>“</w:t>
            </w:r>
            <w:r>
              <w:rPr>
                <w:rFonts w:hint="eastAsia" w:cs="Times New Roman"/>
                <w:b/>
                <w:color w:val="000000" w:themeColor="text1"/>
                <w:kern w:val="2"/>
                <w:sz w:val="24"/>
                <w:szCs w:val="24"/>
                <w14:textFill>
                  <w14:solidFill>
                    <w14:schemeClr w14:val="tx1"/>
                  </w14:solidFill>
                </w14:textFill>
              </w:rPr>
              <w:t>碱水喷淋塔+除雾+二级活性炭吸附装置”处理</w:t>
            </w:r>
            <w:r>
              <w:rPr>
                <w:rFonts w:cs="Times New Roman"/>
                <w:color w:val="000000" w:themeColor="text1"/>
                <w:kern w:val="2"/>
                <w:sz w:val="24"/>
                <w:szCs w:val="24"/>
                <w14:textFill>
                  <w14:solidFill>
                    <w14:schemeClr w14:val="tx1"/>
                  </w14:solidFill>
                </w14:textFill>
              </w:rPr>
              <w:t>，根据工程经验喷淋塔每两周换排一次水，设施详细设计参数详见下表。</w:t>
            </w:r>
          </w:p>
          <w:p w14:paraId="74388695">
            <w:pPr>
              <w:widowControl/>
              <w:spacing w:line="360" w:lineRule="auto"/>
              <w:jc w:val="center"/>
              <w:rPr>
                <w:rFonts w:cs="Times New Roman"/>
                <w:b/>
                <w:color w:val="000000" w:themeColor="text1"/>
                <w:kern w:val="0"/>
                <w14:textFill>
                  <w14:solidFill>
                    <w14:schemeClr w14:val="tx1"/>
                  </w14:solidFill>
                </w14:textFill>
              </w:rPr>
            </w:pPr>
            <w:r>
              <w:rPr>
                <w:rFonts w:cs="Times New Roman"/>
                <w:b/>
                <w:color w:val="000000" w:themeColor="text1"/>
                <w:kern w:val="0"/>
                <w14:textFill>
                  <w14:solidFill>
                    <w14:schemeClr w14:val="tx1"/>
                  </w14:solidFill>
                </w14:textFill>
              </w:rPr>
              <w:t>表</w:t>
            </w:r>
            <w:r>
              <w:rPr>
                <w:rFonts w:hint="eastAsia" w:cs="Times New Roman"/>
                <w:b/>
                <w:color w:val="000000" w:themeColor="text1"/>
                <w:kern w:val="0"/>
                <w:lang w:val="en-US" w:eastAsia="zh-CN"/>
                <w14:textFill>
                  <w14:solidFill>
                    <w14:schemeClr w14:val="tx1"/>
                  </w14:solidFill>
                </w14:textFill>
              </w:rPr>
              <w:t>2-8</w:t>
            </w:r>
            <w:r>
              <w:rPr>
                <w:rFonts w:cs="Times New Roman"/>
                <w:b/>
                <w:color w:val="000000" w:themeColor="text1"/>
                <w:kern w:val="0"/>
                <w14:textFill>
                  <w14:solidFill>
                    <w14:schemeClr w14:val="tx1"/>
                  </w14:solidFill>
                </w14:textFill>
              </w:rPr>
              <w:t xml:space="preserve"> 环保喷淋塔设备尺寸及给排水情况统计</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0"/>
              <w:gridCol w:w="1527"/>
              <w:gridCol w:w="2816"/>
              <w:gridCol w:w="1026"/>
              <w:gridCol w:w="1029"/>
              <w:gridCol w:w="1029"/>
            </w:tblGrid>
            <w:tr w14:paraId="5030D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14:paraId="28C21F21">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所在车间</w:t>
                  </w:r>
                </w:p>
              </w:tc>
              <w:tc>
                <w:tcPr>
                  <w:tcW w:w="911" w:type="pct"/>
                  <w:vAlign w:val="center"/>
                </w:tcPr>
                <w:p w14:paraId="3A310982">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设备名称</w:t>
                  </w:r>
                </w:p>
              </w:tc>
              <w:tc>
                <w:tcPr>
                  <w:tcW w:w="1680" w:type="pct"/>
                  <w:vAlign w:val="center"/>
                </w:tcPr>
                <w:p w14:paraId="064695E0">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设备尺寸</w:t>
                  </w:r>
                </w:p>
              </w:tc>
              <w:tc>
                <w:tcPr>
                  <w:tcW w:w="612" w:type="pct"/>
                  <w:vAlign w:val="center"/>
                </w:tcPr>
                <w:p w14:paraId="5CF05717">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给水m</w:t>
                  </w:r>
                  <w:r>
                    <w:rPr>
                      <w:rFonts w:cs="Times New Roman"/>
                      <w:b/>
                      <w:color w:val="000000" w:themeColor="text1"/>
                      <w:vertAlign w:val="superscript"/>
                      <w14:textFill>
                        <w14:solidFill>
                          <w14:schemeClr w14:val="tx1"/>
                        </w14:solidFill>
                      </w14:textFill>
                    </w:rPr>
                    <w:t>3</w:t>
                  </w:r>
                  <w:r>
                    <w:rPr>
                      <w:rFonts w:cs="Times New Roman"/>
                      <w:b/>
                      <w:color w:val="000000" w:themeColor="text1"/>
                      <w14:textFill>
                        <w14:solidFill>
                          <w14:schemeClr w14:val="tx1"/>
                        </w14:solidFill>
                      </w14:textFill>
                    </w:rPr>
                    <w:t>/a</w:t>
                  </w:r>
                </w:p>
              </w:tc>
              <w:tc>
                <w:tcPr>
                  <w:tcW w:w="614" w:type="pct"/>
                  <w:vAlign w:val="center"/>
                </w:tcPr>
                <w:p w14:paraId="0B49E759">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损耗量</w:t>
                  </w:r>
                </w:p>
                <w:p w14:paraId="2D3CFA94">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m</w:t>
                  </w:r>
                  <w:r>
                    <w:rPr>
                      <w:rFonts w:cs="Times New Roman"/>
                      <w:b/>
                      <w:color w:val="000000" w:themeColor="text1"/>
                      <w:vertAlign w:val="superscript"/>
                      <w14:textFill>
                        <w14:solidFill>
                          <w14:schemeClr w14:val="tx1"/>
                        </w14:solidFill>
                      </w14:textFill>
                    </w:rPr>
                    <w:t>3</w:t>
                  </w:r>
                  <w:r>
                    <w:rPr>
                      <w:rFonts w:cs="Times New Roman"/>
                      <w:b/>
                      <w:color w:val="000000" w:themeColor="text1"/>
                      <w14:textFill>
                        <w14:solidFill>
                          <w14:schemeClr w14:val="tx1"/>
                        </w14:solidFill>
                      </w14:textFill>
                    </w:rPr>
                    <w:t>/a</w:t>
                  </w:r>
                </w:p>
              </w:tc>
              <w:tc>
                <w:tcPr>
                  <w:tcW w:w="614" w:type="pct"/>
                  <w:vAlign w:val="center"/>
                </w:tcPr>
                <w:p w14:paraId="1765D0EA">
                  <w:pPr>
                    <w:jc w:val="center"/>
                    <w:rPr>
                      <w:rFonts w:cs="Times New Roman"/>
                      <w:b/>
                      <w:color w:val="000000" w:themeColor="text1"/>
                      <w14:textFill>
                        <w14:solidFill>
                          <w14:schemeClr w14:val="tx1"/>
                        </w14:solidFill>
                      </w14:textFill>
                    </w:rPr>
                  </w:pPr>
                  <w:r>
                    <w:rPr>
                      <w:rFonts w:cs="Times New Roman"/>
                      <w:b/>
                      <w:color w:val="000000" w:themeColor="text1"/>
                      <w14:textFill>
                        <w14:solidFill>
                          <w14:schemeClr w14:val="tx1"/>
                        </w14:solidFill>
                      </w14:textFill>
                    </w:rPr>
                    <w:t>排水m</w:t>
                  </w:r>
                  <w:r>
                    <w:rPr>
                      <w:rFonts w:cs="Times New Roman"/>
                      <w:b/>
                      <w:color w:val="000000" w:themeColor="text1"/>
                      <w:vertAlign w:val="superscript"/>
                      <w14:textFill>
                        <w14:solidFill>
                          <w14:schemeClr w14:val="tx1"/>
                        </w14:solidFill>
                      </w14:textFill>
                    </w:rPr>
                    <w:t>3</w:t>
                  </w:r>
                  <w:r>
                    <w:rPr>
                      <w:rFonts w:cs="Times New Roman"/>
                      <w:b/>
                      <w:color w:val="000000" w:themeColor="text1"/>
                      <w14:textFill>
                        <w14:solidFill>
                          <w14:schemeClr w14:val="tx1"/>
                        </w14:solidFill>
                      </w14:textFill>
                    </w:rPr>
                    <w:t>/a</w:t>
                  </w:r>
                </w:p>
              </w:tc>
            </w:tr>
            <w:tr w14:paraId="2AAE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567" w:type="pct"/>
                  <w:vAlign w:val="center"/>
                </w:tcPr>
                <w:p w14:paraId="7440DD90">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生产车间</w:t>
                  </w:r>
                </w:p>
              </w:tc>
              <w:tc>
                <w:tcPr>
                  <w:tcW w:w="911" w:type="pct"/>
                  <w:vAlign w:val="center"/>
                </w:tcPr>
                <w:p w14:paraId="7780D27F">
                  <w:pPr>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碱</w:t>
                  </w:r>
                  <w:r>
                    <w:rPr>
                      <w:rFonts w:hint="eastAsia" w:cs="Times New Roman"/>
                      <w:color w:val="000000" w:themeColor="text1"/>
                      <w:lang w:val="en-US" w:eastAsia="zh-CN"/>
                      <w14:textFill>
                        <w14:solidFill>
                          <w14:schemeClr w14:val="tx1"/>
                        </w14:solidFill>
                      </w14:textFill>
                    </w:rPr>
                    <w:t>水</w:t>
                  </w:r>
                  <w:r>
                    <w:rPr>
                      <w:rFonts w:cs="Times New Roman"/>
                      <w:color w:val="000000" w:themeColor="text1"/>
                      <w14:textFill>
                        <w14:solidFill>
                          <w14:schemeClr w14:val="tx1"/>
                        </w14:solidFill>
                      </w14:textFill>
                    </w:rPr>
                    <w:t>喷淋塔水箱</w:t>
                  </w:r>
                </w:p>
              </w:tc>
              <w:tc>
                <w:tcPr>
                  <w:tcW w:w="1680" w:type="pct"/>
                  <w:vAlign w:val="center"/>
                </w:tcPr>
                <w:p w14:paraId="241855A3">
                  <w:pPr>
                    <w:jc w:val="center"/>
                    <w:rPr>
                      <w:rFonts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r>
                    <w:rPr>
                      <w:rFonts w:cs="Times New Roman"/>
                      <w:color w:val="000000" w:themeColor="text1"/>
                      <w14:textFill>
                        <w14:solidFill>
                          <w14:schemeClr w14:val="tx1"/>
                        </w14:solidFill>
                      </w14:textFill>
                    </w:rPr>
                    <w:t>套，每套尺寸600*1300*700mm</w:t>
                  </w:r>
                </w:p>
              </w:tc>
              <w:tc>
                <w:tcPr>
                  <w:tcW w:w="612" w:type="pct"/>
                  <w:shd w:val="clear" w:color="auto" w:fill="auto"/>
                  <w:vAlign w:val="center"/>
                </w:tcPr>
                <w:p w14:paraId="549A1FA9">
                  <w:pPr>
                    <w:pStyle w:val="35"/>
                    <w:rPr>
                      <w:rFonts w:cs="Times New Roman"/>
                      <w:color w:val="000000" w:themeColor="text1"/>
                      <w14:textFill>
                        <w14:solidFill>
                          <w14:schemeClr w14:val="tx1"/>
                        </w14:solidFill>
                      </w14:textFill>
                    </w:rPr>
                  </w:pPr>
                  <w:r>
                    <w:rPr>
                      <w:rFonts w:hint="eastAsia" w:eastAsia="等线" w:cs="Times New Roman"/>
                      <w:color w:val="000000" w:themeColor="text1"/>
                      <w:lang w:val="en-US" w:eastAsia="zh-CN"/>
                      <w14:textFill>
                        <w14:solidFill>
                          <w14:schemeClr w14:val="tx1"/>
                        </w14:solidFill>
                      </w14:textFill>
                    </w:rPr>
                    <w:t>23.40</w:t>
                  </w:r>
                  <w:r>
                    <w:rPr>
                      <w:rFonts w:eastAsia="等线" w:cs="Times New Roman"/>
                      <w:color w:val="000000" w:themeColor="text1"/>
                      <w14:textFill>
                        <w14:solidFill>
                          <w14:schemeClr w14:val="tx1"/>
                        </w14:solidFill>
                      </w14:textFill>
                    </w:rPr>
                    <w:t xml:space="preserve"> </w:t>
                  </w:r>
                </w:p>
              </w:tc>
              <w:tc>
                <w:tcPr>
                  <w:tcW w:w="614" w:type="pct"/>
                  <w:shd w:val="clear" w:color="auto" w:fill="auto"/>
                  <w:vAlign w:val="center"/>
                </w:tcPr>
                <w:p w14:paraId="37BD813E">
                  <w:pPr>
                    <w:pStyle w:val="35"/>
                    <w:rPr>
                      <w:rFonts w:hint="default"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2.35</w:t>
                  </w:r>
                </w:p>
              </w:tc>
              <w:tc>
                <w:tcPr>
                  <w:tcW w:w="614" w:type="pct"/>
                  <w:shd w:val="clear" w:color="auto" w:fill="auto"/>
                  <w:vAlign w:val="center"/>
                </w:tcPr>
                <w:p w14:paraId="7C14021C">
                  <w:pPr>
                    <w:pStyle w:val="35"/>
                    <w:rPr>
                      <w:rFonts w:hint="default" w:eastAsia="宋体" w:cs="Times New Roman"/>
                      <w:color w:val="000000" w:themeColor="text1"/>
                      <w:lang w:val="en-US" w:eastAsia="zh-CN"/>
                      <w14:textFill>
                        <w14:solidFill>
                          <w14:schemeClr w14:val="tx1"/>
                        </w14:solidFill>
                      </w14:textFill>
                    </w:rPr>
                  </w:pPr>
                  <w:r>
                    <w:rPr>
                      <w:rFonts w:hint="eastAsia" w:eastAsia="等线" w:cs="Times New Roman"/>
                      <w:color w:val="000000" w:themeColor="text1"/>
                      <w:lang w:val="en-US" w:eastAsia="zh-CN"/>
                      <w14:textFill>
                        <w14:solidFill>
                          <w14:schemeClr w14:val="tx1"/>
                        </w14:solidFill>
                      </w14:textFill>
                    </w:rPr>
                    <w:t>21.05</w:t>
                  </w:r>
                </w:p>
              </w:tc>
            </w:tr>
          </w:tbl>
          <w:p w14:paraId="30BD2AE5">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项目建成后车间采取干式清扫，不产生保洁废水；项目生产过程中使用的喷码机日常保持开机状态，不生产时保持通电待机状态，无需使用清洗剂对设备进行清洗，不产生设备清洗废水。</w:t>
            </w:r>
          </w:p>
          <w:p w14:paraId="64235D5F">
            <w:pPr>
              <w:spacing w:line="360" w:lineRule="auto"/>
              <w:ind w:firstLine="480" w:firstLineChars="200"/>
              <w:jc w:val="left"/>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项目水平衡图见图2-1。</w:t>
            </w:r>
          </w:p>
          <w:p w14:paraId="3BC1EF9C">
            <w:pPr>
              <w:pStyle w:val="4"/>
              <w:ind w:firstLine="0" w:firstLineChars="0"/>
              <w:rPr>
                <w:color w:val="000000" w:themeColor="text1"/>
                <w14:textFill>
                  <w14:solidFill>
                    <w14:schemeClr w14:val="tx1"/>
                  </w14:solidFill>
                </w14:textFill>
              </w:rPr>
            </w:pPr>
            <w:r>
              <w:drawing>
                <wp:inline distT="0" distB="0" distL="114300" distR="114300">
                  <wp:extent cx="5402580" cy="1786255"/>
                  <wp:effectExtent l="0" t="0" r="7620" b="444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4"/>
                          <a:stretch>
                            <a:fillRect/>
                          </a:stretch>
                        </pic:blipFill>
                        <pic:spPr>
                          <a:xfrm>
                            <a:off x="0" y="0"/>
                            <a:ext cx="5402580" cy="1786255"/>
                          </a:xfrm>
                          <a:prstGeom prst="rect">
                            <a:avLst/>
                          </a:prstGeom>
                          <a:noFill/>
                          <a:ln>
                            <a:noFill/>
                          </a:ln>
                        </pic:spPr>
                      </pic:pic>
                    </a:graphicData>
                  </a:graphic>
                </wp:inline>
              </w:drawing>
            </w:r>
          </w:p>
          <w:p w14:paraId="1A12154E">
            <w:pPr>
              <w:spacing w:line="360" w:lineRule="auto"/>
              <w:jc w:val="center"/>
              <w:rPr>
                <w:rFonts w:hint="eastAsia" w:eastAsia="宋体"/>
                <w:b/>
                <w:color w:val="000000" w:themeColor="text1"/>
                <w:kern w:val="0"/>
                <w:lang w:eastAsia="zh-CN"/>
                <w14:textFill>
                  <w14:solidFill>
                    <w14:schemeClr w14:val="tx1"/>
                  </w14:solidFill>
                </w14:textFill>
              </w:rPr>
            </w:pPr>
            <w:r>
              <w:rPr>
                <w:b/>
                <w:color w:val="000000" w:themeColor="text1"/>
                <w:kern w:val="0"/>
                <w14:textFill>
                  <w14:solidFill>
                    <w14:schemeClr w14:val="tx1"/>
                  </w14:solidFill>
                </w14:textFill>
              </w:rPr>
              <w:t>图</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 xml:space="preserve">-1 </w:t>
            </w:r>
            <w:r>
              <w:rPr>
                <w:rFonts w:hint="eastAsia"/>
                <w:b/>
                <w:color w:val="000000" w:themeColor="text1"/>
                <w:kern w:val="0"/>
                <w14:textFill>
                  <w14:solidFill>
                    <w14:schemeClr w14:val="tx1"/>
                  </w14:solidFill>
                </w14:textFill>
              </w:rPr>
              <w:t>建设项目</w:t>
            </w:r>
            <w:r>
              <w:rPr>
                <w:b/>
                <w:color w:val="000000" w:themeColor="text1"/>
                <w:kern w:val="0"/>
                <w14:textFill>
                  <w14:solidFill>
                    <w14:schemeClr w14:val="tx1"/>
                  </w14:solidFill>
                </w14:textFill>
              </w:rPr>
              <w:t>水平衡图</w:t>
            </w:r>
            <w:r>
              <w:rPr>
                <w:rFonts w:hint="eastAsia"/>
                <w:b/>
                <w:color w:val="000000" w:themeColor="text1"/>
                <w:kern w:val="0"/>
                <w:lang w:eastAsia="zh-CN"/>
                <w14:textFill>
                  <w14:solidFill>
                    <w14:schemeClr w14:val="tx1"/>
                  </w14:solidFill>
                </w14:textFill>
              </w:rPr>
              <w:t>（</w:t>
            </w:r>
            <w:r>
              <w:rPr>
                <w:rFonts w:hint="eastAsia"/>
                <w:b/>
                <w:color w:val="000000" w:themeColor="text1"/>
                <w:kern w:val="0"/>
                <w:lang w:val="en-US" w:eastAsia="zh-CN"/>
                <w14:textFill>
                  <w14:solidFill>
                    <w14:schemeClr w14:val="tx1"/>
                  </w14:solidFill>
                </w14:textFill>
              </w:rPr>
              <w:t>m</w:t>
            </w:r>
            <w:r>
              <w:rPr>
                <w:rFonts w:hint="eastAsia"/>
                <w:b/>
                <w:color w:val="000000" w:themeColor="text1"/>
                <w:kern w:val="0"/>
                <w:vertAlign w:val="superscript"/>
                <w:lang w:val="en-US" w:eastAsia="zh-CN"/>
                <w14:textFill>
                  <w14:solidFill>
                    <w14:schemeClr w14:val="tx1"/>
                  </w14:solidFill>
                </w14:textFill>
              </w:rPr>
              <w:t>3</w:t>
            </w:r>
            <w:r>
              <w:rPr>
                <w:rFonts w:hint="eastAsia"/>
                <w:b/>
                <w:color w:val="000000" w:themeColor="text1"/>
                <w:kern w:val="0"/>
                <w:lang w:val="en-US" w:eastAsia="zh-CN"/>
                <w14:textFill>
                  <w14:solidFill>
                    <w14:schemeClr w14:val="tx1"/>
                  </w14:solidFill>
                </w14:textFill>
              </w:rPr>
              <w:t>/d</w:t>
            </w:r>
            <w:r>
              <w:rPr>
                <w:rFonts w:hint="eastAsia"/>
                <w:b/>
                <w:color w:val="000000" w:themeColor="text1"/>
                <w:kern w:val="0"/>
                <w:lang w:eastAsia="zh-CN"/>
                <w14:textFill>
                  <w14:solidFill>
                    <w14:schemeClr w14:val="tx1"/>
                  </w14:solidFill>
                </w14:textFill>
              </w:rPr>
              <w:t>）</w:t>
            </w:r>
          </w:p>
          <w:p w14:paraId="42C81ED0">
            <w:pPr>
              <w:adjustRightInd w:val="0"/>
              <w:snapToGrid w:val="0"/>
              <w:rPr>
                <w:bCs/>
                <w:color w:val="000000" w:themeColor="text1"/>
                <w:szCs w:val="21"/>
                <w14:textFill>
                  <w14:solidFill>
                    <w14:schemeClr w14:val="tx1"/>
                  </w14:solidFill>
                </w14:textFill>
              </w:rPr>
            </w:pPr>
          </w:p>
        </w:tc>
      </w:tr>
      <w:tr w14:paraId="56180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864" w:type="dxa"/>
            <w:vAlign w:val="center"/>
          </w:tcPr>
          <w:p w14:paraId="110F6C40">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196" w:type="dxa"/>
          </w:tcPr>
          <w:p w14:paraId="17B88A06">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1、工艺流程和产排污环节</w:t>
            </w:r>
          </w:p>
          <w:p w14:paraId="1D93D98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（1）施工期工艺流程</w:t>
            </w:r>
          </w:p>
          <w:p w14:paraId="4C0DDA1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的建设过程主要包括基础工程、主体工程、装修工程、设备安装及工程验收等，不可避免地将对周围产生一定的影响。建设期主要污染因子有：废气、扬尘、废水、噪声、固体废物等本项目的污染影响时段主要为施工期和营运期，其基本工艺及产污环节见下图:</w:t>
            </w:r>
          </w:p>
          <w:p w14:paraId="4A74F628">
            <w:pPr>
              <w:pStyle w:val="9"/>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032375" cy="1099820"/>
                  <wp:effectExtent l="0" t="0" r="22225" b="17780"/>
                  <wp:docPr id="15" name="图片 15" descr="036ed0e48e2e8da0c86db4b6e33522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36ed0e48e2e8da0c86db4b6e33522bb"/>
                          <pic:cNvPicPr>
                            <a:picLocks noChangeAspect="1"/>
                          </pic:cNvPicPr>
                        </pic:nvPicPr>
                        <pic:blipFill>
                          <a:blip r:embed="rId15"/>
                          <a:stretch>
                            <a:fillRect/>
                          </a:stretch>
                        </pic:blipFill>
                        <pic:spPr>
                          <a:xfrm>
                            <a:off x="0" y="0"/>
                            <a:ext cx="5032375" cy="1099820"/>
                          </a:xfrm>
                          <a:prstGeom prst="rect">
                            <a:avLst/>
                          </a:prstGeom>
                        </pic:spPr>
                      </pic:pic>
                    </a:graphicData>
                  </a:graphic>
                </wp:inline>
              </w:drawing>
            </w:r>
          </w:p>
          <w:p w14:paraId="041426CA">
            <w:pPr>
              <w:spacing w:line="36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图</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 xml:space="preserve"> </w:t>
            </w:r>
            <w:r>
              <w:rPr>
                <w:rFonts w:hint="eastAsia"/>
                <w:b/>
                <w:color w:val="000000" w:themeColor="text1"/>
                <w:kern w:val="0"/>
                <w14:textFill>
                  <w14:solidFill>
                    <w14:schemeClr w14:val="tx1"/>
                  </w14:solidFill>
                </w14:textFill>
              </w:rPr>
              <w:t>施工期工艺流程及产污节点图</w:t>
            </w:r>
          </w:p>
          <w:p w14:paraId="1420C71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工艺流程说明：</w:t>
            </w:r>
          </w:p>
          <w:p w14:paraId="4882573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施工期的平整场地、基础工程、主体工程、装修工程、设备安装与工程验收等与一般的房地产项目相似，均为普通的建筑物建设。因此，本项的施工期与一般的房地产项目的施工期相似，无特殊污染物产生。施工期的污染物主要为施工废水、施工人员生活污水、施工粉尘和扬尘、施工车辆的尾气.施工固废和噪声，以及施工所造成的水土流失等等，无特殊的污染物产生，故也不必采用特殊的环境保护措施。</w:t>
            </w:r>
          </w:p>
          <w:p w14:paraId="4B58594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①基础工程</w:t>
            </w:r>
          </w:p>
          <w:p w14:paraId="1765EE8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基础工程主要为场地的开挖、回填、平整、夯实、基础混凝土浇注以及地面硬化、防渗处理等。该工段主要污染物为施工机械产生的噪声、粉尘和排放的尾气，渣土和建筑垃圾等固废、施工机械冲洗废水和施工人员生活废水等。由于项目基础工程作业时间较短，各项目污染只是对周围局部环境影响，从整个施工期来看，对周围环境影响较小。</w:t>
            </w:r>
          </w:p>
          <w:p w14:paraId="3C7BB26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②主体工程</w:t>
            </w:r>
          </w:p>
          <w:p w14:paraId="7078676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主体工程主要为现浇钢砼柱、梁，砖墙砌筑和钢结构厂房搭建根据施工图纸，进行钢筋的配料和加工，安装于架好的模板之处，及时连续灌筑混凝土，并捣实使混凝土成型，针对钢结构厂房采用将外购的钢结构进行焊接和搭建。拟建项目在砖墙砌筑时，首先进行水泥砂浆的调配，然后再挂线砌筑。该工段工期较长，主要污染物为搅拌机产生的噪声、尾气，搅拌砂浆时的砂浆水，碎砖和废砂石。</w:t>
            </w:r>
          </w:p>
          <w:p w14:paraId="56237431">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③装饰工程</w:t>
            </w:r>
          </w:p>
          <w:p w14:paraId="292D683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利用各种加工机械对木材、塑钢等按图进行加工，同时进行屋面制作，然后采用浅色环保型高级涂料和浅灰色仿石涂料喷刷，最后对外露的铁件进行油漆施工，本工段时间较短，且使用的涂料和油漆量较少，有少量的有机废气发。</w:t>
            </w:r>
          </w:p>
          <w:p w14:paraId="4E04262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④设备安装</w:t>
            </w:r>
          </w:p>
          <w:p w14:paraId="10397387">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包括道路、电梯、化粪池、雨污水管网铺设等施工，主要污染物是施工机械产生的噪声、尾气等。</w:t>
            </w:r>
          </w:p>
          <w:p w14:paraId="0711BA1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（2）运营期工艺流程</w:t>
            </w:r>
          </w:p>
          <w:p w14:paraId="4E1CD91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本项目运营期主要为110kv电缆、光伏电缆及塑料制品的制造，分析如下：</w:t>
            </w:r>
          </w:p>
          <w:p w14:paraId="43C17EA1">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①110kv电缆</w:t>
            </w:r>
          </w:p>
          <w:p w14:paraId="7123CB90">
            <w:pPr>
              <w:pStyle w:val="8"/>
              <w:rPr>
                <w:color w:val="000000" w:themeColor="text1"/>
                <w14:textFill>
                  <w14:solidFill>
                    <w14:schemeClr w14:val="tx1"/>
                  </w14:solidFill>
                </w14:textFill>
              </w:rPr>
            </w:pPr>
            <w:r>
              <w:drawing>
                <wp:inline distT="0" distB="0" distL="114300" distR="114300">
                  <wp:extent cx="5036185" cy="2675255"/>
                  <wp:effectExtent l="0" t="0" r="12065" b="1079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6"/>
                          <a:stretch>
                            <a:fillRect/>
                          </a:stretch>
                        </pic:blipFill>
                        <pic:spPr>
                          <a:xfrm>
                            <a:off x="0" y="0"/>
                            <a:ext cx="5036185" cy="2675255"/>
                          </a:xfrm>
                          <a:prstGeom prst="rect">
                            <a:avLst/>
                          </a:prstGeom>
                          <a:noFill/>
                          <a:ln>
                            <a:noFill/>
                          </a:ln>
                        </pic:spPr>
                      </pic:pic>
                    </a:graphicData>
                  </a:graphic>
                </wp:inline>
              </w:drawing>
            </w:r>
          </w:p>
          <w:p w14:paraId="054554CB">
            <w:pPr>
              <w:spacing w:line="36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图</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3</w:t>
            </w:r>
            <w:r>
              <w:rPr>
                <w:b/>
                <w:color w:val="000000" w:themeColor="text1"/>
                <w:kern w:val="0"/>
                <w14:textFill>
                  <w14:solidFill>
                    <w14:schemeClr w14:val="tx1"/>
                  </w14:solidFill>
                </w14:textFill>
              </w:rPr>
              <w:t xml:space="preserve"> </w:t>
            </w:r>
            <w:r>
              <w:rPr>
                <w:rFonts w:hint="eastAsia"/>
                <w:b/>
                <w:color w:val="000000" w:themeColor="text1"/>
                <w:kern w:val="0"/>
                <w14:textFill>
                  <w14:solidFill>
                    <w14:schemeClr w14:val="tx1"/>
                  </w14:solidFill>
                </w14:textFill>
              </w:rPr>
              <w:t>110kv电缆生产工艺流程图及产污环节</w:t>
            </w:r>
          </w:p>
          <w:p w14:paraId="4FD29E6D">
            <w:pPr>
              <w:spacing w:line="360" w:lineRule="auto"/>
              <w:jc w:val="left"/>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注：G</w:t>
            </w:r>
            <w:r>
              <w:rPr>
                <w:rFonts w:hint="eastAsia"/>
                <w:b/>
                <w:color w:val="000000" w:themeColor="text1"/>
                <w:kern w:val="0"/>
                <w:sz w:val="21"/>
                <w:szCs w:val="21"/>
                <w:vertAlign w:val="subscript"/>
                <w14:textFill>
                  <w14:solidFill>
                    <w14:schemeClr w14:val="tx1"/>
                  </w14:solidFill>
                </w14:textFill>
              </w:rPr>
              <w:t>1-1</w:t>
            </w:r>
            <w:r>
              <w:rPr>
                <w:rFonts w:hint="eastAsia"/>
                <w:b/>
                <w:color w:val="000000" w:themeColor="text1"/>
                <w:kern w:val="0"/>
                <w:sz w:val="21"/>
                <w:szCs w:val="21"/>
                <w:vertAlign w:val="baseline"/>
                <w14:textFill>
                  <w14:solidFill>
                    <w14:schemeClr w14:val="tx1"/>
                  </w14:solidFill>
                </w14:textFill>
              </w:rPr>
              <w:t>拉丝废气</w:t>
            </w:r>
            <w:r>
              <w:rPr>
                <w:rFonts w:hint="eastAsia"/>
                <w:b/>
                <w:color w:val="000000" w:themeColor="text1"/>
                <w:kern w:val="0"/>
                <w:sz w:val="21"/>
                <w:szCs w:val="21"/>
                <w14:textFill>
                  <w14:solidFill>
                    <w14:schemeClr w14:val="tx1"/>
                  </w14:solidFill>
                </w14:textFill>
              </w:rPr>
              <w:t>（非甲烷总烃）、G</w:t>
            </w:r>
            <w:r>
              <w:rPr>
                <w:rFonts w:hint="eastAsia"/>
                <w:b/>
                <w:color w:val="000000" w:themeColor="text1"/>
                <w:kern w:val="0"/>
                <w:sz w:val="21"/>
                <w:szCs w:val="21"/>
                <w:vertAlign w:val="subscript"/>
                <w14:textFill>
                  <w14:solidFill>
                    <w14:schemeClr w14:val="tx1"/>
                  </w14:solidFill>
                </w14:textFill>
              </w:rPr>
              <w:t>1-2</w:t>
            </w:r>
            <w:r>
              <w:rPr>
                <w:rFonts w:hint="eastAsia"/>
                <w:b/>
                <w:color w:val="000000" w:themeColor="text1"/>
                <w:kern w:val="0"/>
                <w:sz w:val="21"/>
                <w:szCs w:val="21"/>
                <w14:textFill>
                  <w14:solidFill>
                    <w14:schemeClr w14:val="tx1"/>
                  </w14:solidFill>
                </w14:textFill>
              </w:rPr>
              <w:t>共挤废气（非甲烷总烃、HCl）、G</w:t>
            </w:r>
            <w:r>
              <w:rPr>
                <w:rFonts w:hint="eastAsia"/>
                <w:b/>
                <w:color w:val="000000" w:themeColor="text1"/>
                <w:kern w:val="0"/>
                <w:sz w:val="21"/>
                <w:szCs w:val="21"/>
                <w:vertAlign w:val="subscript"/>
                <w14:textFill>
                  <w14:solidFill>
                    <w14:schemeClr w14:val="tx1"/>
                  </w14:solidFill>
                </w14:textFill>
              </w:rPr>
              <w:t>1-3</w:t>
            </w:r>
            <w:r>
              <w:rPr>
                <w:rFonts w:hint="eastAsia"/>
                <w:b/>
                <w:color w:val="000000" w:themeColor="text1"/>
                <w:kern w:val="0"/>
                <w:sz w:val="21"/>
                <w:szCs w:val="21"/>
                <w14:textFill>
                  <w14:solidFill>
                    <w14:schemeClr w14:val="tx1"/>
                  </w14:solidFill>
                </w14:textFill>
              </w:rPr>
              <w:t>挤出废气（非甲烷总烃、HCl）、G</w:t>
            </w:r>
            <w:r>
              <w:rPr>
                <w:rFonts w:hint="eastAsia"/>
                <w:b/>
                <w:color w:val="000000" w:themeColor="text1"/>
                <w:kern w:val="0"/>
                <w:sz w:val="21"/>
                <w:szCs w:val="21"/>
                <w:vertAlign w:val="subscript"/>
                <w14:textFill>
                  <w14:solidFill>
                    <w14:schemeClr w14:val="tx1"/>
                  </w14:solidFill>
                </w14:textFill>
              </w:rPr>
              <w:t>1-4</w:t>
            </w:r>
            <w:r>
              <w:rPr>
                <w:rFonts w:hint="eastAsia"/>
                <w:b/>
                <w:color w:val="000000" w:themeColor="text1"/>
                <w:kern w:val="0"/>
                <w:sz w:val="21"/>
                <w:szCs w:val="21"/>
                <w:vertAlign w:val="baseline"/>
                <w14:textFill>
                  <w14:solidFill>
                    <w14:schemeClr w14:val="tx1"/>
                  </w14:solidFill>
                </w14:textFill>
              </w:rPr>
              <w:t>喷码废气</w:t>
            </w:r>
            <w:r>
              <w:rPr>
                <w:rFonts w:hint="eastAsia"/>
                <w:b/>
                <w:color w:val="000000" w:themeColor="text1"/>
                <w:kern w:val="0"/>
                <w:sz w:val="21"/>
                <w:szCs w:val="21"/>
                <w14:textFill>
                  <w14:solidFill>
                    <w14:schemeClr w14:val="tx1"/>
                  </w14:solidFill>
                </w14:textFill>
              </w:rPr>
              <w:t>（非甲烷总烃）、N噪声、S</w:t>
            </w:r>
            <w:r>
              <w:rPr>
                <w:rFonts w:hint="eastAsia"/>
                <w:b/>
                <w:color w:val="000000" w:themeColor="text1"/>
                <w:kern w:val="0"/>
                <w:sz w:val="21"/>
                <w:szCs w:val="21"/>
                <w:vertAlign w:val="subscript"/>
                <w14:textFill>
                  <w14:solidFill>
                    <w14:schemeClr w14:val="tx1"/>
                  </w14:solidFill>
                </w14:textFill>
              </w:rPr>
              <w:t>1-1</w:t>
            </w:r>
            <w:r>
              <w:rPr>
                <w:rFonts w:hint="eastAsia"/>
                <w:b/>
                <w:color w:val="000000" w:themeColor="text1"/>
                <w:kern w:val="0"/>
                <w:sz w:val="21"/>
                <w:szCs w:val="21"/>
                <w14:textFill>
                  <w14:solidFill>
                    <w14:schemeClr w14:val="tx1"/>
                  </w14:solidFill>
                </w14:textFill>
              </w:rPr>
              <w:t>废铜丝、废铝丝、废拉丝液、废拉丝液桶、S</w:t>
            </w:r>
            <w:r>
              <w:rPr>
                <w:rFonts w:hint="eastAsia"/>
                <w:b/>
                <w:color w:val="000000" w:themeColor="text1"/>
                <w:kern w:val="0"/>
                <w:sz w:val="21"/>
                <w:szCs w:val="21"/>
                <w:vertAlign w:val="subscript"/>
                <w14:textFill>
                  <w14:solidFill>
                    <w14:schemeClr w14:val="tx1"/>
                  </w14:solidFill>
                </w14:textFill>
              </w:rPr>
              <w:t>1-2</w:t>
            </w:r>
            <w:r>
              <w:rPr>
                <w:rFonts w:hint="eastAsia"/>
                <w:b/>
                <w:color w:val="000000" w:themeColor="text1"/>
                <w:kern w:val="0"/>
                <w:sz w:val="21"/>
                <w:szCs w:val="21"/>
                <w14:textFill>
                  <w14:solidFill>
                    <w14:schemeClr w14:val="tx1"/>
                  </w14:solidFill>
                </w14:textFill>
              </w:rPr>
              <w:t>废包装材料、S</w:t>
            </w:r>
            <w:r>
              <w:rPr>
                <w:rFonts w:hint="eastAsia"/>
                <w:b/>
                <w:color w:val="000000" w:themeColor="text1"/>
                <w:kern w:val="0"/>
                <w:sz w:val="21"/>
                <w:szCs w:val="21"/>
                <w:vertAlign w:val="subscript"/>
                <w14:textFill>
                  <w14:solidFill>
                    <w14:schemeClr w14:val="tx1"/>
                  </w14:solidFill>
                </w14:textFill>
              </w:rPr>
              <w:t>1-3</w:t>
            </w:r>
            <w:r>
              <w:rPr>
                <w:rFonts w:hint="eastAsia"/>
                <w:b/>
                <w:color w:val="000000" w:themeColor="text1"/>
                <w:kern w:val="0"/>
                <w:sz w:val="21"/>
                <w:szCs w:val="21"/>
                <w14:textFill>
                  <w14:solidFill>
                    <w14:schemeClr w14:val="tx1"/>
                  </w14:solidFill>
                </w14:textFill>
              </w:rPr>
              <w:t>不合格品、S</w:t>
            </w:r>
            <w:r>
              <w:rPr>
                <w:rFonts w:hint="eastAsia"/>
                <w:b/>
                <w:color w:val="000000" w:themeColor="text1"/>
                <w:kern w:val="0"/>
                <w:sz w:val="21"/>
                <w:szCs w:val="21"/>
                <w:vertAlign w:val="subscript"/>
                <w14:textFill>
                  <w14:solidFill>
                    <w14:schemeClr w14:val="tx1"/>
                  </w14:solidFill>
                </w14:textFill>
              </w:rPr>
              <w:t>1-4</w:t>
            </w:r>
            <w:r>
              <w:rPr>
                <w:rFonts w:hint="eastAsia"/>
                <w:b/>
                <w:color w:val="000000" w:themeColor="text1"/>
                <w:kern w:val="0"/>
                <w:sz w:val="21"/>
                <w:szCs w:val="21"/>
                <w14:textFill>
                  <w14:solidFill>
                    <w14:schemeClr w14:val="tx1"/>
                  </w14:solidFill>
                </w14:textFill>
              </w:rPr>
              <w:t>废边脚料、S</w:t>
            </w:r>
            <w:r>
              <w:rPr>
                <w:rFonts w:hint="eastAsia"/>
                <w:b/>
                <w:color w:val="000000" w:themeColor="text1"/>
                <w:kern w:val="0"/>
                <w:sz w:val="21"/>
                <w:szCs w:val="21"/>
                <w:vertAlign w:val="subscript"/>
                <w14:textFill>
                  <w14:solidFill>
                    <w14:schemeClr w14:val="tx1"/>
                  </w14:solidFill>
                </w14:textFill>
              </w:rPr>
              <w:t>1-5</w:t>
            </w:r>
            <w:r>
              <w:rPr>
                <w:rFonts w:hint="eastAsia"/>
                <w:b/>
                <w:color w:val="000000" w:themeColor="text1"/>
                <w:kern w:val="0"/>
                <w:sz w:val="21"/>
                <w:szCs w:val="21"/>
                <w14:textFill>
                  <w14:solidFill>
                    <w14:schemeClr w14:val="tx1"/>
                  </w14:solidFill>
                </w14:textFill>
              </w:rPr>
              <w:t>废包装材料、S</w:t>
            </w:r>
            <w:r>
              <w:rPr>
                <w:rFonts w:hint="eastAsia"/>
                <w:b/>
                <w:color w:val="000000" w:themeColor="text1"/>
                <w:kern w:val="0"/>
                <w:sz w:val="21"/>
                <w:szCs w:val="21"/>
                <w:vertAlign w:val="subscript"/>
                <w14:textFill>
                  <w14:solidFill>
                    <w14:schemeClr w14:val="tx1"/>
                  </w14:solidFill>
                </w14:textFill>
              </w:rPr>
              <w:t>1-6</w:t>
            </w:r>
            <w:r>
              <w:rPr>
                <w:rFonts w:hint="eastAsia"/>
                <w:b/>
                <w:color w:val="000000" w:themeColor="text1"/>
                <w:kern w:val="0"/>
                <w:sz w:val="21"/>
                <w:szCs w:val="21"/>
                <w14:textFill>
                  <w14:solidFill>
                    <w14:schemeClr w14:val="tx1"/>
                  </w14:solidFill>
                </w14:textFill>
              </w:rPr>
              <w:t>废油墨桶、S</w:t>
            </w:r>
            <w:r>
              <w:rPr>
                <w:rFonts w:hint="eastAsia"/>
                <w:b/>
                <w:color w:val="000000" w:themeColor="text1"/>
                <w:kern w:val="0"/>
                <w:sz w:val="21"/>
                <w:szCs w:val="21"/>
                <w:vertAlign w:val="subscript"/>
                <w14:textFill>
                  <w14:solidFill>
                    <w14:schemeClr w14:val="tx1"/>
                  </w14:solidFill>
                </w14:textFill>
              </w:rPr>
              <w:t>1-7</w:t>
            </w:r>
            <w:r>
              <w:rPr>
                <w:rFonts w:hint="eastAsia"/>
                <w:b/>
                <w:color w:val="000000" w:themeColor="text1"/>
                <w:kern w:val="0"/>
                <w:sz w:val="21"/>
                <w:szCs w:val="21"/>
                <w14:textFill>
                  <w14:solidFill>
                    <w14:schemeClr w14:val="tx1"/>
                  </w14:solidFill>
                </w14:textFill>
              </w:rPr>
              <w:t>不合格品。</w:t>
            </w:r>
          </w:p>
          <w:p w14:paraId="5E149BA7">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工艺说明：</w:t>
            </w:r>
          </w:p>
          <w:p w14:paraId="6FB90021">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拉丝：铜杆、铝杆通过拉丝成套设备拉拔成丝。</w:t>
            </w:r>
            <w:r>
              <w:rPr>
                <w:rStyle w:val="19"/>
                <w:kern w:val="0"/>
                <w:sz w:val="24"/>
                <w:szCs w:val="24"/>
              </w:rPr>
              <w:t>铜杆或铝杆作为控制电缆的导体材料，通过</w:t>
            </w:r>
            <w:r>
              <w:rPr>
                <w:rStyle w:val="19"/>
                <w:rFonts w:hint="eastAsia"/>
                <w:kern w:val="0"/>
                <w:sz w:val="24"/>
                <w:szCs w:val="24"/>
              </w:rPr>
              <w:t>铜大拉机组</w:t>
            </w:r>
            <w:r>
              <w:rPr>
                <w:rStyle w:val="19"/>
                <w:kern w:val="0"/>
                <w:sz w:val="24"/>
                <w:szCs w:val="24"/>
              </w:rPr>
              <w:t>时，在外力作用下被压缩横截面积，以获得不同规格的导体丝。导体丝从拉丝冷却液中经过，对导体起润滑、冷却作用，循环使用不外排。</w:t>
            </w:r>
            <w:r>
              <w:rPr>
                <w:rFonts w:hint="eastAsia"/>
                <w:color w:val="000000" w:themeColor="text1"/>
                <w14:textFill>
                  <w14:solidFill>
                    <w14:schemeClr w14:val="tx1"/>
                  </w14:solidFill>
                </w14:textFill>
              </w:rPr>
              <w:t>此工序产生：G</w:t>
            </w:r>
            <w:r>
              <w:rPr>
                <w:rFonts w:hint="eastAsia"/>
                <w:color w:val="000000" w:themeColor="text1"/>
                <w:vertAlign w:val="subscript"/>
                <w14:textFill>
                  <w14:solidFill>
                    <w14:schemeClr w14:val="tx1"/>
                  </w14:solidFill>
                </w14:textFill>
              </w:rPr>
              <w:t>1-1</w:t>
            </w:r>
            <w:r>
              <w:rPr>
                <w:rFonts w:hint="eastAsia"/>
                <w:b w:val="0"/>
                <w:bCs w:val="0"/>
                <w:color w:val="000000" w:themeColor="text1"/>
                <w14:textFill>
                  <w14:solidFill>
                    <w14:schemeClr w14:val="tx1"/>
                  </w14:solidFill>
                </w14:textFill>
              </w:rPr>
              <w:t xml:space="preserve"> </w:t>
            </w:r>
            <w:r>
              <w:rPr>
                <w:rFonts w:hint="eastAsia"/>
                <w:b w:val="0"/>
                <w:bCs w:val="0"/>
                <w:color w:val="000000" w:themeColor="text1"/>
                <w:kern w:val="0"/>
                <w:sz w:val="24"/>
                <w:szCs w:val="24"/>
                <w:vertAlign w:val="baseline"/>
                <w14:textFill>
                  <w14:solidFill>
                    <w14:schemeClr w14:val="tx1"/>
                  </w14:solidFill>
                </w14:textFill>
              </w:rPr>
              <w:t>拉丝废气</w:t>
            </w:r>
            <w:r>
              <w:rPr>
                <w:rFonts w:hint="eastAsia"/>
                <w:b w:val="0"/>
                <w:bCs w:val="0"/>
                <w:color w:val="000000" w:themeColor="text1"/>
                <w:kern w:val="0"/>
                <w:sz w:val="24"/>
                <w:szCs w:val="24"/>
                <w:vertAlign w:val="baseline"/>
                <w:lang w:eastAsia="zh-CN"/>
                <w14:textFill>
                  <w14:solidFill>
                    <w14:schemeClr w14:val="tx1"/>
                  </w14:solidFill>
                </w14:textFill>
              </w:rPr>
              <w:t>（</w:t>
            </w:r>
            <w:r>
              <w:rPr>
                <w:rFonts w:hint="eastAsia"/>
                <w:b w:val="0"/>
                <w:bCs w:val="0"/>
                <w:color w:val="000000" w:themeColor="text1"/>
                <w14:textFill>
                  <w14:solidFill>
                    <w14:schemeClr w14:val="tx1"/>
                  </w14:solidFill>
                </w14:textFill>
              </w:rPr>
              <w:t>非甲烷总烃</w:t>
            </w:r>
            <w:r>
              <w:rPr>
                <w:rFonts w:hint="eastAsia"/>
                <w:b w:val="0"/>
                <w:bCs w:val="0"/>
                <w:color w:val="000000" w:themeColor="text1"/>
                <w:kern w:val="0"/>
                <w:sz w:val="24"/>
                <w:szCs w:val="24"/>
                <w:vertAlign w:val="baseline"/>
                <w:lang w:eastAsia="zh-CN"/>
                <w14:textFill>
                  <w14:solidFill>
                    <w14:schemeClr w14:val="tx1"/>
                  </w14:solidFill>
                </w14:textFill>
              </w:rPr>
              <w:t>）</w:t>
            </w:r>
            <w:r>
              <w:rPr>
                <w:rFonts w:hint="eastAsia"/>
                <w:b w:val="0"/>
                <w:bCs w:val="0"/>
                <w:color w:val="000000" w:themeColor="text1"/>
                <w14:textFill>
                  <w14:solidFill>
                    <w14:schemeClr w14:val="tx1"/>
                  </w14:solidFill>
                </w14:textFill>
              </w:rPr>
              <w:t>，S</w:t>
            </w:r>
            <w:r>
              <w:rPr>
                <w:rFonts w:hint="eastAsia"/>
                <w:b w:val="0"/>
                <w:bCs w:val="0"/>
                <w:color w:val="000000" w:themeColor="text1"/>
                <w:vertAlign w:val="subscript"/>
                <w14:textFill>
                  <w14:solidFill>
                    <w14:schemeClr w14:val="tx1"/>
                  </w14:solidFill>
                </w14:textFill>
              </w:rPr>
              <w:t>1-1</w:t>
            </w:r>
            <w:r>
              <w:rPr>
                <w:rFonts w:hint="eastAsia"/>
                <w:b w:val="0"/>
                <w:bCs w:val="0"/>
                <w:color w:val="000000" w:themeColor="text1"/>
                <w14:textFill>
                  <w14:solidFill>
                    <w14:schemeClr w14:val="tx1"/>
                  </w14:solidFill>
                </w14:textFill>
              </w:rPr>
              <w:t>废铜丝、废铝丝、废拉丝液、废拉丝液桶。</w:t>
            </w:r>
          </w:p>
          <w:p w14:paraId="55B5E6BC">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绞线：按照标准工艺要求的股数，将铜丝或铝丝进入自动化绞线成套设备按一定的方向和规则纹合在一起，成为一个整体的绞合线芯。</w:t>
            </w:r>
          </w:p>
          <w:p w14:paraId="3E61A79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三层共挤：以交联聚乙烯绝缘料颗粒和PVC电缆料颗粒为原料加入挤塑机中在高温（130℃左右）的条件下熔融，通过挤塑机将内屏蔽PVC、LXPE、外屏蔽PVC三种原料从里到外逐层挤出并附着到铜丝导体上，形成内屏蔽层、绝缘层和外屏蔽层，这三层物质的挤出为一次性共同挤出，并非分段式挤出。此工序产生：G</w:t>
            </w:r>
            <w:r>
              <w:rPr>
                <w:rFonts w:hint="eastAsia"/>
                <w:color w:val="000000" w:themeColor="text1"/>
                <w:vertAlign w:val="subscript"/>
                <w14:textFill>
                  <w14:solidFill>
                    <w14:schemeClr w14:val="tx1"/>
                  </w14:solidFill>
                </w14:textFill>
              </w:rPr>
              <w:t>1-2</w:t>
            </w:r>
            <w:r>
              <w:rPr>
                <w:rFonts w:hint="eastAsia"/>
                <w:color w:val="000000" w:themeColor="text1"/>
                <w14:textFill>
                  <w14:solidFill>
                    <w14:schemeClr w14:val="tx1"/>
                  </w14:solidFill>
                </w14:textFill>
              </w:rPr>
              <w:t xml:space="preserve"> 共挤废气（非甲烷总烃、H</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l），S</w:t>
            </w:r>
            <w:r>
              <w:rPr>
                <w:rFonts w:hint="eastAsia"/>
                <w:color w:val="000000" w:themeColor="text1"/>
                <w:vertAlign w:val="subscript"/>
                <w14:textFill>
                  <w14:solidFill>
                    <w14:schemeClr w14:val="tx1"/>
                  </w14:solidFill>
                </w14:textFill>
              </w:rPr>
              <w:t>1-2</w:t>
            </w:r>
            <w:r>
              <w:rPr>
                <w:rFonts w:hint="eastAsia"/>
                <w:color w:val="000000" w:themeColor="text1"/>
                <w14:textFill>
                  <w14:solidFill>
                    <w14:schemeClr w14:val="tx1"/>
                  </w14:solidFill>
                </w14:textFill>
              </w:rPr>
              <w:t>废包装材料。</w:t>
            </w:r>
          </w:p>
          <w:p w14:paraId="436832C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交联：挤出后的产品连续均匀地通过充满高温（电加热100℃~300℃）、高压氮气的密封交联管道，在此环境中三层膜结构进行交联，以获得更好的物理、化学性能，交联管道长度约65m，由交联管加热段、预冷段、冷却段组成，可保证缆线有足够的时间完成交联过程，此过程氮气主要是在交联时对铜丝起到保护作用（防止氧化），通过循环冷却水冷却降温。</w:t>
            </w:r>
          </w:p>
          <w:p w14:paraId="0F703EE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冷却：</w:t>
            </w:r>
            <w:r>
              <w:rPr>
                <w:rFonts w:ascii="宋体" w:hAnsi="宋体" w:cs="宋体"/>
              </w:rPr>
              <w:t>挤塑后的电线经过水冷却，冷却水循环使用，定期补充蒸发损耗。</w:t>
            </w:r>
          </w:p>
          <w:p w14:paraId="602AED0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屏蔽：利用屏蔽体对电磁波的反射、吸收和趋肤效应原理，有效地防止外部电磁干扰进入电缆，同时也阻止内部信号辐射出去，干扰其他设备的工作；</w:t>
            </w:r>
          </w:p>
          <w:p w14:paraId="69D3103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局放实验：在检测室/交联耐压测试室中对电缆进行放电试验，并记录实验数据，判断电缆是否合格。此工序产生：S</w:t>
            </w:r>
            <w:r>
              <w:rPr>
                <w:rFonts w:hint="eastAsia"/>
                <w:color w:val="000000" w:themeColor="text1"/>
                <w:vertAlign w:val="subscript"/>
                <w14:textFill>
                  <w14:solidFill>
                    <w14:schemeClr w14:val="tx1"/>
                  </w14:solidFill>
                </w14:textFill>
              </w:rPr>
              <w:t>1-3</w:t>
            </w:r>
            <w:r>
              <w:rPr>
                <w:rFonts w:hint="eastAsia"/>
                <w:color w:val="000000" w:themeColor="text1"/>
                <w14:textFill>
                  <w14:solidFill>
                    <w14:schemeClr w14:val="tx1"/>
                  </w14:solidFill>
                </w14:textFill>
              </w:rPr>
              <w:t>不合格品。</w:t>
            </w:r>
          </w:p>
          <w:p w14:paraId="6121C11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成缆、绕包：单根电缆芯通过成缆机将不同数量的电缆纹合成一股，将填充绳、绕包带包覆在单芯线外层，以确保多芯的电线成型度、减少电线的外形变化，成为多芯更充实的电缆。此工序产生：S</w:t>
            </w:r>
            <w:r>
              <w:rPr>
                <w:rFonts w:hint="eastAsia"/>
                <w:color w:val="000000" w:themeColor="text1"/>
                <w:vertAlign w:val="subscript"/>
                <w14:textFill>
                  <w14:solidFill>
                    <w14:schemeClr w14:val="tx1"/>
                  </w14:solidFill>
                </w14:textFill>
              </w:rPr>
              <w:t>1-4</w:t>
            </w:r>
            <w:r>
              <w:rPr>
                <w:rFonts w:hint="eastAsia"/>
                <w:color w:val="000000" w:themeColor="text1"/>
                <w14:textFill>
                  <w14:solidFill>
                    <w14:schemeClr w14:val="tx1"/>
                  </w14:solidFill>
                </w14:textFill>
              </w:rPr>
              <w:t>废边角料。</w:t>
            </w:r>
          </w:p>
          <w:p w14:paraId="66F917D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挤出护套：在自动化塑料挤出成套设备的填料口放入护套料（为聚氯乙烯颗粒），同时将电缆芯放入，使电缆芯表层覆盖上塑料颗粒，聚氯乙烯颗粒在自动化塑料挤出成套设备高温电加热下熔融、塑化包裹住电缆芯，形成外护套。此工序产生：G</w:t>
            </w:r>
            <w:r>
              <w:rPr>
                <w:rFonts w:hint="eastAsia"/>
                <w:color w:val="000000" w:themeColor="text1"/>
                <w:vertAlign w:val="subscript"/>
                <w14:textFill>
                  <w14:solidFill>
                    <w14:schemeClr w14:val="tx1"/>
                  </w14:solidFill>
                </w14:textFill>
              </w:rPr>
              <w:t>1-3</w:t>
            </w:r>
            <w:r>
              <w:rPr>
                <w:rFonts w:hint="eastAsia"/>
                <w:color w:val="000000" w:themeColor="text1"/>
                <w:lang w:val="en-US" w:eastAsia="zh-CN"/>
                <w14:textFill>
                  <w14:solidFill>
                    <w14:schemeClr w14:val="tx1"/>
                  </w14:solidFill>
                </w14:textFill>
              </w:rPr>
              <w:t>挤出废气（</w:t>
            </w:r>
            <w:r>
              <w:rPr>
                <w:rFonts w:hint="eastAsia"/>
                <w:color w:val="000000" w:themeColor="text1"/>
                <w14:textFill>
                  <w14:solidFill>
                    <w14:schemeClr w14:val="tx1"/>
                  </w14:solidFill>
                </w14:textFill>
              </w:rPr>
              <w:t>非甲烷总烃、HCl</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1-5</w:t>
            </w:r>
            <w:r>
              <w:rPr>
                <w:rFonts w:hint="eastAsia"/>
                <w:color w:val="000000" w:themeColor="text1"/>
                <w14:textFill>
                  <w14:solidFill>
                    <w14:schemeClr w14:val="tx1"/>
                  </w14:solidFill>
                </w14:textFill>
              </w:rPr>
              <w:t>废包装材料。</w:t>
            </w:r>
          </w:p>
          <w:p w14:paraId="7D13C14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喷码：用喷码机对产品印制电线电缆相关信息，使用水性油墨；此工序产生：G</w:t>
            </w:r>
            <w:r>
              <w:rPr>
                <w:rFonts w:hint="eastAsia"/>
                <w:color w:val="000000" w:themeColor="text1"/>
                <w:vertAlign w:val="subscript"/>
                <w14:textFill>
                  <w14:solidFill>
                    <w14:schemeClr w14:val="tx1"/>
                  </w14:solidFill>
                </w14:textFill>
              </w:rPr>
              <w:t>1-</w:t>
            </w:r>
            <w:r>
              <w:rPr>
                <w:rFonts w:hint="eastAsia"/>
                <w:color w:val="000000" w:themeColor="text1"/>
                <w:vertAlign w:val="subscript"/>
                <w:lang w:val="en-US" w:eastAsia="zh-CN"/>
                <w14:textFill>
                  <w14:solidFill>
                    <w14:schemeClr w14:val="tx1"/>
                  </w14:solidFill>
                </w14:textFill>
              </w:rPr>
              <w:t>4</w:t>
            </w:r>
            <w:r>
              <w:rPr>
                <w:rFonts w:hint="eastAsia"/>
                <w:color w:val="000000" w:themeColor="text1"/>
                <w:lang w:val="en-US" w:eastAsia="zh-CN"/>
                <w14:textFill>
                  <w14:solidFill>
                    <w14:schemeClr w14:val="tx1"/>
                  </w14:solidFill>
                </w14:textFill>
              </w:rPr>
              <w:t>喷码废气（</w:t>
            </w:r>
            <w:r>
              <w:rPr>
                <w:rFonts w:hint="eastAsia"/>
                <w:color w:val="000000" w:themeColor="text1"/>
                <w14:textFill>
                  <w14:solidFill>
                    <w14:schemeClr w14:val="tx1"/>
                  </w14:solidFill>
                </w14:textFill>
              </w:rPr>
              <w:t>非甲烷总烃</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1-6</w:t>
            </w:r>
            <w:r>
              <w:rPr>
                <w:rFonts w:hint="eastAsia"/>
                <w:color w:val="000000" w:themeColor="text1"/>
                <w14:textFill>
                  <w14:solidFill>
                    <w14:schemeClr w14:val="tx1"/>
                  </w14:solidFill>
                </w14:textFill>
              </w:rPr>
              <w:t>废油墨桶。</w:t>
            </w:r>
          </w:p>
          <w:p w14:paraId="79EAD9D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检测：经检验合格后，入库待销售；检验不合格产品由物资回收单位回收处置。此工序产生S</w:t>
            </w:r>
            <w:r>
              <w:rPr>
                <w:rFonts w:hint="eastAsia"/>
                <w:color w:val="000000" w:themeColor="text1"/>
                <w:vertAlign w:val="subscript"/>
                <w14:textFill>
                  <w14:solidFill>
                    <w14:schemeClr w14:val="tx1"/>
                  </w14:solidFill>
                </w14:textFill>
              </w:rPr>
              <w:t>1-7</w:t>
            </w:r>
            <w:r>
              <w:rPr>
                <w:rFonts w:hint="eastAsia"/>
                <w:color w:val="000000" w:themeColor="text1"/>
                <w14:textFill>
                  <w14:solidFill>
                    <w14:schemeClr w14:val="tx1"/>
                  </w14:solidFill>
                </w14:textFill>
              </w:rPr>
              <w:t>不合格品。</w:t>
            </w:r>
          </w:p>
          <w:p w14:paraId="41B51D7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包装入库：合格产品包装入库待售。</w:t>
            </w:r>
          </w:p>
          <w:p w14:paraId="5C378BBC">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②光伏电缆：</w:t>
            </w:r>
          </w:p>
          <w:p w14:paraId="59F885A9">
            <w:pPr>
              <w:pStyle w:val="8"/>
              <w:jc w:val="center"/>
              <w:rPr>
                <w:color w:val="000000" w:themeColor="text1"/>
                <w14:textFill>
                  <w14:solidFill>
                    <w14:schemeClr w14:val="tx1"/>
                  </w14:solidFill>
                </w14:textFill>
              </w:rPr>
            </w:pPr>
            <w:r>
              <w:drawing>
                <wp:inline distT="0" distB="0" distL="114300" distR="114300">
                  <wp:extent cx="4389120" cy="6825615"/>
                  <wp:effectExtent l="0" t="0" r="11430" b="1333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4389120" cy="6825615"/>
                          </a:xfrm>
                          <a:prstGeom prst="rect">
                            <a:avLst/>
                          </a:prstGeom>
                          <a:noFill/>
                          <a:ln>
                            <a:noFill/>
                          </a:ln>
                        </pic:spPr>
                      </pic:pic>
                    </a:graphicData>
                  </a:graphic>
                </wp:inline>
              </w:drawing>
            </w:r>
          </w:p>
          <w:p w14:paraId="2E2C807C">
            <w:pPr>
              <w:spacing w:line="360" w:lineRule="auto"/>
              <w:jc w:val="center"/>
              <w:rPr>
                <w:color w:val="000000" w:themeColor="text1"/>
                <w14:textFill>
                  <w14:solidFill>
                    <w14:schemeClr w14:val="tx1"/>
                  </w14:solidFill>
                </w14:textFill>
              </w:rPr>
            </w:pPr>
            <w:r>
              <w:rPr>
                <w:b/>
                <w:color w:val="000000" w:themeColor="text1"/>
                <w:kern w:val="0"/>
                <w14:textFill>
                  <w14:solidFill>
                    <w14:schemeClr w14:val="tx1"/>
                  </w14:solidFill>
                </w14:textFill>
              </w:rPr>
              <w:t>图</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4</w:t>
            </w:r>
            <w:r>
              <w:rPr>
                <w:b/>
                <w:color w:val="000000" w:themeColor="text1"/>
                <w:kern w:val="0"/>
                <w14:textFill>
                  <w14:solidFill>
                    <w14:schemeClr w14:val="tx1"/>
                  </w14:solidFill>
                </w14:textFill>
              </w:rPr>
              <w:t xml:space="preserve"> </w:t>
            </w:r>
            <w:r>
              <w:rPr>
                <w:rFonts w:hint="eastAsia"/>
                <w:b/>
                <w:color w:val="000000" w:themeColor="text1"/>
                <w:kern w:val="0"/>
                <w14:textFill>
                  <w14:solidFill>
                    <w14:schemeClr w14:val="tx1"/>
                  </w14:solidFill>
                </w14:textFill>
              </w:rPr>
              <w:t>光伏电缆生产工艺流程图及产污环节</w:t>
            </w:r>
          </w:p>
          <w:p w14:paraId="3DFB8691">
            <w:pPr>
              <w:spacing w:line="360" w:lineRule="auto"/>
              <w:ind w:firstLine="480" w:firstLineChars="200"/>
              <w:jc w:val="left"/>
              <w:rPr>
                <w:b/>
                <w:color w:val="000000" w:themeColor="text1"/>
                <w:kern w:val="0"/>
                <w:sz w:val="21"/>
                <w:szCs w:val="21"/>
                <w14:textFill>
                  <w14:solidFill>
                    <w14:schemeClr w14:val="tx1"/>
                  </w14:solidFill>
                </w14:textFill>
              </w:rPr>
            </w:pPr>
            <w:r>
              <w:rPr>
                <w:rFonts w:hint="eastAsia"/>
                <w:color w:val="000000" w:themeColor="text1"/>
                <w14:textFill>
                  <w14:solidFill>
                    <w14:schemeClr w14:val="tx1"/>
                  </w14:solidFill>
                </w14:textFill>
              </w:rPr>
              <w:t>光伏电缆生产于新能源线缆车间及低压线缆车间两个车间实施，两个车间设计的生产工艺、设备均相同，根据下游厂商要求，光伏电缆产品在规格上略有差异。本次环评将其生产流程及产污环节分析进行合并说明，鉴于两个车间分别设置一套废气处理装置，在文本描述中针对废气产污节点分析及达标性分析分别展开说明，其余固废、噪声等要素按统一评价。</w:t>
            </w:r>
          </w:p>
          <w:p w14:paraId="7C49D196">
            <w:pPr>
              <w:spacing w:line="360" w:lineRule="auto"/>
              <w:jc w:val="left"/>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注：（1）新能源线缆车间G</w:t>
            </w:r>
            <w:r>
              <w:rPr>
                <w:rFonts w:hint="eastAsia"/>
                <w:b/>
                <w:color w:val="000000" w:themeColor="text1"/>
                <w:kern w:val="0"/>
                <w:sz w:val="21"/>
                <w:szCs w:val="21"/>
                <w:vertAlign w:val="subscript"/>
                <w14:textFill>
                  <w14:solidFill>
                    <w14:schemeClr w14:val="tx1"/>
                  </w14:solidFill>
                </w14:textFill>
              </w:rPr>
              <w:t>2-1</w:t>
            </w:r>
            <w:r>
              <w:rPr>
                <w:b/>
                <w:color w:val="000000" w:themeColor="text1"/>
                <w:kern w:val="0"/>
                <w:sz w:val="21"/>
                <w:szCs w:val="21"/>
                <w:vertAlign w:val="subscript"/>
                <w14:textFill>
                  <w14:solidFill>
                    <w14:schemeClr w14:val="tx1"/>
                  </w14:solidFill>
                </w14:textFill>
              </w:rPr>
              <w:t>-1</w:t>
            </w:r>
            <w:r>
              <w:rPr>
                <w:rFonts w:hint="eastAsia"/>
                <w:b/>
                <w:color w:val="000000" w:themeColor="text1"/>
                <w:kern w:val="0"/>
                <w:sz w:val="21"/>
                <w:szCs w:val="21"/>
                <w:vertAlign w:val="baseline"/>
                <w14:textFill>
                  <w14:solidFill>
                    <w14:schemeClr w14:val="tx1"/>
                  </w14:solidFill>
                </w14:textFill>
              </w:rPr>
              <w:t>绝缘</w:t>
            </w:r>
            <w:r>
              <w:rPr>
                <w:rFonts w:hint="eastAsia"/>
                <w:b/>
                <w:color w:val="000000" w:themeColor="text1"/>
                <w:kern w:val="0"/>
                <w:sz w:val="21"/>
                <w:szCs w:val="21"/>
                <w14:textFill>
                  <w14:solidFill>
                    <w14:schemeClr w14:val="tx1"/>
                  </w14:solidFill>
                </w14:textFill>
              </w:rPr>
              <w:t>挤出废气（非甲烷总烃）、G</w:t>
            </w:r>
            <w:r>
              <w:rPr>
                <w:rFonts w:hint="eastAsia"/>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vertAlign w:val="subscript"/>
                <w:lang w:val="en-US" w:eastAsia="zh-CN"/>
                <w14:textFill>
                  <w14:solidFill>
                    <w14:schemeClr w14:val="tx1"/>
                  </w14:solidFill>
                </w14:textFill>
              </w:rPr>
              <w:t>1</w:t>
            </w:r>
            <w:r>
              <w:rPr>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vertAlign w:val="baseline"/>
                <w14:textFill>
                  <w14:solidFill>
                    <w14:schemeClr w14:val="tx1"/>
                  </w14:solidFill>
                </w14:textFill>
              </w:rPr>
              <w:t>护套</w:t>
            </w:r>
            <w:r>
              <w:rPr>
                <w:rFonts w:hint="eastAsia"/>
                <w:b/>
                <w:color w:val="000000" w:themeColor="text1"/>
                <w:kern w:val="0"/>
                <w:sz w:val="21"/>
                <w:szCs w:val="21"/>
                <w14:textFill>
                  <w14:solidFill>
                    <w14:schemeClr w14:val="tx1"/>
                  </w14:solidFill>
                </w14:textFill>
              </w:rPr>
              <w:t>挤出废气（非甲烷总烃、HCl）、G</w:t>
            </w:r>
            <w:r>
              <w:rPr>
                <w:rFonts w:hint="eastAsia"/>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vertAlign w:val="subscript"/>
                <w:lang w:val="en-US" w:eastAsia="zh-CN"/>
                <w14:textFill>
                  <w14:solidFill>
                    <w14:schemeClr w14:val="tx1"/>
                  </w14:solidFill>
                </w14:textFill>
              </w:rPr>
              <w:t>1</w:t>
            </w:r>
            <w:r>
              <w:rPr>
                <w:b/>
                <w:color w:val="000000" w:themeColor="text1"/>
                <w:kern w:val="0"/>
                <w:sz w:val="21"/>
                <w:szCs w:val="21"/>
                <w:vertAlign w:val="subscript"/>
                <w14:textFill>
                  <w14:solidFill>
                    <w14:schemeClr w14:val="tx1"/>
                  </w14:solidFill>
                </w14:textFill>
              </w:rPr>
              <w:t>-3</w:t>
            </w:r>
            <w:r>
              <w:rPr>
                <w:rFonts w:hint="eastAsia"/>
                <w:b/>
                <w:color w:val="000000" w:themeColor="text1"/>
                <w:kern w:val="0"/>
                <w:sz w:val="21"/>
                <w:szCs w:val="21"/>
                <w:vertAlign w:val="baseline"/>
                <w14:textFill>
                  <w14:solidFill>
                    <w14:schemeClr w14:val="tx1"/>
                  </w14:solidFill>
                </w14:textFill>
              </w:rPr>
              <w:t>喷码废气</w:t>
            </w:r>
            <w:r>
              <w:rPr>
                <w:rFonts w:hint="eastAsia"/>
                <w:b/>
                <w:color w:val="000000" w:themeColor="text1"/>
                <w:kern w:val="0"/>
                <w:sz w:val="21"/>
                <w:szCs w:val="21"/>
                <w14:textFill>
                  <w14:solidFill>
                    <w14:schemeClr w14:val="tx1"/>
                  </w14:solidFill>
                </w14:textFill>
              </w:rPr>
              <w:t>（非甲烷总烃）、N噪声、S</w:t>
            </w:r>
            <w:r>
              <w:rPr>
                <w:rFonts w:hint="eastAsia"/>
                <w:b/>
                <w:color w:val="000000" w:themeColor="text1"/>
                <w:kern w:val="0"/>
                <w:sz w:val="21"/>
                <w:szCs w:val="21"/>
                <w:vertAlign w:val="subscript"/>
                <w14:textFill>
                  <w14:solidFill>
                    <w14:schemeClr w14:val="tx1"/>
                  </w14:solidFill>
                </w14:textFill>
              </w:rPr>
              <w:t>2-1</w:t>
            </w:r>
            <w:r>
              <w:rPr>
                <w:rFonts w:hint="eastAsia"/>
                <w:b/>
                <w:color w:val="000000" w:themeColor="text1"/>
                <w:kern w:val="0"/>
                <w:sz w:val="21"/>
                <w:szCs w:val="21"/>
                <w14:textFill>
                  <w14:solidFill>
                    <w14:schemeClr w14:val="tx1"/>
                  </w14:solidFill>
                </w14:textFill>
              </w:rPr>
              <w:t>废铜丝、S</w:t>
            </w:r>
            <w:r>
              <w:rPr>
                <w:rFonts w:hint="eastAsia"/>
                <w:b/>
                <w:color w:val="000000" w:themeColor="text1"/>
                <w:kern w:val="0"/>
                <w:sz w:val="21"/>
                <w:szCs w:val="21"/>
                <w:vertAlign w:val="subscript"/>
                <w14:textFill>
                  <w14:solidFill>
                    <w14:schemeClr w14:val="tx1"/>
                  </w14:solidFill>
                </w14:textFill>
              </w:rPr>
              <w:t>2-2</w:t>
            </w:r>
            <w:r>
              <w:rPr>
                <w:rFonts w:hint="eastAsia"/>
                <w:b/>
                <w:color w:val="000000" w:themeColor="text1"/>
                <w:kern w:val="0"/>
                <w:sz w:val="21"/>
                <w:szCs w:val="21"/>
                <w14:textFill>
                  <w14:solidFill>
                    <w14:schemeClr w14:val="tx1"/>
                  </w14:solidFill>
                </w14:textFill>
              </w:rPr>
              <w:t>废边角料、S</w:t>
            </w:r>
            <w:r>
              <w:rPr>
                <w:rFonts w:hint="eastAsia"/>
                <w:b/>
                <w:color w:val="000000" w:themeColor="text1"/>
                <w:kern w:val="0"/>
                <w:sz w:val="21"/>
                <w:szCs w:val="21"/>
                <w:vertAlign w:val="subscript"/>
                <w14:textFill>
                  <w14:solidFill>
                    <w14:schemeClr w14:val="tx1"/>
                  </w14:solidFill>
                </w14:textFill>
              </w:rPr>
              <w:t>2-3</w:t>
            </w:r>
            <w:r>
              <w:rPr>
                <w:rFonts w:hint="eastAsia"/>
                <w:b/>
                <w:color w:val="000000" w:themeColor="text1"/>
                <w:kern w:val="0"/>
                <w:sz w:val="21"/>
                <w:szCs w:val="21"/>
                <w14:textFill>
                  <w14:solidFill>
                    <w14:schemeClr w14:val="tx1"/>
                  </w14:solidFill>
                </w14:textFill>
              </w:rPr>
              <w:t>不合格品、S</w:t>
            </w:r>
            <w:r>
              <w:rPr>
                <w:rFonts w:hint="eastAsia"/>
                <w:b/>
                <w:color w:val="000000" w:themeColor="text1"/>
                <w:kern w:val="0"/>
                <w:sz w:val="21"/>
                <w:szCs w:val="21"/>
                <w:vertAlign w:val="subscript"/>
                <w14:textFill>
                  <w14:solidFill>
                    <w14:schemeClr w14:val="tx1"/>
                  </w14:solidFill>
                </w14:textFill>
              </w:rPr>
              <w:t>2-4</w:t>
            </w:r>
            <w:r>
              <w:rPr>
                <w:rFonts w:hint="eastAsia"/>
                <w:b/>
                <w:color w:val="000000" w:themeColor="text1"/>
                <w:kern w:val="0"/>
                <w:sz w:val="21"/>
                <w:szCs w:val="21"/>
                <w14:textFill>
                  <w14:solidFill>
                    <w14:schemeClr w14:val="tx1"/>
                  </w14:solidFill>
                </w14:textFill>
              </w:rPr>
              <w:t>废包装材料、S</w:t>
            </w:r>
            <w:r>
              <w:rPr>
                <w:rFonts w:hint="eastAsia"/>
                <w:b/>
                <w:color w:val="000000" w:themeColor="text1"/>
                <w:kern w:val="0"/>
                <w:sz w:val="21"/>
                <w:szCs w:val="21"/>
                <w:vertAlign w:val="subscript"/>
                <w14:textFill>
                  <w14:solidFill>
                    <w14:schemeClr w14:val="tx1"/>
                  </w14:solidFill>
                </w14:textFill>
              </w:rPr>
              <w:t>2-5</w:t>
            </w:r>
            <w:r>
              <w:rPr>
                <w:rFonts w:hint="eastAsia"/>
                <w:b/>
                <w:color w:val="000000" w:themeColor="text1"/>
                <w:kern w:val="0"/>
                <w:sz w:val="21"/>
                <w:szCs w:val="21"/>
                <w14:textFill>
                  <w14:solidFill>
                    <w14:schemeClr w14:val="tx1"/>
                  </w14:solidFill>
                </w14:textFill>
              </w:rPr>
              <w:t>废边角料、S</w:t>
            </w:r>
            <w:r>
              <w:rPr>
                <w:rFonts w:hint="eastAsia"/>
                <w:b/>
                <w:color w:val="000000" w:themeColor="text1"/>
                <w:kern w:val="0"/>
                <w:sz w:val="21"/>
                <w:szCs w:val="21"/>
                <w:vertAlign w:val="subscript"/>
                <w14:textFill>
                  <w14:solidFill>
                    <w14:schemeClr w14:val="tx1"/>
                  </w14:solidFill>
                </w14:textFill>
              </w:rPr>
              <w:t>2-6</w:t>
            </w:r>
            <w:r>
              <w:rPr>
                <w:rFonts w:hint="eastAsia"/>
                <w:b/>
                <w:color w:val="000000" w:themeColor="text1"/>
                <w:kern w:val="0"/>
                <w:sz w:val="21"/>
                <w:szCs w:val="21"/>
                <w14:textFill>
                  <w14:solidFill>
                    <w14:schemeClr w14:val="tx1"/>
                  </w14:solidFill>
                </w14:textFill>
              </w:rPr>
              <w:t>废油墨桶、S</w:t>
            </w:r>
            <w:r>
              <w:rPr>
                <w:rFonts w:hint="eastAsia"/>
                <w:b/>
                <w:color w:val="000000" w:themeColor="text1"/>
                <w:kern w:val="0"/>
                <w:sz w:val="21"/>
                <w:szCs w:val="21"/>
                <w:vertAlign w:val="subscript"/>
                <w14:textFill>
                  <w14:solidFill>
                    <w14:schemeClr w14:val="tx1"/>
                  </w14:solidFill>
                </w14:textFill>
              </w:rPr>
              <w:t>2-7</w:t>
            </w:r>
            <w:r>
              <w:rPr>
                <w:rFonts w:hint="eastAsia"/>
                <w:b/>
                <w:color w:val="000000" w:themeColor="text1"/>
                <w:kern w:val="0"/>
                <w:sz w:val="21"/>
                <w:szCs w:val="21"/>
                <w14:textFill>
                  <w14:solidFill>
                    <w14:schemeClr w14:val="tx1"/>
                  </w14:solidFill>
                </w14:textFill>
              </w:rPr>
              <w:t>废包装材料。</w:t>
            </w:r>
          </w:p>
          <w:p w14:paraId="2AF3F32F">
            <w:pPr>
              <w:spacing w:line="360" w:lineRule="auto"/>
              <w:jc w:val="left"/>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w:t>
            </w:r>
            <w:r>
              <w:rPr>
                <w:b/>
                <w:color w:val="000000" w:themeColor="text1"/>
                <w:kern w:val="0"/>
                <w:sz w:val="21"/>
                <w:szCs w:val="21"/>
                <w14:textFill>
                  <w14:solidFill>
                    <w14:schemeClr w14:val="tx1"/>
                  </w14:solidFill>
                </w14:textFill>
              </w:rPr>
              <w:t>2</w:t>
            </w:r>
            <w:r>
              <w:rPr>
                <w:rFonts w:hint="eastAsia"/>
                <w:b/>
                <w:color w:val="000000" w:themeColor="text1"/>
                <w:kern w:val="0"/>
                <w:sz w:val="21"/>
                <w:szCs w:val="21"/>
                <w14:textFill>
                  <w14:solidFill>
                    <w14:schemeClr w14:val="tx1"/>
                  </w14:solidFill>
                </w14:textFill>
              </w:rPr>
              <w:t>）低压线缆车间:G</w:t>
            </w:r>
            <w:r>
              <w:rPr>
                <w:rFonts w:hint="eastAsia"/>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vertAlign w:val="subscript"/>
                <w:lang w:val="en-US" w:eastAsia="zh-CN"/>
                <w14:textFill>
                  <w14:solidFill>
                    <w14:schemeClr w14:val="tx1"/>
                  </w14:solidFill>
                </w14:textFill>
              </w:rPr>
              <w:t>2-1</w:t>
            </w:r>
            <w:r>
              <w:rPr>
                <w:rFonts w:hint="eastAsia"/>
                <w:b/>
                <w:color w:val="000000" w:themeColor="text1"/>
                <w:kern w:val="0"/>
                <w:sz w:val="21"/>
                <w:szCs w:val="21"/>
                <w14:textFill>
                  <w14:solidFill>
                    <w14:schemeClr w14:val="tx1"/>
                  </w14:solidFill>
                </w14:textFill>
              </w:rPr>
              <w:t>绝缘挤出废气（非甲烷总烃）、G</w:t>
            </w:r>
            <w:r>
              <w:rPr>
                <w:rFonts w:hint="eastAsia"/>
                <w:b/>
                <w:color w:val="000000" w:themeColor="text1"/>
                <w:kern w:val="0"/>
                <w:sz w:val="21"/>
                <w:szCs w:val="21"/>
                <w:vertAlign w:val="subscript"/>
                <w14:textFill>
                  <w14:solidFill>
                    <w14:schemeClr w14:val="tx1"/>
                  </w14:solidFill>
                </w14:textFill>
              </w:rPr>
              <w:t>2-2</w:t>
            </w:r>
            <w:r>
              <w:rPr>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14:textFill>
                  <w14:solidFill>
                    <w14:schemeClr w14:val="tx1"/>
                  </w14:solidFill>
                </w14:textFill>
              </w:rPr>
              <w:t>护套挤出废气（非甲烷总烃、HCl）、G</w:t>
            </w:r>
            <w:r>
              <w:rPr>
                <w:rFonts w:hint="eastAsia"/>
                <w:b/>
                <w:color w:val="000000" w:themeColor="text1"/>
                <w:kern w:val="0"/>
                <w:sz w:val="21"/>
                <w:szCs w:val="21"/>
                <w:vertAlign w:val="subscript"/>
                <w14:textFill>
                  <w14:solidFill>
                    <w14:schemeClr w14:val="tx1"/>
                  </w14:solidFill>
                </w14:textFill>
              </w:rPr>
              <w:t>2-</w:t>
            </w:r>
            <w:r>
              <w:rPr>
                <w:rFonts w:hint="eastAsia"/>
                <w:b/>
                <w:color w:val="000000" w:themeColor="text1"/>
                <w:kern w:val="0"/>
                <w:sz w:val="21"/>
                <w:szCs w:val="21"/>
                <w:vertAlign w:val="subscript"/>
                <w:lang w:val="en-US" w:eastAsia="zh-CN"/>
                <w14:textFill>
                  <w14:solidFill>
                    <w14:schemeClr w14:val="tx1"/>
                  </w14:solidFill>
                </w14:textFill>
              </w:rPr>
              <w:t>2</w:t>
            </w:r>
            <w:r>
              <w:rPr>
                <w:b/>
                <w:color w:val="000000" w:themeColor="text1"/>
                <w:kern w:val="0"/>
                <w:sz w:val="21"/>
                <w:szCs w:val="21"/>
                <w:vertAlign w:val="subscript"/>
                <w14:textFill>
                  <w14:solidFill>
                    <w14:schemeClr w14:val="tx1"/>
                  </w14:solidFill>
                </w14:textFill>
              </w:rPr>
              <w:t>-</w:t>
            </w:r>
            <w:r>
              <w:rPr>
                <w:rFonts w:hint="eastAsia"/>
                <w:b/>
                <w:color w:val="000000" w:themeColor="text1"/>
                <w:kern w:val="0"/>
                <w:sz w:val="21"/>
                <w:szCs w:val="21"/>
                <w:vertAlign w:val="subscript"/>
                <w:lang w:val="en-US" w:eastAsia="zh-CN"/>
                <w14:textFill>
                  <w14:solidFill>
                    <w14:schemeClr w14:val="tx1"/>
                  </w14:solidFill>
                </w14:textFill>
              </w:rPr>
              <w:t>3</w:t>
            </w:r>
            <w:r>
              <w:rPr>
                <w:rFonts w:hint="eastAsia"/>
                <w:b/>
                <w:color w:val="000000" w:themeColor="text1"/>
                <w:kern w:val="0"/>
                <w:sz w:val="21"/>
                <w:szCs w:val="21"/>
                <w14:textFill>
                  <w14:solidFill>
                    <w14:schemeClr w14:val="tx1"/>
                  </w14:solidFill>
                </w14:textFill>
              </w:rPr>
              <w:t>喷码废气（非甲烷总烃）、N噪声、S</w:t>
            </w:r>
            <w:r>
              <w:rPr>
                <w:rFonts w:hint="eastAsia"/>
                <w:b/>
                <w:color w:val="000000" w:themeColor="text1"/>
                <w:kern w:val="0"/>
                <w:sz w:val="21"/>
                <w:szCs w:val="21"/>
                <w:vertAlign w:val="subscript"/>
                <w14:textFill>
                  <w14:solidFill>
                    <w14:schemeClr w14:val="tx1"/>
                  </w14:solidFill>
                </w14:textFill>
              </w:rPr>
              <w:t>2-1</w:t>
            </w:r>
            <w:r>
              <w:rPr>
                <w:rFonts w:hint="eastAsia"/>
                <w:b/>
                <w:color w:val="000000" w:themeColor="text1"/>
                <w:kern w:val="0"/>
                <w:sz w:val="21"/>
                <w:szCs w:val="21"/>
                <w14:textFill>
                  <w14:solidFill>
                    <w14:schemeClr w14:val="tx1"/>
                  </w14:solidFill>
                </w14:textFill>
              </w:rPr>
              <w:t>废铜丝、S</w:t>
            </w:r>
            <w:r>
              <w:rPr>
                <w:rFonts w:hint="eastAsia"/>
                <w:b/>
                <w:color w:val="000000" w:themeColor="text1"/>
                <w:kern w:val="0"/>
                <w:sz w:val="21"/>
                <w:szCs w:val="21"/>
                <w:vertAlign w:val="subscript"/>
                <w14:textFill>
                  <w14:solidFill>
                    <w14:schemeClr w14:val="tx1"/>
                  </w14:solidFill>
                </w14:textFill>
              </w:rPr>
              <w:t>2-2</w:t>
            </w:r>
            <w:r>
              <w:rPr>
                <w:rFonts w:hint="eastAsia"/>
                <w:b/>
                <w:color w:val="000000" w:themeColor="text1"/>
                <w:kern w:val="0"/>
                <w:sz w:val="21"/>
                <w:szCs w:val="21"/>
                <w14:textFill>
                  <w14:solidFill>
                    <w14:schemeClr w14:val="tx1"/>
                  </w14:solidFill>
                </w14:textFill>
              </w:rPr>
              <w:t>废边角料、S</w:t>
            </w:r>
            <w:r>
              <w:rPr>
                <w:rFonts w:hint="eastAsia"/>
                <w:b/>
                <w:color w:val="000000" w:themeColor="text1"/>
                <w:kern w:val="0"/>
                <w:sz w:val="21"/>
                <w:szCs w:val="21"/>
                <w:vertAlign w:val="subscript"/>
                <w14:textFill>
                  <w14:solidFill>
                    <w14:schemeClr w14:val="tx1"/>
                  </w14:solidFill>
                </w14:textFill>
              </w:rPr>
              <w:t>2-3</w:t>
            </w:r>
            <w:r>
              <w:rPr>
                <w:rFonts w:hint="eastAsia"/>
                <w:b/>
                <w:color w:val="000000" w:themeColor="text1"/>
                <w:kern w:val="0"/>
                <w:sz w:val="21"/>
                <w:szCs w:val="21"/>
                <w14:textFill>
                  <w14:solidFill>
                    <w14:schemeClr w14:val="tx1"/>
                  </w14:solidFill>
                </w14:textFill>
              </w:rPr>
              <w:t>不合格品、S</w:t>
            </w:r>
            <w:r>
              <w:rPr>
                <w:rFonts w:hint="eastAsia"/>
                <w:b/>
                <w:color w:val="000000" w:themeColor="text1"/>
                <w:kern w:val="0"/>
                <w:sz w:val="21"/>
                <w:szCs w:val="21"/>
                <w:vertAlign w:val="subscript"/>
                <w14:textFill>
                  <w14:solidFill>
                    <w14:schemeClr w14:val="tx1"/>
                  </w14:solidFill>
                </w14:textFill>
              </w:rPr>
              <w:t>2-4</w:t>
            </w:r>
            <w:r>
              <w:rPr>
                <w:rFonts w:hint="eastAsia"/>
                <w:b/>
                <w:color w:val="000000" w:themeColor="text1"/>
                <w:kern w:val="0"/>
                <w:sz w:val="21"/>
                <w:szCs w:val="21"/>
                <w14:textFill>
                  <w14:solidFill>
                    <w14:schemeClr w14:val="tx1"/>
                  </w14:solidFill>
                </w14:textFill>
              </w:rPr>
              <w:t>废包装材料、S</w:t>
            </w:r>
            <w:r>
              <w:rPr>
                <w:rFonts w:hint="eastAsia"/>
                <w:b/>
                <w:color w:val="000000" w:themeColor="text1"/>
                <w:kern w:val="0"/>
                <w:sz w:val="21"/>
                <w:szCs w:val="21"/>
                <w:vertAlign w:val="subscript"/>
                <w14:textFill>
                  <w14:solidFill>
                    <w14:schemeClr w14:val="tx1"/>
                  </w14:solidFill>
                </w14:textFill>
              </w:rPr>
              <w:t>2-5</w:t>
            </w:r>
            <w:r>
              <w:rPr>
                <w:rFonts w:hint="eastAsia"/>
                <w:b/>
                <w:color w:val="000000" w:themeColor="text1"/>
                <w:kern w:val="0"/>
                <w:sz w:val="21"/>
                <w:szCs w:val="21"/>
                <w14:textFill>
                  <w14:solidFill>
                    <w14:schemeClr w14:val="tx1"/>
                  </w14:solidFill>
                </w14:textFill>
              </w:rPr>
              <w:t>废边角料、S</w:t>
            </w:r>
            <w:r>
              <w:rPr>
                <w:rFonts w:hint="eastAsia"/>
                <w:b/>
                <w:color w:val="000000" w:themeColor="text1"/>
                <w:kern w:val="0"/>
                <w:sz w:val="21"/>
                <w:szCs w:val="21"/>
                <w:vertAlign w:val="subscript"/>
                <w14:textFill>
                  <w14:solidFill>
                    <w14:schemeClr w14:val="tx1"/>
                  </w14:solidFill>
                </w14:textFill>
              </w:rPr>
              <w:t>2-6</w:t>
            </w:r>
            <w:r>
              <w:rPr>
                <w:rFonts w:hint="eastAsia"/>
                <w:b/>
                <w:color w:val="000000" w:themeColor="text1"/>
                <w:kern w:val="0"/>
                <w:sz w:val="21"/>
                <w:szCs w:val="21"/>
                <w14:textFill>
                  <w14:solidFill>
                    <w14:schemeClr w14:val="tx1"/>
                  </w14:solidFill>
                </w14:textFill>
              </w:rPr>
              <w:t>废油墨桶、S</w:t>
            </w:r>
            <w:r>
              <w:rPr>
                <w:rFonts w:hint="eastAsia"/>
                <w:b/>
                <w:color w:val="000000" w:themeColor="text1"/>
                <w:kern w:val="0"/>
                <w:sz w:val="21"/>
                <w:szCs w:val="21"/>
                <w:vertAlign w:val="subscript"/>
                <w14:textFill>
                  <w14:solidFill>
                    <w14:schemeClr w14:val="tx1"/>
                  </w14:solidFill>
                </w14:textFill>
              </w:rPr>
              <w:t>2-7</w:t>
            </w:r>
            <w:r>
              <w:rPr>
                <w:rFonts w:hint="eastAsia"/>
                <w:b/>
                <w:color w:val="000000" w:themeColor="text1"/>
                <w:kern w:val="0"/>
                <w:sz w:val="21"/>
                <w:szCs w:val="21"/>
                <w14:textFill>
                  <w14:solidFill>
                    <w14:schemeClr w14:val="tx1"/>
                  </w14:solidFill>
                </w14:textFill>
              </w:rPr>
              <w:t>废包装材料。</w:t>
            </w:r>
          </w:p>
          <w:p w14:paraId="36FA5EB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工艺说明：</w:t>
            </w:r>
          </w:p>
          <w:p w14:paraId="3E0FF8E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绞合：将铜丝进入束丝机按一定的方向和规则纹合在一起，成为一个整体的绞合线芯。此工序产生：S</w:t>
            </w:r>
            <w:r>
              <w:rPr>
                <w:rFonts w:hint="eastAsia"/>
                <w:color w:val="000000" w:themeColor="text1"/>
                <w:vertAlign w:val="subscript"/>
                <w14:textFill>
                  <w14:solidFill>
                    <w14:schemeClr w14:val="tx1"/>
                  </w14:solidFill>
                </w14:textFill>
              </w:rPr>
              <w:t>2-1</w:t>
            </w:r>
            <w:r>
              <w:rPr>
                <w:rFonts w:hint="eastAsia"/>
                <w:color w:val="000000" w:themeColor="text1"/>
                <w14:textFill>
                  <w14:solidFill>
                    <w14:schemeClr w14:val="tx1"/>
                  </w14:solidFill>
                </w14:textFill>
              </w:rPr>
              <w:t>废铜丝。</w:t>
            </w:r>
          </w:p>
          <w:p w14:paraId="05CD9EA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绝缘挤出：将原料送入自动化塑料挤出成套设备，塑料颗粒进入料斗中的喂料口，并经螺杆带进螺筒，螺杆及螺筒采用电加热调整温度，使塑料颗粒在螺筒内前进时逐渐变成可塑状态，绝缘材料包覆在导体外面形成电线，挤塑过程中不需添加助剂。此工序产生：G</w:t>
            </w:r>
            <w:r>
              <w:rPr>
                <w:rFonts w:hint="eastAsia"/>
                <w:color w:val="000000" w:themeColor="text1"/>
                <w:vertAlign w:val="subscript"/>
                <w14:textFill>
                  <w14:solidFill>
                    <w14:schemeClr w14:val="tx1"/>
                  </w14:solidFill>
                </w14:textFill>
              </w:rPr>
              <w:t>2-1-1</w:t>
            </w:r>
            <w:r>
              <w:rPr>
                <w:rFonts w:hint="eastAsia"/>
                <w:color w:val="000000" w:themeColor="text1"/>
                <w14:textFill>
                  <w14:solidFill>
                    <w14:schemeClr w14:val="tx1"/>
                  </w14:solidFill>
                </w14:textFill>
              </w:rPr>
              <w:t>绝缘挤出废气（非甲烷总烃）、G</w:t>
            </w:r>
            <w:r>
              <w:rPr>
                <w:rFonts w:hint="eastAsia"/>
                <w:color w:val="000000" w:themeColor="text1"/>
                <w:vertAlign w:val="subscript"/>
                <w14:textFill>
                  <w14:solidFill>
                    <w14:schemeClr w14:val="tx1"/>
                  </w14:solidFill>
                </w14:textFill>
              </w:rPr>
              <w:t>2-</w:t>
            </w:r>
            <w:r>
              <w:rPr>
                <w:rFonts w:hint="eastAsia"/>
                <w:color w:val="000000" w:themeColor="text1"/>
                <w:vertAlign w:val="subscript"/>
                <w:lang w:val="en-US" w:eastAsia="zh-CN"/>
                <w14:textFill>
                  <w14:solidFill>
                    <w14:schemeClr w14:val="tx1"/>
                  </w14:solidFill>
                </w14:textFill>
              </w:rPr>
              <w:t>2</w:t>
            </w:r>
            <w:r>
              <w:rPr>
                <w:rFonts w:hint="eastAsia"/>
                <w:color w:val="000000" w:themeColor="text1"/>
                <w:vertAlign w:val="subscript"/>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1</w:t>
            </w:r>
            <w:r>
              <w:rPr>
                <w:rFonts w:hint="eastAsia"/>
                <w:color w:val="000000" w:themeColor="text1"/>
                <w14:textFill>
                  <w14:solidFill>
                    <w14:schemeClr w14:val="tx1"/>
                  </w14:solidFill>
                </w14:textFill>
              </w:rPr>
              <w:t>绝缘挤出废气（非甲烷总烃）、S</w:t>
            </w:r>
            <w:r>
              <w:rPr>
                <w:rFonts w:hint="eastAsia"/>
                <w:color w:val="000000" w:themeColor="text1"/>
                <w:vertAlign w:val="subscript"/>
                <w14:textFill>
                  <w14:solidFill>
                    <w14:schemeClr w14:val="tx1"/>
                  </w14:solidFill>
                </w14:textFill>
              </w:rPr>
              <w:t>2-2</w:t>
            </w:r>
            <w:r>
              <w:rPr>
                <w:rFonts w:hint="eastAsia"/>
                <w:color w:val="000000" w:themeColor="text1"/>
                <w14:textFill>
                  <w14:solidFill>
                    <w14:schemeClr w14:val="tx1"/>
                  </w14:solidFill>
                </w14:textFill>
              </w:rPr>
              <w:t>废边角料。</w:t>
            </w:r>
          </w:p>
          <w:p w14:paraId="3C4B23A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冷却：产品绝缘过程中需使用冷却循环水（采用直接冷却方式进行冷却），循环方式为通过项目区设置的循环水池接入冷却水槽进行循环使用定期补充新鲜水即可，冷却废水循环使用。</w:t>
            </w:r>
          </w:p>
          <w:p w14:paraId="29A2F0F1">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火花检测：利用高频火花机在线检测绝缘是否破损，确保电缆绝缘层无漏电现象。此工序产生：S</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不合格品。</w:t>
            </w:r>
          </w:p>
          <w:p w14:paraId="6B02276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绕包、铠装：</w:t>
            </w:r>
            <w:r>
              <w:rPr>
                <w:rFonts w:ascii="宋体" w:hAnsi="宋体" w:cs="宋体"/>
              </w:rPr>
              <w:t>A铠装：在电缆外绝缘层的外面在加上一层金属（镀锡锌钢带），保护电缆不会 被外界的机械力破坏、被化学气体腐蚀，形成电缆芯。铠装后的线对在绕包机上进行 再隔离层材料（PP填充绳）的包覆。B绕包是指将带状的绝缘材料通过绕包机将绕包带缠绕在电缆导体上的过程，在此生产过程中，需要对铠装填充的钢板或其他金属进行点焊（又称电阻点焊）或对焊（又称电阻对焊），点焊和对焊都是将焊件压紧在两个柱状电极之间，通电加热，使焊件在接触处熔化形成熔核，然后断电，并在压力下凝固结晶，形成组织致密的焊点。本项目因点焊和对焊都不使用焊材，故焊接过程中无焊接废气产生。</w:t>
            </w:r>
            <w:r>
              <w:rPr>
                <w:rFonts w:hint="eastAsia"/>
                <w:color w:val="000000" w:themeColor="text1"/>
                <w14:textFill>
                  <w14:solidFill>
                    <w14:schemeClr w14:val="tx1"/>
                  </w14:solidFill>
                </w14:textFill>
              </w:rPr>
              <w:t>此工序产生：S</w:t>
            </w:r>
            <w:r>
              <w:rPr>
                <w:rFonts w:hint="eastAsia"/>
                <w:color w:val="000000" w:themeColor="text1"/>
                <w:vertAlign w:val="subscript"/>
                <w14:textFill>
                  <w14:solidFill>
                    <w14:schemeClr w14:val="tx1"/>
                  </w14:solidFill>
                </w14:textFill>
              </w:rPr>
              <w:t>2-3</w:t>
            </w:r>
            <w:r>
              <w:rPr>
                <w:rFonts w:hint="eastAsia"/>
                <w:color w:val="000000" w:themeColor="text1"/>
                <w14:textFill>
                  <w14:solidFill>
                    <w14:schemeClr w14:val="tx1"/>
                  </w14:solidFill>
                </w14:textFill>
              </w:rPr>
              <w:t>废包装材料。</w:t>
            </w:r>
          </w:p>
          <w:p w14:paraId="4CADF90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护套挤出：在自动化塑料挤出成套设备的填料口放入护套料，同时将电缆芯放入，使电缆芯表层覆盖上塑料颗粒，聚氯乙烯颗粒在自动化塑料挤出成套设备高温电加热下熔融、塑化包裹住电缆芯，形成外护套。此工序产生：G</w:t>
            </w:r>
            <w:r>
              <w:rPr>
                <w:rFonts w:hint="eastAsia"/>
                <w:color w:val="000000" w:themeColor="text1"/>
                <w:vertAlign w:val="subscript"/>
                <w14:textFill>
                  <w14:solidFill>
                    <w14:schemeClr w14:val="tx1"/>
                  </w14:solidFill>
                </w14:textFill>
              </w:rPr>
              <w:t>2-</w:t>
            </w:r>
            <w:r>
              <w:rPr>
                <w:rFonts w:hint="eastAsia"/>
                <w:color w:val="000000" w:themeColor="text1"/>
                <w:vertAlign w:val="subscript"/>
                <w:lang w:val="en-US" w:eastAsia="zh-CN"/>
                <w14:textFill>
                  <w14:solidFill>
                    <w14:schemeClr w14:val="tx1"/>
                  </w14:solidFill>
                </w14:textFill>
              </w:rPr>
              <w:t>1-2</w:t>
            </w:r>
            <w:r>
              <w:rPr>
                <w:rFonts w:hint="eastAsia"/>
                <w:color w:val="000000" w:themeColor="text1"/>
                <w:lang w:val="en-US" w:eastAsia="zh-CN"/>
                <w14:textFill>
                  <w14:solidFill>
                    <w14:schemeClr w14:val="tx1"/>
                  </w14:solidFill>
                </w14:textFill>
              </w:rPr>
              <w:t>护套挤出废气（</w:t>
            </w:r>
            <w:r>
              <w:rPr>
                <w:rFonts w:hint="eastAsia"/>
                <w:color w:val="000000" w:themeColor="text1"/>
                <w14:textFill>
                  <w14:solidFill>
                    <w14:schemeClr w14:val="tx1"/>
                  </w14:solidFill>
                </w14:textFill>
              </w:rPr>
              <w:t>非甲烷总烃、HCl</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、G</w:t>
            </w:r>
            <w:r>
              <w:rPr>
                <w:rFonts w:hint="eastAsia"/>
                <w:color w:val="000000" w:themeColor="text1"/>
                <w:vertAlign w:val="subscript"/>
                <w14:textFill>
                  <w14:solidFill>
                    <w14:schemeClr w14:val="tx1"/>
                  </w14:solidFill>
                </w14:textFill>
              </w:rPr>
              <w:t>2-</w:t>
            </w:r>
            <w:r>
              <w:rPr>
                <w:rFonts w:hint="eastAsia"/>
                <w:color w:val="000000" w:themeColor="text1"/>
                <w:vertAlign w:val="subscript"/>
                <w:lang w:val="en-US" w:eastAsia="zh-CN"/>
                <w14:textFill>
                  <w14:solidFill>
                    <w14:schemeClr w14:val="tx1"/>
                  </w14:solidFill>
                </w14:textFill>
              </w:rPr>
              <w:t>2-2</w:t>
            </w:r>
            <w:r>
              <w:rPr>
                <w:rFonts w:hint="eastAsia"/>
                <w:color w:val="000000" w:themeColor="text1"/>
                <w:lang w:val="en-US" w:eastAsia="zh-CN"/>
                <w14:textFill>
                  <w14:solidFill>
                    <w14:schemeClr w14:val="tx1"/>
                  </w14:solidFill>
                </w14:textFill>
              </w:rPr>
              <w:t>护套挤出废气（</w:t>
            </w:r>
            <w:r>
              <w:rPr>
                <w:rFonts w:hint="eastAsia"/>
                <w:color w:val="000000" w:themeColor="text1"/>
                <w14:textFill>
                  <w14:solidFill>
                    <w14:schemeClr w14:val="tx1"/>
                  </w14:solidFill>
                </w14:textFill>
              </w:rPr>
              <w:t>非甲烷总烃、HCl</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废边角料。</w:t>
            </w:r>
          </w:p>
          <w:p w14:paraId="49364E8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冷却：产品护套挤塑过程中需使用冷却循环水进行冷却（冷却方式为直接冷却），循环方式为通过项目区设置的循环水池接入冷却水槽进行循环使用，并定期补充新鲜水，冷却废水循环使用。</w:t>
            </w:r>
          </w:p>
          <w:p w14:paraId="436FE04B">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喷码：用喷码机对产品印制电线电缆相关信息，使用水性油墨。此工序产生：</w:t>
            </w:r>
            <w:r>
              <w:rPr>
                <w:rFonts w:hint="eastAsia"/>
                <w:b w:val="0"/>
                <w:bCs/>
                <w:color w:val="000000" w:themeColor="text1"/>
                <w:kern w:val="0"/>
                <w:sz w:val="24"/>
                <w:szCs w:val="24"/>
                <w14:textFill>
                  <w14:solidFill>
                    <w14:schemeClr w14:val="tx1"/>
                  </w14:solidFill>
                </w14:textFill>
              </w:rPr>
              <w:t>G</w:t>
            </w:r>
            <w:r>
              <w:rPr>
                <w:rFonts w:hint="eastAsia"/>
                <w:b w:val="0"/>
                <w:bCs/>
                <w:color w:val="000000" w:themeColor="text1"/>
                <w:kern w:val="0"/>
                <w:sz w:val="24"/>
                <w:szCs w:val="24"/>
                <w:vertAlign w:val="subscript"/>
                <w14:textFill>
                  <w14:solidFill>
                    <w14:schemeClr w14:val="tx1"/>
                  </w14:solidFill>
                </w14:textFill>
              </w:rPr>
              <w:t>2-</w:t>
            </w:r>
            <w:r>
              <w:rPr>
                <w:rFonts w:hint="eastAsia"/>
                <w:b w:val="0"/>
                <w:bCs/>
                <w:color w:val="000000" w:themeColor="text1"/>
                <w:kern w:val="0"/>
                <w:sz w:val="24"/>
                <w:szCs w:val="24"/>
                <w:vertAlign w:val="subscript"/>
                <w:lang w:val="en-US" w:eastAsia="zh-CN"/>
                <w14:textFill>
                  <w14:solidFill>
                    <w14:schemeClr w14:val="tx1"/>
                  </w14:solidFill>
                </w14:textFill>
              </w:rPr>
              <w:t>1</w:t>
            </w:r>
            <w:r>
              <w:rPr>
                <w:b w:val="0"/>
                <w:bCs/>
                <w:color w:val="000000" w:themeColor="text1"/>
                <w:kern w:val="0"/>
                <w:sz w:val="24"/>
                <w:szCs w:val="24"/>
                <w:vertAlign w:val="subscript"/>
                <w14:textFill>
                  <w14:solidFill>
                    <w14:schemeClr w14:val="tx1"/>
                  </w14:solidFill>
                </w14:textFill>
              </w:rPr>
              <w:t>-</w:t>
            </w:r>
            <w:r>
              <w:rPr>
                <w:rFonts w:hint="eastAsia"/>
                <w:b w:val="0"/>
                <w:bCs/>
                <w:color w:val="000000" w:themeColor="text1"/>
                <w:kern w:val="0"/>
                <w:sz w:val="24"/>
                <w:szCs w:val="24"/>
                <w:vertAlign w:val="subscript"/>
                <w:lang w:val="en-US" w:eastAsia="zh-CN"/>
                <w14:textFill>
                  <w14:solidFill>
                    <w14:schemeClr w14:val="tx1"/>
                  </w14:solidFill>
                </w14:textFill>
              </w:rPr>
              <w:t>3</w:t>
            </w:r>
            <w:r>
              <w:rPr>
                <w:rFonts w:hint="eastAsia"/>
                <w:b w:val="0"/>
                <w:bCs/>
                <w:color w:val="000000" w:themeColor="text1"/>
                <w:kern w:val="0"/>
                <w:sz w:val="24"/>
                <w:szCs w:val="24"/>
                <w14:textFill>
                  <w14:solidFill>
                    <w14:schemeClr w14:val="tx1"/>
                  </w14:solidFill>
                </w14:textFill>
              </w:rPr>
              <w:t>喷码废气（非甲烷总烃）</w:t>
            </w:r>
            <w:r>
              <w:rPr>
                <w:rFonts w:hint="eastAsia"/>
                <w:b w:val="0"/>
                <w:bCs/>
                <w:color w:val="000000" w:themeColor="text1"/>
                <w:kern w:val="0"/>
                <w:sz w:val="24"/>
                <w:szCs w:val="24"/>
                <w:lang w:eastAsia="zh-CN"/>
                <w14:textFill>
                  <w14:solidFill>
                    <w14:schemeClr w14:val="tx1"/>
                  </w14:solidFill>
                </w14:textFill>
              </w:rPr>
              <w:t>、</w:t>
            </w:r>
            <w:r>
              <w:rPr>
                <w:rFonts w:hint="eastAsia"/>
                <w:b w:val="0"/>
                <w:bCs/>
                <w:color w:val="000000" w:themeColor="text1"/>
                <w:kern w:val="0"/>
                <w:sz w:val="24"/>
                <w:szCs w:val="24"/>
                <w14:textFill>
                  <w14:solidFill>
                    <w14:schemeClr w14:val="tx1"/>
                  </w14:solidFill>
                </w14:textFill>
              </w:rPr>
              <w:t>G</w:t>
            </w:r>
            <w:r>
              <w:rPr>
                <w:rFonts w:hint="eastAsia"/>
                <w:b w:val="0"/>
                <w:bCs/>
                <w:color w:val="000000" w:themeColor="text1"/>
                <w:kern w:val="0"/>
                <w:sz w:val="24"/>
                <w:szCs w:val="24"/>
                <w:vertAlign w:val="subscript"/>
                <w14:textFill>
                  <w14:solidFill>
                    <w14:schemeClr w14:val="tx1"/>
                  </w14:solidFill>
                </w14:textFill>
              </w:rPr>
              <w:t>2-</w:t>
            </w:r>
            <w:r>
              <w:rPr>
                <w:rFonts w:hint="eastAsia"/>
                <w:b w:val="0"/>
                <w:bCs/>
                <w:color w:val="000000" w:themeColor="text1"/>
                <w:kern w:val="0"/>
                <w:sz w:val="24"/>
                <w:szCs w:val="24"/>
                <w:vertAlign w:val="subscript"/>
                <w:lang w:val="en-US" w:eastAsia="zh-CN"/>
                <w14:textFill>
                  <w14:solidFill>
                    <w14:schemeClr w14:val="tx1"/>
                  </w14:solidFill>
                </w14:textFill>
              </w:rPr>
              <w:t>2</w:t>
            </w:r>
            <w:r>
              <w:rPr>
                <w:b w:val="0"/>
                <w:bCs/>
                <w:color w:val="000000" w:themeColor="text1"/>
                <w:kern w:val="0"/>
                <w:sz w:val="24"/>
                <w:szCs w:val="24"/>
                <w:vertAlign w:val="subscript"/>
                <w14:textFill>
                  <w14:solidFill>
                    <w14:schemeClr w14:val="tx1"/>
                  </w14:solidFill>
                </w14:textFill>
              </w:rPr>
              <w:t>-</w:t>
            </w:r>
            <w:r>
              <w:rPr>
                <w:rFonts w:hint="eastAsia"/>
                <w:b w:val="0"/>
                <w:bCs/>
                <w:color w:val="000000" w:themeColor="text1"/>
                <w:kern w:val="0"/>
                <w:sz w:val="24"/>
                <w:szCs w:val="24"/>
                <w:vertAlign w:val="subscript"/>
                <w:lang w:val="en-US" w:eastAsia="zh-CN"/>
                <w14:textFill>
                  <w14:solidFill>
                    <w14:schemeClr w14:val="tx1"/>
                  </w14:solidFill>
                </w14:textFill>
              </w:rPr>
              <w:t>3</w:t>
            </w:r>
            <w:r>
              <w:rPr>
                <w:rFonts w:hint="eastAsia"/>
                <w:b w:val="0"/>
                <w:bCs/>
                <w:color w:val="000000" w:themeColor="text1"/>
                <w:kern w:val="0"/>
                <w:sz w:val="24"/>
                <w:szCs w:val="24"/>
                <w14:textFill>
                  <w14:solidFill>
                    <w14:schemeClr w14:val="tx1"/>
                  </w14:solidFill>
                </w14:textFill>
              </w:rPr>
              <w:t>喷码废气（非甲烷总烃）</w:t>
            </w:r>
            <w:r>
              <w:rPr>
                <w:rFonts w:hint="eastAsia"/>
                <w:color w:val="000000" w:themeColor="text1"/>
                <w14:textFill>
                  <w14:solidFill>
                    <w14:schemeClr w14:val="tx1"/>
                  </w14:solidFill>
                </w14:textFill>
              </w:rPr>
              <w:t>、S</w:t>
            </w:r>
            <w:r>
              <w:rPr>
                <w:rFonts w:hint="eastAsia"/>
                <w:color w:val="000000" w:themeColor="text1"/>
                <w:vertAlign w:val="subscript"/>
                <w14:textFill>
                  <w14:solidFill>
                    <w14:schemeClr w14:val="tx1"/>
                  </w14:solidFill>
                </w14:textFill>
              </w:rPr>
              <w:t>2-6</w:t>
            </w:r>
            <w:r>
              <w:rPr>
                <w:rFonts w:hint="eastAsia"/>
                <w:color w:val="000000" w:themeColor="text1"/>
                <w14:textFill>
                  <w14:solidFill>
                    <w14:schemeClr w14:val="tx1"/>
                  </w14:solidFill>
                </w14:textFill>
              </w:rPr>
              <w:t>废油墨桶。</w:t>
            </w:r>
          </w:p>
          <w:p w14:paraId="35FC871F">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成圈、电缆成品入库：将电缆经成圈机打成盘状以便运输，打成圈的成品。此工序产生：S</w:t>
            </w:r>
            <w:r>
              <w:rPr>
                <w:rFonts w:hint="eastAsia"/>
                <w:color w:val="000000" w:themeColor="text1"/>
                <w:vertAlign w:val="subscript"/>
                <w14:textFill>
                  <w14:solidFill>
                    <w14:schemeClr w14:val="tx1"/>
                  </w14:solidFill>
                </w14:textFill>
              </w:rPr>
              <w:t>2-7</w:t>
            </w:r>
            <w:r>
              <w:rPr>
                <w:rFonts w:hint="eastAsia"/>
                <w:color w:val="000000" w:themeColor="text1"/>
                <w14:textFill>
                  <w14:solidFill>
                    <w14:schemeClr w14:val="tx1"/>
                  </w14:solidFill>
                </w14:textFill>
              </w:rPr>
              <w:t>废包装材料。</w:t>
            </w:r>
          </w:p>
          <w:p w14:paraId="33D87CF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③塑料制品：</w:t>
            </w:r>
          </w:p>
          <w:p w14:paraId="133FCFC1">
            <w:pPr>
              <w:pStyle w:val="8"/>
              <w:rPr>
                <w:color w:val="000000" w:themeColor="text1"/>
                <w14:textFill>
                  <w14:solidFill>
                    <w14:schemeClr w14:val="tx1"/>
                  </w14:solidFill>
                </w14:textFill>
              </w:rPr>
            </w:pPr>
            <w:r>
              <w:drawing>
                <wp:inline distT="0" distB="0" distL="114300" distR="114300">
                  <wp:extent cx="5043170" cy="1961515"/>
                  <wp:effectExtent l="0" t="0" r="508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8"/>
                          <a:stretch>
                            <a:fillRect/>
                          </a:stretch>
                        </pic:blipFill>
                        <pic:spPr>
                          <a:xfrm>
                            <a:off x="0" y="0"/>
                            <a:ext cx="5043170" cy="1961515"/>
                          </a:xfrm>
                          <a:prstGeom prst="rect">
                            <a:avLst/>
                          </a:prstGeom>
                          <a:noFill/>
                          <a:ln>
                            <a:noFill/>
                          </a:ln>
                        </pic:spPr>
                      </pic:pic>
                    </a:graphicData>
                  </a:graphic>
                </wp:inline>
              </w:drawing>
            </w:r>
          </w:p>
          <w:p w14:paraId="1211CA6D">
            <w:pPr>
              <w:spacing w:line="360" w:lineRule="auto"/>
              <w:jc w:val="center"/>
              <w:rPr>
                <w:color w:val="000000" w:themeColor="text1"/>
                <w14:textFill>
                  <w14:solidFill>
                    <w14:schemeClr w14:val="tx1"/>
                  </w14:solidFill>
                </w14:textFill>
              </w:rPr>
            </w:pPr>
            <w:r>
              <w:rPr>
                <w:b/>
                <w:color w:val="000000" w:themeColor="text1"/>
                <w:kern w:val="0"/>
                <w14:textFill>
                  <w14:solidFill>
                    <w14:schemeClr w14:val="tx1"/>
                  </w14:solidFill>
                </w14:textFill>
              </w:rPr>
              <w:t>图</w:t>
            </w:r>
            <w:r>
              <w:rPr>
                <w:rFonts w:hint="eastAsia"/>
                <w:b/>
                <w:color w:val="000000" w:themeColor="text1"/>
                <w:kern w:val="0"/>
                <w14:textFill>
                  <w14:solidFill>
                    <w14:schemeClr w14:val="tx1"/>
                  </w14:solidFill>
                </w14:textFill>
              </w:rPr>
              <w:t>2</w:t>
            </w:r>
            <w:r>
              <w:rPr>
                <w:b/>
                <w:color w:val="000000" w:themeColor="text1"/>
                <w:kern w:val="0"/>
                <w14:textFill>
                  <w14:solidFill>
                    <w14:schemeClr w14:val="tx1"/>
                  </w14:solidFill>
                </w14:textFill>
              </w:rPr>
              <w:t>-</w:t>
            </w:r>
            <w:r>
              <w:rPr>
                <w:rFonts w:hint="eastAsia"/>
                <w:b/>
                <w:color w:val="000000" w:themeColor="text1"/>
                <w:kern w:val="0"/>
                <w14:textFill>
                  <w14:solidFill>
                    <w14:schemeClr w14:val="tx1"/>
                  </w14:solidFill>
                </w14:textFill>
              </w:rPr>
              <w:t>5</w:t>
            </w:r>
            <w:r>
              <w:rPr>
                <w:b/>
                <w:color w:val="000000" w:themeColor="text1"/>
                <w:kern w:val="0"/>
                <w14:textFill>
                  <w14:solidFill>
                    <w14:schemeClr w14:val="tx1"/>
                  </w14:solidFill>
                </w14:textFill>
              </w:rPr>
              <w:t xml:space="preserve"> </w:t>
            </w:r>
            <w:r>
              <w:rPr>
                <w:rFonts w:hint="eastAsia"/>
                <w:b/>
                <w:color w:val="000000" w:themeColor="text1"/>
                <w:kern w:val="0"/>
                <w14:textFill>
                  <w14:solidFill>
                    <w14:schemeClr w14:val="tx1"/>
                  </w14:solidFill>
                </w14:textFill>
              </w:rPr>
              <w:t>塑料制品生产工艺流程图及产污环节</w:t>
            </w:r>
          </w:p>
          <w:p w14:paraId="4F8F6AA0">
            <w:pPr>
              <w:spacing w:line="360" w:lineRule="auto"/>
              <w:jc w:val="left"/>
              <w:rPr>
                <w:b/>
                <w:color w:val="000000" w:themeColor="text1"/>
                <w:kern w:val="0"/>
                <w:sz w:val="21"/>
                <w:szCs w:val="21"/>
                <w14:textFill>
                  <w14:solidFill>
                    <w14:schemeClr w14:val="tx1"/>
                  </w14:solidFill>
                </w14:textFill>
              </w:rPr>
            </w:pPr>
            <w:r>
              <w:rPr>
                <w:rFonts w:hint="eastAsia"/>
                <w:b/>
                <w:color w:val="000000" w:themeColor="text1"/>
                <w:kern w:val="0"/>
                <w:sz w:val="21"/>
                <w:szCs w:val="21"/>
                <w14:textFill>
                  <w14:solidFill>
                    <w14:schemeClr w14:val="tx1"/>
                  </w14:solidFill>
                </w14:textFill>
              </w:rPr>
              <w:t>注：G</w:t>
            </w:r>
            <w:r>
              <w:rPr>
                <w:rFonts w:hint="eastAsia"/>
                <w:b/>
                <w:color w:val="000000" w:themeColor="text1"/>
                <w:kern w:val="0"/>
                <w:sz w:val="21"/>
                <w:szCs w:val="21"/>
                <w:vertAlign w:val="subscript"/>
                <w14:textFill>
                  <w14:solidFill>
                    <w14:schemeClr w14:val="tx1"/>
                  </w14:solidFill>
                </w14:textFill>
              </w:rPr>
              <w:t>3-1</w:t>
            </w:r>
            <w:r>
              <w:rPr>
                <w:rFonts w:hint="eastAsia"/>
                <w:b/>
                <w:color w:val="000000" w:themeColor="text1"/>
                <w:kern w:val="0"/>
                <w:sz w:val="21"/>
                <w:szCs w:val="21"/>
                <w14:textFill>
                  <w14:solidFill>
                    <w14:schemeClr w14:val="tx1"/>
                  </w14:solidFill>
                </w14:textFill>
              </w:rPr>
              <w:t>投料粉尘、G</w:t>
            </w:r>
            <w:r>
              <w:rPr>
                <w:rFonts w:hint="eastAsia"/>
                <w:b/>
                <w:color w:val="000000" w:themeColor="text1"/>
                <w:kern w:val="0"/>
                <w:sz w:val="21"/>
                <w:szCs w:val="21"/>
                <w:vertAlign w:val="subscript"/>
                <w14:textFill>
                  <w14:solidFill>
                    <w14:schemeClr w14:val="tx1"/>
                  </w14:solidFill>
                </w14:textFill>
              </w:rPr>
              <w:t>3-2</w:t>
            </w:r>
            <w:r>
              <w:rPr>
                <w:rFonts w:hint="eastAsia"/>
                <w:b/>
                <w:color w:val="000000" w:themeColor="text1"/>
                <w:kern w:val="0"/>
                <w:sz w:val="21"/>
                <w:szCs w:val="21"/>
                <w14:textFill>
                  <w14:solidFill>
                    <w14:schemeClr w14:val="tx1"/>
                  </w14:solidFill>
                </w14:textFill>
              </w:rPr>
              <w:t>卸料粉尘、G</w:t>
            </w:r>
            <w:r>
              <w:rPr>
                <w:rFonts w:hint="eastAsia"/>
                <w:b/>
                <w:color w:val="000000" w:themeColor="text1"/>
                <w:kern w:val="0"/>
                <w:sz w:val="21"/>
                <w:szCs w:val="21"/>
                <w:vertAlign w:val="subscript"/>
                <w14:textFill>
                  <w14:solidFill>
                    <w14:schemeClr w14:val="tx1"/>
                  </w14:solidFill>
                </w14:textFill>
              </w:rPr>
              <w:t>3-3</w:t>
            </w:r>
            <w:r>
              <w:rPr>
                <w:rFonts w:hint="eastAsia"/>
                <w:b/>
                <w:color w:val="000000" w:themeColor="text1"/>
                <w:kern w:val="0"/>
                <w:sz w:val="21"/>
                <w:szCs w:val="21"/>
                <w:vertAlign w:val="baseline"/>
                <w14:textFill>
                  <w14:solidFill>
                    <w14:schemeClr w14:val="tx1"/>
                  </w14:solidFill>
                </w14:textFill>
              </w:rPr>
              <w:t>混炼挤出废气（</w:t>
            </w:r>
            <w:r>
              <w:rPr>
                <w:rFonts w:hint="eastAsia"/>
                <w:b/>
                <w:color w:val="000000" w:themeColor="text1"/>
                <w:kern w:val="0"/>
                <w:sz w:val="21"/>
                <w:szCs w:val="21"/>
                <w14:textFill>
                  <w14:solidFill>
                    <w14:schemeClr w14:val="tx1"/>
                  </w14:solidFill>
                </w14:textFill>
              </w:rPr>
              <w:t>非甲烷总烃、HCl</w:t>
            </w:r>
            <w:r>
              <w:rPr>
                <w:rFonts w:hint="eastAsia"/>
                <w:b/>
                <w:color w:val="000000" w:themeColor="text1"/>
                <w:kern w:val="0"/>
                <w:sz w:val="21"/>
                <w:szCs w:val="21"/>
                <w:vertAlign w:val="baseline"/>
                <w14:textFill>
                  <w14:solidFill>
                    <w14:schemeClr w14:val="tx1"/>
                  </w14:solidFill>
                </w14:textFill>
              </w:rPr>
              <w:t>）</w:t>
            </w:r>
            <w:r>
              <w:rPr>
                <w:rFonts w:hint="eastAsia"/>
                <w:b/>
                <w:color w:val="000000" w:themeColor="text1"/>
                <w:kern w:val="0"/>
                <w:sz w:val="21"/>
                <w:szCs w:val="21"/>
                <w14:textFill>
                  <w14:solidFill>
                    <w14:schemeClr w14:val="tx1"/>
                  </w14:solidFill>
                </w14:textFill>
              </w:rPr>
              <w:t>、N噪声、S</w:t>
            </w:r>
            <w:r>
              <w:rPr>
                <w:rFonts w:hint="eastAsia"/>
                <w:b/>
                <w:color w:val="000000" w:themeColor="text1"/>
                <w:kern w:val="0"/>
                <w:sz w:val="21"/>
                <w:szCs w:val="21"/>
                <w:vertAlign w:val="subscript"/>
                <w14:textFill>
                  <w14:solidFill>
                    <w14:schemeClr w14:val="tx1"/>
                  </w14:solidFill>
                </w14:textFill>
              </w:rPr>
              <w:t>3-1</w:t>
            </w:r>
            <w:r>
              <w:rPr>
                <w:rFonts w:hint="eastAsia"/>
                <w:b/>
                <w:color w:val="000000" w:themeColor="text1"/>
                <w:kern w:val="0"/>
                <w:sz w:val="21"/>
                <w:szCs w:val="21"/>
                <w14:textFill>
                  <w14:solidFill>
                    <w14:schemeClr w14:val="tx1"/>
                  </w14:solidFill>
                </w14:textFill>
              </w:rPr>
              <w:t>边废角料。</w:t>
            </w:r>
          </w:p>
          <w:p w14:paraId="4BFA4A5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工艺说明：</w:t>
            </w:r>
          </w:p>
          <w:p w14:paraId="5C032A7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投料、搅拌：在密闭的配料间进行。双螺杆造粒机组高混机为密闭设备，投料时打开高混机进料口。人工将袋装粉状物料送至封闭的配料间的高混机的进料口，原料树脂粉直接在高混机进料口进行投料。此投料过程中会产生投料粉尘。项目拟在高混机进料口上方设置软帘+集气罩，对投料产生的粉尘进行收集。此工序产生：G</w:t>
            </w:r>
            <w:r>
              <w:rPr>
                <w:rFonts w:hint="eastAsia"/>
                <w:color w:val="000000" w:themeColor="text1"/>
                <w:vertAlign w:val="subscript"/>
                <w14:textFill>
                  <w14:solidFill>
                    <w14:schemeClr w14:val="tx1"/>
                  </w14:solidFill>
                </w14:textFill>
              </w:rPr>
              <w:t>3-1</w:t>
            </w:r>
            <w:r>
              <w:rPr>
                <w:rFonts w:hint="eastAsia"/>
                <w:color w:val="000000" w:themeColor="text1"/>
                <w14:textFill>
                  <w14:solidFill>
                    <w14:schemeClr w14:val="tx1"/>
                  </w14:solidFill>
                </w14:textFill>
              </w:rPr>
              <w:t>投料粉尘。</w:t>
            </w:r>
          </w:p>
          <w:p w14:paraId="008049C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卸料：</w:t>
            </w:r>
            <w:r>
              <w:rPr>
                <w:rFonts w:hint="eastAsia"/>
                <w:bCs/>
                <w:kern w:val="0"/>
              </w:rPr>
              <w:t>搅拌后的粉状物料，通过高混机的出料口卸料至</w:t>
            </w:r>
            <w:r>
              <w:rPr>
                <w:rFonts w:hint="eastAsia"/>
                <w:color w:val="000000" w:themeColor="text1"/>
                <w14:textFill>
                  <w14:solidFill>
                    <w14:schemeClr w14:val="tx1"/>
                  </w14:solidFill>
                </w14:textFill>
              </w:rPr>
              <w:t>双螺杆</w:t>
            </w:r>
            <w:r>
              <w:rPr>
                <w:rFonts w:hint="eastAsia"/>
                <w:bCs/>
                <w:kern w:val="0"/>
              </w:rPr>
              <w:t>挤出机的料斗内冷却，冷却过程会自然冷却。卸料过程会产生少量粉尘。项目拟在高混机出料口及料斗上方设置软帘+集气罩对产生的粉尘进行收集。</w:t>
            </w:r>
            <w:r>
              <w:rPr>
                <w:rFonts w:hint="eastAsia"/>
                <w:color w:val="000000" w:themeColor="text1"/>
                <w14:textFill>
                  <w14:solidFill>
                    <w14:schemeClr w14:val="tx1"/>
                  </w14:solidFill>
                </w14:textFill>
              </w:rPr>
              <w:t>此工序产生：G</w:t>
            </w:r>
            <w:r>
              <w:rPr>
                <w:rFonts w:hint="eastAsia"/>
                <w:color w:val="000000" w:themeColor="text1"/>
                <w:vertAlign w:val="subscript"/>
                <w14:textFill>
                  <w14:solidFill>
                    <w14:schemeClr w14:val="tx1"/>
                  </w14:solidFill>
                </w14:textFill>
              </w:rPr>
              <w:t>3-1</w:t>
            </w:r>
            <w:r>
              <w:rPr>
                <w:rFonts w:hint="eastAsia"/>
                <w:color w:val="000000" w:themeColor="text1"/>
                <w14:textFill>
                  <w14:solidFill>
                    <w14:schemeClr w14:val="tx1"/>
                  </w14:solidFill>
                </w14:textFill>
              </w:rPr>
              <w:t>卸料粉尘。</w:t>
            </w:r>
          </w:p>
          <w:p w14:paraId="549A51F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混炼挤出：双螺杆挤出机组进行混炼挤出，物料通过电加热，加热后的温度为200°C，混炼时间为3min。混炼后的物料进行挤出生成条状物料，工作温度为115°C，混炼时间为3min。该过程的温度通过挤出机组的温控系统进行控制。</w:t>
            </w:r>
            <w:r>
              <w:rPr>
                <w:rFonts w:hint="eastAsia"/>
                <w:color w:val="000000" w:themeColor="text1"/>
                <w14:textFill>
                  <w14:solidFill>
                    <w14:schemeClr w14:val="tx1"/>
                  </w14:solidFill>
                </w14:textFill>
              </w:rPr>
              <w:t>此工序产生</w:t>
            </w:r>
            <w:r>
              <w:rPr>
                <w:rFonts w:hint="eastAsia"/>
                <w:b w:val="0"/>
                <w:bCs w:val="0"/>
                <w:color w:val="000000" w:themeColor="text1"/>
                <w14:textFill>
                  <w14:solidFill>
                    <w14:schemeClr w14:val="tx1"/>
                  </w14:solidFill>
                </w14:textFill>
              </w:rPr>
              <w:t>：</w:t>
            </w:r>
            <w:r>
              <w:rPr>
                <w:rFonts w:hint="eastAsia"/>
                <w:b w:val="0"/>
                <w:bCs w:val="0"/>
                <w:color w:val="000000" w:themeColor="text1"/>
                <w:kern w:val="0"/>
                <w:sz w:val="24"/>
                <w:szCs w:val="24"/>
                <w14:textFill>
                  <w14:solidFill>
                    <w14:schemeClr w14:val="tx1"/>
                  </w14:solidFill>
                </w14:textFill>
              </w:rPr>
              <w:t>G</w:t>
            </w:r>
            <w:r>
              <w:rPr>
                <w:rFonts w:hint="eastAsia"/>
                <w:b w:val="0"/>
                <w:bCs w:val="0"/>
                <w:color w:val="000000" w:themeColor="text1"/>
                <w:kern w:val="0"/>
                <w:sz w:val="24"/>
                <w:szCs w:val="24"/>
                <w:vertAlign w:val="subscript"/>
                <w14:textFill>
                  <w14:solidFill>
                    <w14:schemeClr w14:val="tx1"/>
                  </w14:solidFill>
                </w14:textFill>
              </w:rPr>
              <w:t>3-3</w:t>
            </w:r>
            <w:r>
              <w:rPr>
                <w:rFonts w:hint="eastAsia"/>
                <w:b w:val="0"/>
                <w:bCs w:val="0"/>
                <w:color w:val="000000" w:themeColor="text1"/>
                <w:kern w:val="0"/>
                <w:sz w:val="24"/>
                <w:szCs w:val="24"/>
                <w:vertAlign w:val="baseline"/>
                <w14:textFill>
                  <w14:solidFill>
                    <w14:schemeClr w14:val="tx1"/>
                  </w14:solidFill>
                </w14:textFill>
              </w:rPr>
              <w:t>混炼挤出废气（</w:t>
            </w:r>
            <w:r>
              <w:rPr>
                <w:rFonts w:hint="eastAsia"/>
                <w:b w:val="0"/>
                <w:bCs w:val="0"/>
                <w:color w:val="000000" w:themeColor="text1"/>
                <w:kern w:val="0"/>
                <w:sz w:val="24"/>
                <w:szCs w:val="24"/>
                <w14:textFill>
                  <w14:solidFill>
                    <w14:schemeClr w14:val="tx1"/>
                  </w14:solidFill>
                </w14:textFill>
              </w:rPr>
              <w:t>非甲烷总烃、HCl</w:t>
            </w:r>
            <w:r>
              <w:rPr>
                <w:rFonts w:hint="eastAsia"/>
                <w:b w:val="0"/>
                <w:bCs w:val="0"/>
                <w:color w:val="000000" w:themeColor="text1"/>
                <w:kern w:val="0"/>
                <w:sz w:val="24"/>
                <w:szCs w:val="24"/>
                <w:vertAlign w:val="baseline"/>
                <w14:textFill>
                  <w14:solidFill>
                    <w14:schemeClr w14:val="tx1"/>
                  </w14:solidFill>
                </w14:textFill>
              </w:rPr>
              <w:t>）</w:t>
            </w:r>
            <w:r>
              <w:rPr>
                <w:rFonts w:hint="eastAsia"/>
                <w:b w:val="0"/>
                <w:bCs w:val="0"/>
                <w:color w:val="000000" w:themeColor="text1"/>
                <w14:textFill>
                  <w14:solidFill>
                    <w14:schemeClr w14:val="tx1"/>
                  </w14:solidFill>
                </w14:textFill>
              </w:rPr>
              <w:t>。</w:t>
            </w:r>
          </w:p>
          <w:p w14:paraId="45F83F9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切粒：挤出的物料由水冷拉条切粒机组切制，切割的同时采用水淋冷却物料，循环冷却水经管道返回冷却水池冷却后回用；此工序产生：S</w:t>
            </w:r>
            <w:r>
              <w:rPr>
                <w:rFonts w:hint="eastAsia"/>
                <w:color w:val="000000" w:themeColor="text1"/>
                <w:vertAlign w:val="subscript"/>
                <w14:textFill>
                  <w14:solidFill>
                    <w14:schemeClr w14:val="tx1"/>
                  </w14:solidFill>
                </w14:textFill>
              </w:rPr>
              <w:t>3-1</w:t>
            </w:r>
            <w:r>
              <w:rPr>
                <w:rFonts w:hint="eastAsia"/>
                <w:color w:val="000000" w:themeColor="text1"/>
                <w14:textFill>
                  <w14:solidFill>
                    <w14:schemeClr w14:val="tx1"/>
                  </w14:solidFill>
                </w14:textFill>
              </w:rPr>
              <w:t>卸废边角料。</w:t>
            </w:r>
          </w:p>
          <w:p w14:paraId="5A3677A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烘干：将物料倒入电缆料摇罐干燥机进行干燥。干燥时在密闭的夹层中通入蒸汽，干燥时间约5s，物料处于真空状态，蒸汽压下降使物料表面的水份达到饱和状态而蒸发，并由真空泵及时排出回收。干燥后的物料从电缆料摇罐干燥机出料口出料。</w:t>
            </w:r>
          </w:p>
          <w:p w14:paraId="02F180B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包装入库：经检验合格后，合格产品包装入库待用。</w:t>
            </w:r>
          </w:p>
          <w:p w14:paraId="7BCB9C27">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主要产污环节汇总见下表。</w:t>
            </w:r>
          </w:p>
          <w:p w14:paraId="4D326BB8">
            <w:pPr>
              <w:jc w:val="center"/>
              <w:rPr>
                <w:b/>
                <w:color w:val="000000"/>
                <w:sz w:val="21"/>
                <w:szCs w:val="16"/>
              </w:rPr>
            </w:pPr>
            <w:r>
              <w:rPr>
                <w:b/>
                <w:color w:val="000000"/>
                <w:sz w:val="21"/>
                <w:szCs w:val="16"/>
              </w:rPr>
              <w:t>表3.2-12 聚酯树脂产污环节汇总表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974"/>
              <w:gridCol w:w="1548"/>
              <w:gridCol w:w="1753"/>
              <w:gridCol w:w="1689"/>
              <w:gridCol w:w="1351"/>
            </w:tblGrid>
            <w:tr w14:paraId="2B72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35" w:type="pct"/>
                  <w:shd w:val="clear" w:color="auto" w:fill="auto"/>
                  <w:vAlign w:val="center"/>
                </w:tcPr>
                <w:p w14:paraId="02E962B4">
                  <w:pPr>
                    <w:widowControl/>
                    <w:jc w:val="center"/>
                    <w:rPr>
                      <w:b/>
                      <w:color w:val="000000"/>
                      <w:kern w:val="0"/>
                      <w:sz w:val="21"/>
                      <w:szCs w:val="21"/>
                    </w:rPr>
                  </w:pPr>
                  <w:r>
                    <w:rPr>
                      <w:rFonts w:hint="eastAsia"/>
                      <w:b/>
                      <w:color w:val="000000"/>
                      <w:kern w:val="0"/>
                      <w:sz w:val="21"/>
                      <w:szCs w:val="21"/>
                    </w:rPr>
                    <w:t>产品</w:t>
                  </w:r>
                </w:p>
              </w:tc>
              <w:tc>
                <w:tcPr>
                  <w:tcW w:w="581" w:type="pct"/>
                  <w:shd w:val="clear" w:color="auto" w:fill="auto"/>
                  <w:vAlign w:val="center"/>
                </w:tcPr>
                <w:p w14:paraId="225B4CE2">
                  <w:pPr>
                    <w:widowControl/>
                    <w:jc w:val="center"/>
                    <w:rPr>
                      <w:b/>
                      <w:color w:val="000000"/>
                      <w:kern w:val="0"/>
                      <w:sz w:val="21"/>
                      <w:szCs w:val="21"/>
                    </w:rPr>
                  </w:pPr>
                  <w:r>
                    <w:rPr>
                      <w:b/>
                      <w:color w:val="000000"/>
                      <w:kern w:val="0"/>
                      <w:sz w:val="21"/>
                      <w:szCs w:val="21"/>
                    </w:rPr>
                    <w:t>类别</w:t>
                  </w:r>
                </w:p>
              </w:tc>
              <w:tc>
                <w:tcPr>
                  <w:tcW w:w="924" w:type="pct"/>
                  <w:shd w:val="clear" w:color="auto" w:fill="auto"/>
                  <w:vAlign w:val="center"/>
                </w:tcPr>
                <w:p w14:paraId="23A1482E">
                  <w:pPr>
                    <w:widowControl/>
                    <w:jc w:val="center"/>
                    <w:rPr>
                      <w:b/>
                      <w:color w:val="000000"/>
                      <w:kern w:val="0"/>
                      <w:sz w:val="21"/>
                      <w:szCs w:val="21"/>
                    </w:rPr>
                  </w:pPr>
                  <w:r>
                    <w:rPr>
                      <w:b/>
                      <w:color w:val="000000"/>
                      <w:kern w:val="0"/>
                      <w:sz w:val="21"/>
                      <w:szCs w:val="21"/>
                    </w:rPr>
                    <w:t>编号</w:t>
                  </w:r>
                </w:p>
              </w:tc>
              <w:tc>
                <w:tcPr>
                  <w:tcW w:w="1046" w:type="pct"/>
                  <w:shd w:val="clear" w:color="auto" w:fill="auto"/>
                  <w:vAlign w:val="center"/>
                </w:tcPr>
                <w:p w14:paraId="1F187144">
                  <w:pPr>
                    <w:widowControl/>
                    <w:jc w:val="center"/>
                    <w:rPr>
                      <w:b/>
                      <w:color w:val="000000"/>
                      <w:kern w:val="0"/>
                      <w:sz w:val="21"/>
                      <w:szCs w:val="21"/>
                    </w:rPr>
                  </w:pPr>
                  <w:r>
                    <w:rPr>
                      <w:b/>
                      <w:color w:val="000000"/>
                      <w:kern w:val="0"/>
                      <w:sz w:val="21"/>
                      <w:szCs w:val="21"/>
                    </w:rPr>
                    <w:t>主要污染物</w:t>
                  </w:r>
                </w:p>
              </w:tc>
              <w:tc>
                <w:tcPr>
                  <w:tcW w:w="1008" w:type="pct"/>
                  <w:shd w:val="clear" w:color="auto" w:fill="auto"/>
                  <w:vAlign w:val="center"/>
                </w:tcPr>
                <w:p w14:paraId="07BDF77A">
                  <w:pPr>
                    <w:widowControl/>
                    <w:jc w:val="center"/>
                    <w:rPr>
                      <w:b/>
                      <w:color w:val="000000"/>
                      <w:kern w:val="0"/>
                      <w:sz w:val="21"/>
                      <w:szCs w:val="21"/>
                    </w:rPr>
                  </w:pPr>
                  <w:r>
                    <w:rPr>
                      <w:b/>
                      <w:color w:val="000000"/>
                      <w:kern w:val="0"/>
                      <w:sz w:val="21"/>
                      <w:szCs w:val="21"/>
                    </w:rPr>
                    <w:t>拟建项目预处理及末端处理措施</w:t>
                  </w:r>
                </w:p>
              </w:tc>
              <w:tc>
                <w:tcPr>
                  <w:tcW w:w="806" w:type="pct"/>
                  <w:shd w:val="clear" w:color="auto" w:fill="auto"/>
                  <w:vAlign w:val="center"/>
                </w:tcPr>
                <w:p w14:paraId="1DCBB886">
                  <w:pPr>
                    <w:widowControl/>
                    <w:jc w:val="center"/>
                    <w:rPr>
                      <w:b/>
                      <w:color w:val="000000"/>
                      <w:kern w:val="0"/>
                      <w:sz w:val="21"/>
                      <w:szCs w:val="21"/>
                    </w:rPr>
                  </w:pPr>
                  <w:r>
                    <w:rPr>
                      <w:b/>
                      <w:color w:val="000000"/>
                      <w:kern w:val="0"/>
                      <w:sz w:val="21"/>
                      <w:szCs w:val="21"/>
                    </w:rPr>
                    <w:t>排放方式</w:t>
                  </w:r>
                </w:p>
              </w:tc>
            </w:tr>
            <w:tr w14:paraId="7EA9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restart"/>
                  <w:shd w:val="clear" w:color="auto" w:fill="auto"/>
                  <w:vAlign w:val="center"/>
                </w:tcPr>
                <w:p w14:paraId="4DBBB0B0">
                  <w:pPr>
                    <w:widowControl/>
                    <w:jc w:val="center"/>
                    <w:rPr>
                      <w:color w:val="000000"/>
                      <w:kern w:val="0"/>
                      <w:sz w:val="21"/>
                      <w:szCs w:val="21"/>
                    </w:rPr>
                  </w:pPr>
                  <w:r>
                    <w:rPr>
                      <w:color w:val="000000"/>
                      <w:kern w:val="0"/>
                      <w:sz w:val="21"/>
                      <w:szCs w:val="21"/>
                    </w:rPr>
                    <w:t>110kv</w:t>
                  </w:r>
                  <w:r>
                    <w:rPr>
                      <w:rFonts w:hint="eastAsia"/>
                      <w:color w:val="000000"/>
                      <w:kern w:val="0"/>
                      <w:sz w:val="21"/>
                      <w:szCs w:val="21"/>
                    </w:rPr>
                    <w:t>电缆</w:t>
                  </w:r>
                </w:p>
              </w:tc>
              <w:tc>
                <w:tcPr>
                  <w:tcW w:w="581" w:type="pct"/>
                  <w:vMerge w:val="restart"/>
                  <w:shd w:val="clear" w:color="auto" w:fill="auto"/>
                  <w:vAlign w:val="center"/>
                </w:tcPr>
                <w:p w14:paraId="67433287">
                  <w:pPr>
                    <w:widowControl/>
                    <w:jc w:val="center"/>
                    <w:rPr>
                      <w:color w:val="000000"/>
                      <w:kern w:val="0"/>
                      <w:sz w:val="21"/>
                      <w:szCs w:val="21"/>
                    </w:rPr>
                  </w:pPr>
                  <w:r>
                    <w:rPr>
                      <w:color w:val="000000"/>
                      <w:kern w:val="0"/>
                      <w:sz w:val="21"/>
                      <w:szCs w:val="21"/>
                    </w:rPr>
                    <w:t>废气</w:t>
                  </w:r>
                </w:p>
              </w:tc>
              <w:tc>
                <w:tcPr>
                  <w:tcW w:w="924" w:type="pct"/>
                  <w:tcBorders>
                    <w:top w:val="single" w:color="auto" w:sz="4" w:space="0"/>
                    <w:left w:val="single" w:color="auto" w:sz="4" w:space="0"/>
                    <w:bottom w:val="single" w:color="auto" w:sz="4" w:space="0"/>
                    <w:right w:val="single" w:color="auto" w:sz="4" w:space="0"/>
                  </w:tcBorders>
                  <w:shd w:val="clear" w:color="auto" w:fill="auto"/>
                  <w:vAlign w:val="center"/>
                </w:tcPr>
                <w:p w14:paraId="17F66240">
                  <w:pPr>
                    <w:widowControl/>
                    <w:jc w:val="center"/>
                    <w:rPr>
                      <w:rFonts w:eastAsia="等线"/>
                      <w:b w:val="0"/>
                      <w:bCs/>
                      <w:color w:val="000000"/>
                      <w:kern w:val="0"/>
                      <w:sz w:val="21"/>
                      <w:szCs w:val="21"/>
                    </w:rPr>
                  </w:pPr>
                  <w:r>
                    <w:rPr>
                      <w:rFonts w:hint="eastAsia"/>
                      <w:b w:val="0"/>
                      <w:bCs/>
                      <w:color w:val="000000" w:themeColor="text1"/>
                      <w:kern w:val="0"/>
                      <w:sz w:val="21"/>
                      <w:szCs w:val="21"/>
                      <w14:textFill>
                        <w14:solidFill>
                          <w14:schemeClr w14:val="tx1"/>
                        </w14:solidFill>
                      </w14:textFill>
                    </w:rPr>
                    <w:t>G</w:t>
                  </w:r>
                  <w:r>
                    <w:rPr>
                      <w:rFonts w:hint="eastAsia"/>
                      <w:b w:val="0"/>
                      <w:bCs/>
                      <w:color w:val="000000" w:themeColor="text1"/>
                      <w:kern w:val="0"/>
                      <w:sz w:val="21"/>
                      <w:szCs w:val="21"/>
                      <w:vertAlign w:val="subscript"/>
                      <w14:textFill>
                        <w14:solidFill>
                          <w14:schemeClr w14:val="tx1"/>
                        </w14:solidFill>
                      </w14:textFill>
                    </w:rPr>
                    <w:t>1-1</w:t>
                  </w:r>
                  <w:r>
                    <w:rPr>
                      <w:rFonts w:hint="eastAsia"/>
                      <w:b w:val="0"/>
                      <w:bCs/>
                      <w:color w:val="000000" w:themeColor="text1"/>
                      <w:kern w:val="0"/>
                      <w:sz w:val="21"/>
                      <w:szCs w:val="21"/>
                      <w14:textFill>
                        <w14:solidFill>
                          <w14:schemeClr w14:val="tx1"/>
                        </w14:solidFill>
                      </w14:textFill>
                    </w:rPr>
                    <w:t>拉丝废气</w:t>
                  </w:r>
                </w:p>
              </w:tc>
              <w:tc>
                <w:tcPr>
                  <w:tcW w:w="1046" w:type="pct"/>
                  <w:shd w:val="clear" w:color="auto" w:fill="auto"/>
                  <w:vAlign w:val="center"/>
                </w:tcPr>
                <w:p w14:paraId="190A02B7">
                  <w:pPr>
                    <w:widowControl/>
                    <w:jc w:val="center"/>
                    <w:rPr>
                      <w:color w:val="000000"/>
                      <w:kern w:val="0"/>
                      <w:sz w:val="21"/>
                      <w:szCs w:val="21"/>
                    </w:rPr>
                  </w:pPr>
                  <w:r>
                    <w:rPr>
                      <w:rFonts w:hint="eastAsia"/>
                      <w:color w:val="000000"/>
                      <w:kern w:val="0"/>
                      <w:sz w:val="21"/>
                      <w:szCs w:val="21"/>
                    </w:rPr>
                    <w:t>非甲烷总烃</w:t>
                  </w:r>
                </w:p>
              </w:tc>
              <w:tc>
                <w:tcPr>
                  <w:tcW w:w="1008" w:type="pct"/>
                  <w:vMerge w:val="restart"/>
                  <w:shd w:val="clear" w:color="auto" w:fill="auto"/>
                  <w:vAlign w:val="center"/>
                </w:tcPr>
                <w:p w14:paraId="4DE01F67">
                  <w:pPr>
                    <w:widowControl/>
                    <w:jc w:val="center"/>
                    <w:rPr>
                      <w:color w:val="000000"/>
                      <w:kern w:val="0"/>
                      <w:sz w:val="21"/>
                      <w:szCs w:val="21"/>
                    </w:rPr>
                  </w:pPr>
                  <w:r>
                    <w:rPr>
                      <w:rFonts w:hint="eastAsia"/>
                      <w:color w:val="000000"/>
                      <w:kern w:val="0"/>
                      <w:sz w:val="21"/>
                      <w:szCs w:val="21"/>
                    </w:rPr>
                    <w:t>设置</w:t>
                  </w:r>
                  <w:r>
                    <w:rPr>
                      <w:rFonts w:hint="eastAsia"/>
                      <w:color w:val="000000"/>
                      <w:kern w:val="0"/>
                      <w:sz w:val="21"/>
                      <w:szCs w:val="21"/>
                      <w:lang w:val="en-US" w:eastAsia="zh-CN"/>
                    </w:rPr>
                    <w:t>管道/</w:t>
                  </w:r>
                  <w:r>
                    <w:rPr>
                      <w:rFonts w:hint="eastAsia"/>
                      <w:color w:val="000000"/>
                      <w:kern w:val="0"/>
                      <w:sz w:val="21"/>
                      <w:szCs w:val="21"/>
                    </w:rPr>
                    <w:t>集气罩并加设软帘收集废气，通入“1</w:t>
                  </w:r>
                  <w:r>
                    <w:rPr>
                      <w:color w:val="000000"/>
                      <w:kern w:val="0"/>
                      <w:sz w:val="21"/>
                      <w:szCs w:val="21"/>
                    </w:rPr>
                    <w:t>#</w:t>
                  </w:r>
                  <w:r>
                    <w:rPr>
                      <w:rFonts w:hint="eastAsia"/>
                      <w:color w:val="000000"/>
                      <w:kern w:val="0"/>
                      <w:sz w:val="21"/>
                      <w:szCs w:val="21"/>
                    </w:rPr>
                    <w:t>碱水喷淋塔+除雾+二级活性炭吸附装置”处理</w:t>
                  </w:r>
                </w:p>
                <w:p w14:paraId="2A2194E0">
                  <w:pPr>
                    <w:widowControl/>
                    <w:jc w:val="center"/>
                    <w:rPr>
                      <w:color w:val="000000"/>
                      <w:kern w:val="0"/>
                      <w:sz w:val="21"/>
                      <w:szCs w:val="21"/>
                    </w:rPr>
                  </w:pPr>
                </w:p>
                <w:p w14:paraId="3016E5B9">
                  <w:pPr>
                    <w:jc w:val="center"/>
                    <w:rPr>
                      <w:color w:val="000000"/>
                      <w:kern w:val="0"/>
                      <w:sz w:val="21"/>
                      <w:szCs w:val="21"/>
                    </w:rPr>
                  </w:pPr>
                </w:p>
              </w:tc>
              <w:tc>
                <w:tcPr>
                  <w:tcW w:w="806" w:type="pct"/>
                  <w:vMerge w:val="restart"/>
                  <w:shd w:val="clear" w:color="auto" w:fill="auto"/>
                  <w:vAlign w:val="center"/>
                </w:tcPr>
                <w:p w14:paraId="7977A95E">
                  <w:pPr>
                    <w:widowControl/>
                    <w:jc w:val="center"/>
                    <w:rPr>
                      <w:color w:val="000000"/>
                      <w:kern w:val="0"/>
                      <w:sz w:val="21"/>
                      <w:szCs w:val="21"/>
                    </w:rPr>
                  </w:pPr>
                  <w:r>
                    <w:rPr>
                      <w:color w:val="000000"/>
                      <w:kern w:val="0"/>
                      <w:sz w:val="21"/>
                      <w:szCs w:val="21"/>
                    </w:rPr>
                    <w:t>15m高DA001排气筒</w:t>
                  </w:r>
                </w:p>
              </w:tc>
            </w:tr>
            <w:tr w14:paraId="5953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47A3155F">
                  <w:pPr>
                    <w:widowControl/>
                    <w:jc w:val="left"/>
                    <w:rPr>
                      <w:color w:val="000000"/>
                      <w:kern w:val="0"/>
                      <w:sz w:val="21"/>
                      <w:szCs w:val="21"/>
                    </w:rPr>
                  </w:pPr>
                </w:p>
              </w:tc>
              <w:tc>
                <w:tcPr>
                  <w:tcW w:w="581" w:type="pct"/>
                  <w:vMerge w:val="continue"/>
                  <w:shd w:val="clear" w:color="auto" w:fill="auto"/>
                  <w:vAlign w:val="center"/>
                </w:tcPr>
                <w:p w14:paraId="1F29CB82">
                  <w:pPr>
                    <w:widowControl/>
                    <w:jc w:val="left"/>
                    <w:rPr>
                      <w:color w:val="000000"/>
                      <w:kern w:val="0"/>
                      <w:sz w:val="21"/>
                      <w:szCs w:val="21"/>
                    </w:rPr>
                  </w:pPr>
                </w:p>
              </w:tc>
              <w:tc>
                <w:tcPr>
                  <w:tcW w:w="924" w:type="pct"/>
                  <w:tcBorders>
                    <w:top w:val="nil"/>
                    <w:left w:val="single" w:color="auto" w:sz="4" w:space="0"/>
                    <w:bottom w:val="single" w:color="auto" w:sz="4" w:space="0"/>
                    <w:right w:val="single" w:color="auto" w:sz="4" w:space="0"/>
                  </w:tcBorders>
                  <w:shd w:val="clear" w:color="auto" w:fill="auto"/>
                  <w:vAlign w:val="center"/>
                </w:tcPr>
                <w:p w14:paraId="5677A777">
                  <w:pPr>
                    <w:widowControl/>
                    <w:jc w:val="center"/>
                    <w:rPr>
                      <w:b w:val="0"/>
                      <w:bCs/>
                      <w:color w:val="000000"/>
                      <w:kern w:val="0"/>
                      <w:sz w:val="21"/>
                      <w:szCs w:val="21"/>
                    </w:rPr>
                  </w:pPr>
                  <w:r>
                    <w:rPr>
                      <w:rFonts w:hint="eastAsia"/>
                      <w:b w:val="0"/>
                      <w:bCs/>
                      <w:color w:val="000000" w:themeColor="text1"/>
                      <w:kern w:val="0"/>
                      <w:sz w:val="21"/>
                      <w:szCs w:val="21"/>
                      <w14:textFill>
                        <w14:solidFill>
                          <w14:schemeClr w14:val="tx1"/>
                        </w14:solidFill>
                      </w14:textFill>
                    </w:rPr>
                    <w:t>G</w:t>
                  </w:r>
                  <w:r>
                    <w:rPr>
                      <w:rFonts w:hint="eastAsia"/>
                      <w:b w:val="0"/>
                      <w:bCs/>
                      <w:color w:val="000000" w:themeColor="text1"/>
                      <w:kern w:val="0"/>
                      <w:sz w:val="21"/>
                      <w:szCs w:val="21"/>
                      <w:vertAlign w:val="subscript"/>
                      <w14:textFill>
                        <w14:solidFill>
                          <w14:schemeClr w14:val="tx1"/>
                        </w14:solidFill>
                      </w14:textFill>
                    </w:rPr>
                    <w:t>1-2</w:t>
                  </w:r>
                  <w:r>
                    <w:rPr>
                      <w:rFonts w:hint="eastAsia"/>
                      <w:b w:val="0"/>
                      <w:bCs/>
                      <w:color w:val="000000" w:themeColor="text1"/>
                      <w:kern w:val="0"/>
                      <w:sz w:val="21"/>
                      <w:szCs w:val="21"/>
                      <w14:textFill>
                        <w14:solidFill>
                          <w14:schemeClr w14:val="tx1"/>
                        </w14:solidFill>
                      </w14:textFill>
                    </w:rPr>
                    <w:t>共挤废气</w:t>
                  </w:r>
                </w:p>
              </w:tc>
              <w:tc>
                <w:tcPr>
                  <w:tcW w:w="1046" w:type="pct"/>
                  <w:shd w:val="clear" w:color="auto" w:fill="auto"/>
                  <w:vAlign w:val="center"/>
                </w:tcPr>
                <w:p w14:paraId="580743B7">
                  <w:pPr>
                    <w:widowControl/>
                    <w:jc w:val="center"/>
                    <w:rPr>
                      <w:color w:val="000000"/>
                      <w:kern w:val="0"/>
                      <w:sz w:val="21"/>
                      <w:szCs w:val="21"/>
                    </w:rPr>
                  </w:pPr>
                  <w:r>
                    <w:rPr>
                      <w:rFonts w:hint="eastAsia"/>
                      <w:color w:val="000000"/>
                      <w:kern w:val="0"/>
                      <w:sz w:val="21"/>
                      <w:szCs w:val="21"/>
                    </w:rPr>
                    <w:t xml:space="preserve">非甲烷总烃、HCl </w:t>
                  </w:r>
                </w:p>
              </w:tc>
              <w:tc>
                <w:tcPr>
                  <w:tcW w:w="1008" w:type="pct"/>
                  <w:vMerge w:val="continue"/>
                  <w:shd w:val="clear" w:color="auto" w:fill="auto"/>
                  <w:vAlign w:val="center"/>
                </w:tcPr>
                <w:p w14:paraId="29BDB560">
                  <w:pPr>
                    <w:jc w:val="center"/>
                    <w:rPr>
                      <w:color w:val="000000"/>
                      <w:kern w:val="0"/>
                      <w:sz w:val="21"/>
                      <w:szCs w:val="21"/>
                    </w:rPr>
                  </w:pPr>
                </w:p>
              </w:tc>
              <w:tc>
                <w:tcPr>
                  <w:tcW w:w="806" w:type="pct"/>
                  <w:vMerge w:val="continue"/>
                  <w:shd w:val="clear" w:color="auto" w:fill="auto"/>
                  <w:vAlign w:val="center"/>
                </w:tcPr>
                <w:p w14:paraId="6DE3DAF2">
                  <w:pPr>
                    <w:widowControl/>
                    <w:jc w:val="center"/>
                    <w:rPr>
                      <w:color w:val="000000"/>
                      <w:kern w:val="0"/>
                      <w:sz w:val="21"/>
                      <w:szCs w:val="21"/>
                    </w:rPr>
                  </w:pPr>
                </w:p>
              </w:tc>
            </w:tr>
            <w:tr w14:paraId="2129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6F0FEF70">
                  <w:pPr>
                    <w:widowControl/>
                    <w:jc w:val="left"/>
                    <w:rPr>
                      <w:color w:val="000000"/>
                      <w:kern w:val="0"/>
                      <w:sz w:val="21"/>
                      <w:szCs w:val="21"/>
                    </w:rPr>
                  </w:pPr>
                </w:p>
              </w:tc>
              <w:tc>
                <w:tcPr>
                  <w:tcW w:w="581" w:type="pct"/>
                  <w:vMerge w:val="continue"/>
                  <w:shd w:val="clear" w:color="auto" w:fill="auto"/>
                  <w:vAlign w:val="center"/>
                </w:tcPr>
                <w:p w14:paraId="0F0B7CEE">
                  <w:pPr>
                    <w:widowControl/>
                    <w:jc w:val="left"/>
                    <w:rPr>
                      <w:color w:val="000000"/>
                      <w:kern w:val="0"/>
                      <w:sz w:val="21"/>
                      <w:szCs w:val="21"/>
                    </w:rPr>
                  </w:pPr>
                </w:p>
              </w:tc>
              <w:tc>
                <w:tcPr>
                  <w:tcW w:w="924" w:type="pct"/>
                  <w:tcBorders>
                    <w:top w:val="nil"/>
                    <w:left w:val="single" w:color="auto" w:sz="4" w:space="0"/>
                    <w:bottom w:val="single" w:color="auto" w:sz="4" w:space="0"/>
                    <w:right w:val="single" w:color="auto" w:sz="4" w:space="0"/>
                  </w:tcBorders>
                  <w:shd w:val="clear" w:color="auto" w:fill="auto"/>
                  <w:vAlign w:val="center"/>
                </w:tcPr>
                <w:p w14:paraId="516189D5">
                  <w:pPr>
                    <w:widowControl/>
                    <w:jc w:val="center"/>
                    <w:rPr>
                      <w:b w:val="0"/>
                      <w:bCs/>
                      <w:color w:val="000000"/>
                      <w:kern w:val="0"/>
                      <w:sz w:val="21"/>
                      <w:szCs w:val="21"/>
                    </w:rPr>
                  </w:pPr>
                  <w:r>
                    <w:rPr>
                      <w:rFonts w:hint="eastAsia"/>
                      <w:b w:val="0"/>
                      <w:bCs/>
                      <w:color w:val="000000" w:themeColor="text1"/>
                      <w:kern w:val="0"/>
                      <w:sz w:val="21"/>
                      <w:szCs w:val="21"/>
                      <w14:textFill>
                        <w14:solidFill>
                          <w14:schemeClr w14:val="tx1"/>
                        </w14:solidFill>
                      </w14:textFill>
                    </w:rPr>
                    <w:t>G</w:t>
                  </w:r>
                  <w:r>
                    <w:rPr>
                      <w:rFonts w:hint="eastAsia"/>
                      <w:b w:val="0"/>
                      <w:bCs/>
                      <w:color w:val="000000" w:themeColor="text1"/>
                      <w:kern w:val="0"/>
                      <w:sz w:val="21"/>
                      <w:szCs w:val="21"/>
                      <w:vertAlign w:val="subscript"/>
                      <w14:textFill>
                        <w14:solidFill>
                          <w14:schemeClr w14:val="tx1"/>
                        </w14:solidFill>
                      </w14:textFill>
                    </w:rPr>
                    <w:t>1-3</w:t>
                  </w:r>
                  <w:r>
                    <w:rPr>
                      <w:rFonts w:hint="eastAsia"/>
                      <w:b w:val="0"/>
                      <w:bCs/>
                      <w:color w:val="000000" w:themeColor="text1"/>
                      <w:kern w:val="0"/>
                      <w:sz w:val="21"/>
                      <w:szCs w:val="21"/>
                      <w14:textFill>
                        <w14:solidFill>
                          <w14:schemeClr w14:val="tx1"/>
                        </w14:solidFill>
                      </w14:textFill>
                    </w:rPr>
                    <w:t>挤出废气</w:t>
                  </w:r>
                </w:p>
              </w:tc>
              <w:tc>
                <w:tcPr>
                  <w:tcW w:w="1046" w:type="pct"/>
                  <w:shd w:val="clear" w:color="auto" w:fill="auto"/>
                  <w:vAlign w:val="center"/>
                </w:tcPr>
                <w:p w14:paraId="3E6756FB">
                  <w:pPr>
                    <w:widowControl/>
                    <w:jc w:val="center"/>
                    <w:rPr>
                      <w:color w:val="000000"/>
                      <w:kern w:val="0"/>
                      <w:sz w:val="21"/>
                      <w:szCs w:val="21"/>
                    </w:rPr>
                  </w:pPr>
                  <w:r>
                    <w:rPr>
                      <w:rFonts w:hint="eastAsia"/>
                      <w:color w:val="000000"/>
                      <w:kern w:val="0"/>
                      <w:sz w:val="21"/>
                      <w:szCs w:val="21"/>
                    </w:rPr>
                    <w:t xml:space="preserve">非甲烷总烃 、HCl </w:t>
                  </w:r>
                </w:p>
              </w:tc>
              <w:tc>
                <w:tcPr>
                  <w:tcW w:w="1008" w:type="pct"/>
                  <w:vMerge w:val="continue"/>
                  <w:shd w:val="clear" w:color="auto" w:fill="auto"/>
                  <w:vAlign w:val="center"/>
                </w:tcPr>
                <w:p w14:paraId="1D80B9F8">
                  <w:pPr>
                    <w:jc w:val="center"/>
                    <w:rPr>
                      <w:color w:val="000000"/>
                      <w:kern w:val="0"/>
                      <w:sz w:val="21"/>
                      <w:szCs w:val="21"/>
                    </w:rPr>
                  </w:pPr>
                </w:p>
              </w:tc>
              <w:tc>
                <w:tcPr>
                  <w:tcW w:w="806" w:type="pct"/>
                  <w:vMerge w:val="continue"/>
                  <w:shd w:val="clear" w:color="auto" w:fill="auto"/>
                  <w:vAlign w:val="center"/>
                </w:tcPr>
                <w:p w14:paraId="6E6B3050">
                  <w:pPr>
                    <w:widowControl/>
                    <w:jc w:val="center"/>
                    <w:rPr>
                      <w:color w:val="000000"/>
                      <w:kern w:val="0"/>
                      <w:sz w:val="21"/>
                      <w:szCs w:val="21"/>
                    </w:rPr>
                  </w:pPr>
                </w:p>
              </w:tc>
            </w:tr>
            <w:tr w14:paraId="1CF3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4CBC222D">
                  <w:pPr>
                    <w:widowControl/>
                    <w:jc w:val="left"/>
                    <w:rPr>
                      <w:color w:val="000000"/>
                      <w:kern w:val="0"/>
                      <w:sz w:val="21"/>
                      <w:szCs w:val="21"/>
                    </w:rPr>
                  </w:pPr>
                </w:p>
              </w:tc>
              <w:tc>
                <w:tcPr>
                  <w:tcW w:w="581" w:type="pct"/>
                  <w:vMerge w:val="continue"/>
                  <w:shd w:val="clear" w:color="auto" w:fill="auto"/>
                  <w:vAlign w:val="center"/>
                </w:tcPr>
                <w:p w14:paraId="302D046F">
                  <w:pPr>
                    <w:widowControl/>
                    <w:jc w:val="left"/>
                    <w:rPr>
                      <w:color w:val="000000"/>
                      <w:kern w:val="0"/>
                      <w:sz w:val="21"/>
                      <w:szCs w:val="21"/>
                    </w:rPr>
                  </w:pPr>
                </w:p>
              </w:tc>
              <w:tc>
                <w:tcPr>
                  <w:tcW w:w="924" w:type="pct"/>
                  <w:tcBorders>
                    <w:top w:val="nil"/>
                    <w:left w:val="single" w:color="auto" w:sz="4" w:space="0"/>
                    <w:bottom w:val="single" w:color="auto" w:sz="4" w:space="0"/>
                    <w:right w:val="single" w:color="auto" w:sz="4" w:space="0"/>
                  </w:tcBorders>
                  <w:shd w:val="clear" w:color="auto" w:fill="auto"/>
                  <w:vAlign w:val="center"/>
                </w:tcPr>
                <w:p w14:paraId="6877E8D2">
                  <w:pPr>
                    <w:widowControl/>
                    <w:jc w:val="center"/>
                    <w:rPr>
                      <w:b w:val="0"/>
                      <w:bCs/>
                      <w:color w:val="000000"/>
                      <w:kern w:val="0"/>
                      <w:sz w:val="21"/>
                      <w:szCs w:val="21"/>
                    </w:rPr>
                  </w:pPr>
                  <w:r>
                    <w:rPr>
                      <w:rFonts w:hint="eastAsia"/>
                      <w:b w:val="0"/>
                      <w:bCs/>
                      <w:color w:val="000000" w:themeColor="text1"/>
                      <w:kern w:val="0"/>
                      <w:sz w:val="21"/>
                      <w:szCs w:val="21"/>
                      <w14:textFill>
                        <w14:solidFill>
                          <w14:schemeClr w14:val="tx1"/>
                        </w14:solidFill>
                      </w14:textFill>
                    </w:rPr>
                    <w:t>G</w:t>
                  </w:r>
                  <w:r>
                    <w:rPr>
                      <w:rFonts w:hint="eastAsia"/>
                      <w:b w:val="0"/>
                      <w:bCs/>
                      <w:color w:val="000000" w:themeColor="text1"/>
                      <w:kern w:val="0"/>
                      <w:sz w:val="21"/>
                      <w:szCs w:val="21"/>
                      <w:vertAlign w:val="subscript"/>
                      <w14:textFill>
                        <w14:solidFill>
                          <w14:schemeClr w14:val="tx1"/>
                        </w14:solidFill>
                      </w14:textFill>
                    </w:rPr>
                    <w:t>1-4</w:t>
                  </w:r>
                  <w:r>
                    <w:rPr>
                      <w:rFonts w:hint="eastAsia"/>
                      <w:b w:val="0"/>
                      <w:bCs/>
                      <w:color w:val="000000" w:themeColor="text1"/>
                      <w:kern w:val="0"/>
                      <w:sz w:val="21"/>
                      <w:szCs w:val="21"/>
                      <w14:textFill>
                        <w14:solidFill>
                          <w14:schemeClr w14:val="tx1"/>
                        </w14:solidFill>
                      </w14:textFill>
                    </w:rPr>
                    <w:t>喷码废气</w:t>
                  </w:r>
                </w:p>
              </w:tc>
              <w:tc>
                <w:tcPr>
                  <w:tcW w:w="1046" w:type="pct"/>
                  <w:shd w:val="clear" w:color="auto" w:fill="auto"/>
                  <w:vAlign w:val="center"/>
                </w:tcPr>
                <w:p w14:paraId="333D703B">
                  <w:pPr>
                    <w:widowControl/>
                    <w:jc w:val="center"/>
                    <w:rPr>
                      <w:color w:val="000000"/>
                      <w:kern w:val="0"/>
                      <w:sz w:val="21"/>
                      <w:szCs w:val="21"/>
                    </w:rPr>
                  </w:pPr>
                  <w:r>
                    <w:rPr>
                      <w:rFonts w:hint="eastAsia"/>
                      <w:color w:val="000000"/>
                      <w:kern w:val="0"/>
                      <w:sz w:val="21"/>
                      <w:szCs w:val="21"/>
                    </w:rPr>
                    <w:t xml:space="preserve">非甲烷总烃 </w:t>
                  </w:r>
                </w:p>
              </w:tc>
              <w:tc>
                <w:tcPr>
                  <w:tcW w:w="1008" w:type="pct"/>
                  <w:vMerge w:val="continue"/>
                  <w:shd w:val="clear" w:color="auto" w:fill="auto"/>
                  <w:vAlign w:val="center"/>
                </w:tcPr>
                <w:p w14:paraId="57074D31">
                  <w:pPr>
                    <w:widowControl/>
                    <w:jc w:val="center"/>
                    <w:rPr>
                      <w:color w:val="000000"/>
                      <w:kern w:val="0"/>
                      <w:sz w:val="21"/>
                      <w:szCs w:val="21"/>
                    </w:rPr>
                  </w:pPr>
                </w:p>
              </w:tc>
              <w:tc>
                <w:tcPr>
                  <w:tcW w:w="806" w:type="pct"/>
                  <w:vMerge w:val="continue"/>
                  <w:shd w:val="clear" w:color="auto" w:fill="auto"/>
                  <w:vAlign w:val="center"/>
                </w:tcPr>
                <w:p w14:paraId="4E292EC3">
                  <w:pPr>
                    <w:widowControl/>
                    <w:jc w:val="center"/>
                    <w:rPr>
                      <w:color w:val="000000"/>
                      <w:kern w:val="0"/>
                      <w:sz w:val="21"/>
                      <w:szCs w:val="21"/>
                      <w:highlight w:val="yellow"/>
                    </w:rPr>
                  </w:pPr>
                </w:p>
              </w:tc>
            </w:tr>
            <w:tr w14:paraId="7099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2D07AC7C">
                  <w:pPr>
                    <w:widowControl/>
                    <w:jc w:val="center"/>
                    <w:rPr>
                      <w:color w:val="000000"/>
                      <w:kern w:val="0"/>
                      <w:sz w:val="21"/>
                      <w:szCs w:val="21"/>
                    </w:rPr>
                  </w:pPr>
                </w:p>
              </w:tc>
              <w:tc>
                <w:tcPr>
                  <w:tcW w:w="581" w:type="pct"/>
                  <w:vMerge w:val="restart"/>
                  <w:shd w:val="clear" w:color="auto" w:fill="auto"/>
                  <w:vAlign w:val="center"/>
                </w:tcPr>
                <w:p w14:paraId="1A64A6A5">
                  <w:pPr>
                    <w:widowControl/>
                    <w:jc w:val="center"/>
                    <w:rPr>
                      <w:color w:val="000000"/>
                      <w:kern w:val="0"/>
                      <w:sz w:val="21"/>
                      <w:szCs w:val="21"/>
                    </w:rPr>
                  </w:pPr>
                  <w:r>
                    <w:rPr>
                      <w:color w:val="000000"/>
                      <w:kern w:val="0"/>
                      <w:sz w:val="21"/>
                      <w:szCs w:val="21"/>
                    </w:rPr>
                    <w:t>固体废物</w:t>
                  </w:r>
                </w:p>
              </w:tc>
              <w:tc>
                <w:tcPr>
                  <w:tcW w:w="924" w:type="pct"/>
                  <w:shd w:val="clear" w:color="auto" w:fill="auto"/>
                  <w:vAlign w:val="center"/>
                </w:tcPr>
                <w:p w14:paraId="2259BA72">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-1</w:t>
                  </w:r>
                </w:p>
              </w:tc>
              <w:tc>
                <w:tcPr>
                  <w:tcW w:w="1046" w:type="pct"/>
                  <w:shd w:val="clear" w:color="auto" w:fill="auto"/>
                  <w:vAlign w:val="center"/>
                </w:tcPr>
                <w:p w14:paraId="5FE8524E">
                  <w:pPr>
                    <w:widowControl/>
                    <w:jc w:val="center"/>
                    <w:rPr>
                      <w:color w:val="000000"/>
                      <w:kern w:val="0"/>
                      <w:sz w:val="21"/>
                      <w:szCs w:val="21"/>
                    </w:rPr>
                  </w:pPr>
                  <w:r>
                    <w:rPr>
                      <w:rFonts w:hint="eastAsia"/>
                      <w:color w:val="000000"/>
                      <w:kern w:val="0"/>
                      <w:sz w:val="21"/>
                      <w:szCs w:val="21"/>
                    </w:rPr>
                    <w:t>废金属材料、废拉丝液、废拉丝液桶</w:t>
                  </w:r>
                </w:p>
              </w:tc>
              <w:tc>
                <w:tcPr>
                  <w:tcW w:w="1008" w:type="pct"/>
                  <w:shd w:val="clear" w:color="auto" w:fill="auto"/>
                  <w:vAlign w:val="center"/>
                </w:tcPr>
                <w:p w14:paraId="6EAA6A0D">
                  <w:pPr>
                    <w:widowControl/>
                    <w:jc w:val="center"/>
                    <w:rPr>
                      <w:color w:val="000000"/>
                      <w:kern w:val="0"/>
                      <w:sz w:val="21"/>
                      <w:szCs w:val="21"/>
                    </w:rPr>
                  </w:pPr>
                  <w:r>
                    <w:rPr>
                      <w:rFonts w:hint="eastAsia"/>
                      <w:color w:val="000000"/>
                      <w:kern w:val="0"/>
                      <w:sz w:val="21"/>
                      <w:szCs w:val="21"/>
                    </w:rPr>
                    <w:t>外售综合利用、</w:t>
                  </w:r>
                  <w:r>
                    <w:rPr>
                      <w:color w:val="000000"/>
                      <w:kern w:val="0"/>
                      <w:sz w:val="21"/>
                      <w:szCs w:val="21"/>
                    </w:rPr>
                    <w:t>委托资质厂家处理</w:t>
                  </w:r>
                </w:p>
              </w:tc>
              <w:tc>
                <w:tcPr>
                  <w:tcW w:w="806" w:type="pct"/>
                  <w:vMerge w:val="restart"/>
                  <w:shd w:val="clear" w:color="auto" w:fill="auto"/>
                  <w:vAlign w:val="center"/>
                </w:tcPr>
                <w:p w14:paraId="1AB36E42">
                  <w:pPr>
                    <w:widowControl/>
                    <w:jc w:val="center"/>
                    <w:rPr>
                      <w:color w:val="000000"/>
                      <w:kern w:val="0"/>
                      <w:sz w:val="21"/>
                      <w:szCs w:val="21"/>
                    </w:rPr>
                  </w:pPr>
                  <w:r>
                    <w:rPr>
                      <w:color w:val="000000"/>
                      <w:kern w:val="0"/>
                      <w:sz w:val="21"/>
                      <w:szCs w:val="21"/>
                    </w:rPr>
                    <w:t>不外排</w:t>
                  </w:r>
                </w:p>
              </w:tc>
            </w:tr>
            <w:tr w14:paraId="2B944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516C436D">
                  <w:pPr>
                    <w:widowControl/>
                    <w:jc w:val="left"/>
                    <w:rPr>
                      <w:color w:val="000000"/>
                      <w:kern w:val="0"/>
                      <w:sz w:val="21"/>
                      <w:szCs w:val="21"/>
                    </w:rPr>
                  </w:pPr>
                </w:p>
              </w:tc>
              <w:tc>
                <w:tcPr>
                  <w:tcW w:w="581" w:type="pct"/>
                  <w:vMerge w:val="continue"/>
                  <w:shd w:val="clear" w:color="auto" w:fill="auto"/>
                  <w:vAlign w:val="center"/>
                </w:tcPr>
                <w:p w14:paraId="1E7B005A">
                  <w:pPr>
                    <w:widowControl/>
                    <w:jc w:val="left"/>
                    <w:rPr>
                      <w:color w:val="000000"/>
                      <w:kern w:val="0"/>
                      <w:sz w:val="21"/>
                      <w:szCs w:val="21"/>
                    </w:rPr>
                  </w:pPr>
                </w:p>
              </w:tc>
              <w:tc>
                <w:tcPr>
                  <w:tcW w:w="924" w:type="pct"/>
                  <w:shd w:val="clear" w:color="auto" w:fill="auto"/>
                  <w:vAlign w:val="center"/>
                </w:tcPr>
                <w:p w14:paraId="41639E1D">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-2</w:t>
                  </w:r>
                </w:p>
              </w:tc>
              <w:tc>
                <w:tcPr>
                  <w:tcW w:w="1046" w:type="pct"/>
                  <w:shd w:val="clear" w:color="auto" w:fill="auto"/>
                  <w:vAlign w:val="center"/>
                </w:tcPr>
                <w:p w14:paraId="43B48043">
                  <w:pPr>
                    <w:widowControl/>
                    <w:jc w:val="center"/>
                    <w:rPr>
                      <w:color w:val="000000"/>
                      <w:kern w:val="0"/>
                      <w:sz w:val="21"/>
                      <w:szCs w:val="21"/>
                    </w:rPr>
                  </w:pPr>
                  <w:r>
                    <w:rPr>
                      <w:rFonts w:hint="eastAsia"/>
                      <w:color w:val="000000"/>
                      <w:kern w:val="0"/>
                      <w:sz w:val="21"/>
                      <w:szCs w:val="21"/>
                    </w:rPr>
                    <w:t>废包装材料</w:t>
                  </w:r>
                </w:p>
              </w:tc>
              <w:tc>
                <w:tcPr>
                  <w:tcW w:w="1008" w:type="pct"/>
                  <w:shd w:val="clear" w:color="auto" w:fill="auto"/>
                  <w:vAlign w:val="center"/>
                </w:tcPr>
                <w:p w14:paraId="7EA95BDC">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4235F8BD">
                  <w:pPr>
                    <w:widowControl/>
                    <w:jc w:val="center"/>
                    <w:rPr>
                      <w:color w:val="000000"/>
                      <w:kern w:val="0"/>
                      <w:sz w:val="21"/>
                      <w:szCs w:val="21"/>
                    </w:rPr>
                  </w:pPr>
                </w:p>
              </w:tc>
            </w:tr>
            <w:tr w14:paraId="637F8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6B485F0A">
                  <w:pPr>
                    <w:widowControl/>
                    <w:jc w:val="left"/>
                    <w:rPr>
                      <w:color w:val="000000"/>
                      <w:kern w:val="0"/>
                      <w:sz w:val="21"/>
                      <w:szCs w:val="21"/>
                    </w:rPr>
                  </w:pPr>
                </w:p>
              </w:tc>
              <w:tc>
                <w:tcPr>
                  <w:tcW w:w="581" w:type="pct"/>
                  <w:vMerge w:val="continue"/>
                  <w:shd w:val="clear" w:color="auto" w:fill="auto"/>
                  <w:vAlign w:val="center"/>
                </w:tcPr>
                <w:p w14:paraId="041E8DAF">
                  <w:pPr>
                    <w:widowControl/>
                    <w:jc w:val="left"/>
                    <w:rPr>
                      <w:color w:val="000000"/>
                      <w:kern w:val="0"/>
                      <w:sz w:val="21"/>
                      <w:szCs w:val="21"/>
                    </w:rPr>
                  </w:pPr>
                </w:p>
              </w:tc>
              <w:tc>
                <w:tcPr>
                  <w:tcW w:w="924" w:type="pct"/>
                  <w:shd w:val="clear" w:color="auto" w:fill="auto"/>
                  <w:vAlign w:val="center"/>
                </w:tcPr>
                <w:p w14:paraId="54D370C0">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-3</w:t>
                  </w:r>
                </w:p>
              </w:tc>
              <w:tc>
                <w:tcPr>
                  <w:tcW w:w="1046" w:type="pct"/>
                  <w:shd w:val="clear" w:color="auto" w:fill="auto"/>
                  <w:vAlign w:val="center"/>
                </w:tcPr>
                <w:p w14:paraId="0A1C7C19">
                  <w:pPr>
                    <w:widowControl/>
                    <w:jc w:val="center"/>
                    <w:rPr>
                      <w:color w:val="000000"/>
                      <w:kern w:val="0"/>
                      <w:sz w:val="21"/>
                      <w:szCs w:val="21"/>
                    </w:rPr>
                  </w:pPr>
                  <w:r>
                    <w:rPr>
                      <w:rFonts w:hint="eastAsia"/>
                      <w:color w:val="000000"/>
                      <w:kern w:val="0"/>
                      <w:sz w:val="21"/>
                      <w:szCs w:val="21"/>
                    </w:rPr>
                    <w:t>不合格品</w:t>
                  </w:r>
                </w:p>
              </w:tc>
              <w:tc>
                <w:tcPr>
                  <w:tcW w:w="1008" w:type="pct"/>
                  <w:shd w:val="clear" w:color="auto" w:fill="auto"/>
                  <w:vAlign w:val="center"/>
                </w:tcPr>
                <w:p w14:paraId="6C2F9569">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3AA6476F">
                  <w:pPr>
                    <w:widowControl/>
                    <w:jc w:val="center"/>
                    <w:rPr>
                      <w:color w:val="000000"/>
                      <w:kern w:val="0"/>
                      <w:sz w:val="21"/>
                      <w:szCs w:val="21"/>
                    </w:rPr>
                  </w:pPr>
                </w:p>
              </w:tc>
            </w:tr>
            <w:tr w14:paraId="2CDE1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51019FD0">
                  <w:pPr>
                    <w:widowControl/>
                    <w:jc w:val="left"/>
                    <w:rPr>
                      <w:color w:val="000000"/>
                      <w:kern w:val="0"/>
                      <w:sz w:val="21"/>
                      <w:szCs w:val="21"/>
                    </w:rPr>
                  </w:pPr>
                </w:p>
              </w:tc>
              <w:tc>
                <w:tcPr>
                  <w:tcW w:w="581" w:type="pct"/>
                  <w:vMerge w:val="continue"/>
                  <w:shd w:val="clear" w:color="auto" w:fill="auto"/>
                  <w:vAlign w:val="center"/>
                </w:tcPr>
                <w:p w14:paraId="0EF9176C">
                  <w:pPr>
                    <w:widowControl/>
                    <w:jc w:val="left"/>
                    <w:rPr>
                      <w:color w:val="000000"/>
                      <w:kern w:val="0"/>
                      <w:sz w:val="21"/>
                      <w:szCs w:val="21"/>
                    </w:rPr>
                  </w:pPr>
                </w:p>
              </w:tc>
              <w:tc>
                <w:tcPr>
                  <w:tcW w:w="924" w:type="pct"/>
                  <w:shd w:val="clear" w:color="auto" w:fill="auto"/>
                  <w:vAlign w:val="center"/>
                </w:tcPr>
                <w:p w14:paraId="13153ACE">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-4</w:t>
                  </w:r>
                </w:p>
              </w:tc>
              <w:tc>
                <w:tcPr>
                  <w:tcW w:w="1046" w:type="pct"/>
                  <w:shd w:val="clear" w:color="auto" w:fill="auto"/>
                  <w:vAlign w:val="center"/>
                </w:tcPr>
                <w:p w14:paraId="0E258012">
                  <w:pPr>
                    <w:widowControl/>
                    <w:jc w:val="center"/>
                    <w:rPr>
                      <w:color w:val="000000"/>
                      <w:kern w:val="0"/>
                      <w:sz w:val="21"/>
                      <w:szCs w:val="21"/>
                    </w:rPr>
                  </w:pPr>
                  <w:r>
                    <w:rPr>
                      <w:rFonts w:hint="eastAsia"/>
                      <w:color w:val="000000"/>
                      <w:kern w:val="0"/>
                      <w:sz w:val="21"/>
                      <w:szCs w:val="21"/>
                    </w:rPr>
                    <w:t>废边角料</w:t>
                  </w:r>
                </w:p>
              </w:tc>
              <w:tc>
                <w:tcPr>
                  <w:tcW w:w="1008" w:type="pct"/>
                  <w:shd w:val="clear" w:color="auto" w:fill="auto"/>
                  <w:vAlign w:val="center"/>
                </w:tcPr>
                <w:p w14:paraId="02188628">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23B48440">
                  <w:pPr>
                    <w:widowControl/>
                    <w:jc w:val="center"/>
                    <w:rPr>
                      <w:color w:val="000000"/>
                      <w:kern w:val="0"/>
                      <w:sz w:val="21"/>
                      <w:szCs w:val="21"/>
                    </w:rPr>
                  </w:pPr>
                </w:p>
              </w:tc>
            </w:tr>
            <w:tr w14:paraId="01E8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069C3241">
                  <w:pPr>
                    <w:widowControl/>
                    <w:jc w:val="left"/>
                    <w:rPr>
                      <w:color w:val="000000"/>
                      <w:kern w:val="0"/>
                      <w:sz w:val="21"/>
                      <w:szCs w:val="21"/>
                    </w:rPr>
                  </w:pPr>
                </w:p>
              </w:tc>
              <w:tc>
                <w:tcPr>
                  <w:tcW w:w="581" w:type="pct"/>
                  <w:vMerge w:val="continue"/>
                  <w:shd w:val="clear" w:color="auto" w:fill="auto"/>
                  <w:vAlign w:val="center"/>
                </w:tcPr>
                <w:p w14:paraId="3F3CEABA">
                  <w:pPr>
                    <w:widowControl/>
                    <w:jc w:val="left"/>
                    <w:rPr>
                      <w:color w:val="000000"/>
                      <w:kern w:val="0"/>
                      <w:sz w:val="21"/>
                      <w:szCs w:val="21"/>
                    </w:rPr>
                  </w:pPr>
                </w:p>
              </w:tc>
              <w:tc>
                <w:tcPr>
                  <w:tcW w:w="924" w:type="pct"/>
                  <w:shd w:val="clear" w:color="auto" w:fill="auto"/>
                  <w:vAlign w:val="center"/>
                </w:tcPr>
                <w:p w14:paraId="1F5550A2">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-5</w:t>
                  </w:r>
                </w:p>
              </w:tc>
              <w:tc>
                <w:tcPr>
                  <w:tcW w:w="1046" w:type="pct"/>
                  <w:shd w:val="clear" w:color="auto" w:fill="auto"/>
                  <w:vAlign w:val="center"/>
                </w:tcPr>
                <w:p w14:paraId="3AAC1F90">
                  <w:pPr>
                    <w:widowControl/>
                    <w:jc w:val="center"/>
                    <w:rPr>
                      <w:color w:val="000000"/>
                      <w:kern w:val="0"/>
                      <w:sz w:val="21"/>
                      <w:szCs w:val="21"/>
                    </w:rPr>
                  </w:pPr>
                  <w:r>
                    <w:rPr>
                      <w:rFonts w:hint="eastAsia"/>
                      <w:color w:val="000000"/>
                      <w:kern w:val="0"/>
                      <w:sz w:val="21"/>
                      <w:szCs w:val="21"/>
                    </w:rPr>
                    <w:t>废包装材料</w:t>
                  </w:r>
                </w:p>
              </w:tc>
              <w:tc>
                <w:tcPr>
                  <w:tcW w:w="1008" w:type="pct"/>
                  <w:shd w:val="clear" w:color="auto" w:fill="auto"/>
                  <w:vAlign w:val="center"/>
                </w:tcPr>
                <w:p w14:paraId="673B9CA9">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084A3E9B">
                  <w:pPr>
                    <w:widowControl/>
                    <w:jc w:val="center"/>
                    <w:rPr>
                      <w:color w:val="000000"/>
                      <w:kern w:val="0"/>
                      <w:sz w:val="21"/>
                      <w:szCs w:val="21"/>
                    </w:rPr>
                  </w:pPr>
                </w:p>
              </w:tc>
            </w:tr>
            <w:tr w14:paraId="0044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1A030708">
                  <w:pPr>
                    <w:widowControl/>
                    <w:jc w:val="left"/>
                    <w:rPr>
                      <w:color w:val="000000"/>
                      <w:kern w:val="0"/>
                      <w:sz w:val="21"/>
                      <w:szCs w:val="21"/>
                    </w:rPr>
                  </w:pPr>
                </w:p>
              </w:tc>
              <w:tc>
                <w:tcPr>
                  <w:tcW w:w="581" w:type="pct"/>
                  <w:vMerge w:val="continue"/>
                  <w:shd w:val="clear" w:color="auto" w:fill="auto"/>
                  <w:vAlign w:val="center"/>
                </w:tcPr>
                <w:p w14:paraId="0EDE2458">
                  <w:pPr>
                    <w:widowControl/>
                    <w:jc w:val="left"/>
                    <w:rPr>
                      <w:color w:val="000000"/>
                      <w:kern w:val="0"/>
                      <w:sz w:val="21"/>
                      <w:szCs w:val="21"/>
                    </w:rPr>
                  </w:pPr>
                </w:p>
              </w:tc>
              <w:tc>
                <w:tcPr>
                  <w:tcW w:w="924" w:type="pct"/>
                  <w:shd w:val="clear" w:color="auto" w:fill="auto"/>
                  <w:vAlign w:val="center"/>
                </w:tcPr>
                <w:p w14:paraId="671E129C">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-6</w:t>
                  </w:r>
                </w:p>
              </w:tc>
              <w:tc>
                <w:tcPr>
                  <w:tcW w:w="1046" w:type="pct"/>
                  <w:shd w:val="clear" w:color="auto" w:fill="auto"/>
                  <w:vAlign w:val="center"/>
                </w:tcPr>
                <w:p w14:paraId="0F394EB9">
                  <w:pPr>
                    <w:widowControl/>
                    <w:jc w:val="center"/>
                    <w:rPr>
                      <w:color w:val="000000"/>
                      <w:kern w:val="0"/>
                      <w:sz w:val="21"/>
                      <w:szCs w:val="21"/>
                    </w:rPr>
                  </w:pPr>
                  <w:r>
                    <w:rPr>
                      <w:rFonts w:hint="eastAsia"/>
                      <w:color w:val="000000"/>
                      <w:kern w:val="0"/>
                      <w:sz w:val="21"/>
                      <w:szCs w:val="21"/>
                    </w:rPr>
                    <w:t>废油墨桶</w:t>
                  </w:r>
                </w:p>
              </w:tc>
              <w:tc>
                <w:tcPr>
                  <w:tcW w:w="1008" w:type="pct"/>
                  <w:shd w:val="clear" w:color="auto" w:fill="auto"/>
                  <w:vAlign w:val="center"/>
                </w:tcPr>
                <w:p w14:paraId="366FBFF2">
                  <w:pPr>
                    <w:widowControl/>
                    <w:jc w:val="center"/>
                    <w:rPr>
                      <w:color w:val="000000"/>
                      <w:kern w:val="0"/>
                      <w:sz w:val="21"/>
                      <w:szCs w:val="21"/>
                    </w:rPr>
                  </w:pPr>
                  <w:r>
                    <w:rPr>
                      <w:color w:val="000000"/>
                      <w:kern w:val="0"/>
                      <w:sz w:val="21"/>
                      <w:szCs w:val="21"/>
                    </w:rPr>
                    <w:t>委托资质厂家处理</w:t>
                  </w:r>
                </w:p>
              </w:tc>
              <w:tc>
                <w:tcPr>
                  <w:tcW w:w="806" w:type="pct"/>
                  <w:vMerge w:val="continue"/>
                  <w:shd w:val="clear" w:color="auto" w:fill="auto"/>
                  <w:vAlign w:val="center"/>
                </w:tcPr>
                <w:p w14:paraId="0A573662">
                  <w:pPr>
                    <w:widowControl/>
                    <w:jc w:val="center"/>
                    <w:rPr>
                      <w:color w:val="000000"/>
                      <w:kern w:val="0"/>
                      <w:sz w:val="21"/>
                      <w:szCs w:val="21"/>
                    </w:rPr>
                  </w:pPr>
                </w:p>
              </w:tc>
            </w:tr>
            <w:tr w14:paraId="2150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17A4917B">
                  <w:pPr>
                    <w:widowControl/>
                    <w:jc w:val="left"/>
                    <w:rPr>
                      <w:color w:val="000000"/>
                      <w:kern w:val="0"/>
                      <w:sz w:val="21"/>
                      <w:szCs w:val="21"/>
                    </w:rPr>
                  </w:pPr>
                </w:p>
              </w:tc>
              <w:tc>
                <w:tcPr>
                  <w:tcW w:w="581" w:type="pct"/>
                  <w:vMerge w:val="continue"/>
                  <w:shd w:val="clear" w:color="auto" w:fill="auto"/>
                  <w:vAlign w:val="center"/>
                </w:tcPr>
                <w:p w14:paraId="75B72C54">
                  <w:pPr>
                    <w:widowControl/>
                    <w:jc w:val="left"/>
                    <w:rPr>
                      <w:color w:val="000000"/>
                      <w:kern w:val="0"/>
                      <w:sz w:val="21"/>
                      <w:szCs w:val="21"/>
                    </w:rPr>
                  </w:pPr>
                </w:p>
              </w:tc>
              <w:tc>
                <w:tcPr>
                  <w:tcW w:w="924" w:type="pct"/>
                  <w:shd w:val="clear" w:color="auto" w:fill="auto"/>
                  <w:vAlign w:val="center"/>
                </w:tcPr>
                <w:p w14:paraId="7B84A1DA">
                  <w:pPr>
                    <w:widowControl/>
                    <w:jc w:val="center"/>
                    <w:rPr>
                      <w:color w:val="000000"/>
                      <w:kern w:val="0"/>
                      <w:sz w:val="21"/>
                      <w:szCs w:val="21"/>
                    </w:rPr>
                  </w:pPr>
                  <w:r>
                    <w:rPr>
                      <w:color w:val="000000"/>
                      <w:kern w:val="0"/>
                      <w:sz w:val="21"/>
                      <w:szCs w:val="21"/>
                    </w:rPr>
                    <w:t>S</w:t>
                  </w:r>
                  <w:r>
                    <w:rPr>
                      <w:color w:val="000000"/>
                      <w:kern w:val="0"/>
                      <w:sz w:val="21"/>
                      <w:szCs w:val="21"/>
                      <w:vertAlign w:val="subscript"/>
                    </w:rPr>
                    <w:t>1</w:t>
                  </w:r>
                  <w:r>
                    <w:rPr>
                      <w:rFonts w:hint="eastAsia"/>
                      <w:color w:val="000000"/>
                      <w:kern w:val="0"/>
                      <w:sz w:val="21"/>
                      <w:szCs w:val="21"/>
                      <w:vertAlign w:val="subscript"/>
                    </w:rPr>
                    <w:t>-7</w:t>
                  </w:r>
                </w:p>
              </w:tc>
              <w:tc>
                <w:tcPr>
                  <w:tcW w:w="1046" w:type="pct"/>
                  <w:shd w:val="clear" w:color="auto" w:fill="auto"/>
                  <w:vAlign w:val="center"/>
                </w:tcPr>
                <w:p w14:paraId="0B4A28A6">
                  <w:pPr>
                    <w:widowControl/>
                    <w:jc w:val="center"/>
                    <w:rPr>
                      <w:color w:val="000000"/>
                      <w:kern w:val="0"/>
                      <w:sz w:val="21"/>
                      <w:szCs w:val="21"/>
                    </w:rPr>
                  </w:pPr>
                  <w:r>
                    <w:rPr>
                      <w:rFonts w:hint="eastAsia"/>
                      <w:color w:val="000000"/>
                      <w:kern w:val="0"/>
                      <w:sz w:val="21"/>
                      <w:szCs w:val="21"/>
                    </w:rPr>
                    <w:t>不合格品</w:t>
                  </w:r>
                </w:p>
              </w:tc>
              <w:tc>
                <w:tcPr>
                  <w:tcW w:w="1008" w:type="pct"/>
                  <w:shd w:val="clear" w:color="auto" w:fill="auto"/>
                  <w:vAlign w:val="center"/>
                </w:tcPr>
                <w:p w14:paraId="33AF2F59">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5DCC62B3">
                  <w:pPr>
                    <w:widowControl/>
                    <w:jc w:val="center"/>
                    <w:rPr>
                      <w:color w:val="000000"/>
                      <w:kern w:val="0"/>
                      <w:sz w:val="21"/>
                      <w:szCs w:val="21"/>
                    </w:rPr>
                  </w:pPr>
                </w:p>
              </w:tc>
            </w:tr>
            <w:tr w14:paraId="07D1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restart"/>
                  <w:shd w:val="clear" w:color="auto" w:fill="auto"/>
                  <w:vAlign w:val="center"/>
                </w:tcPr>
                <w:p w14:paraId="623DA58F">
                  <w:pPr>
                    <w:widowControl/>
                    <w:jc w:val="center"/>
                    <w:rPr>
                      <w:color w:val="000000"/>
                      <w:kern w:val="0"/>
                      <w:sz w:val="21"/>
                      <w:szCs w:val="21"/>
                    </w:rPr>
                  </w:pPr>
                  <w:r>
                    <w:rPr>
                      <w:rFonts w:hint="eastAsia"/>
                      <w:color w:val="000000"/>
                      <w:kern w:val="0"/>
                      <w:sz w:val="21"/>
                      <w:szCs w:val="21"/>
                    </w:rPr>
                    <w:t>光伏电缆</w:t>
                  </w:r>
                </w:p>
              </w:tc>
              <w:tc>
                <w:tcPr>
                  <w:tcW w:w="581" w:type="pct"/>
                  <w:vMerge w:val="restart"/>
                  <w:shd w:val="clear" w:color="auto" w:fill="auto"/>
                  <w:vAlign w:val="center"/>
                </w:tcPr>
                <w:p w14:paraId="1D714B85">
                  <w:pPr>
                    <w:widowControl/>
                    <w:jc w:val="left"/>
                    <w:rPr>
                      <w:color w:val="000000"/>
                      <w:kern w:val="0"/>
                      <w:sz w:val="21"/>
                      <w:szCs w:val="21"/>
                    </w:rPr>
                  </w:pPr>
                  <w:r>
                    <w:rPr>
                      <w:rFonts w:hint="eastAsia"/>
                      <w:color w:val="000000"/>
                      <w:kern w:val="0"/>
                      <w:sz w:val="21"/>
                      <w:szCs w:val="21"/>
                    </w:rPr>
                    <w:t>废气</w:t>
                  </w:r>
                </w:p>
              </w:tc>
              <w:tc>
                <w:tcPr>
                  <w:tcW w:w="924" w:type="pct"/>
                  <w:shd w:val="clear" w:color="auto" w:fill="auto"/>
                  <w:vAlign w:val="center"/>
                </w:tcPr>
                <w:p w14:paraId="3B885316">
                  <w:pPr>
                    <w:widowControl/>
                    <w:jc w:val="center"/>
                    <w:rPr>
                      <w:bCs/>
                      <w:color w:val="000000"/>
                      <w:kern w:val="0"/>
                      <w:sz w:val="21"/>
                      <w:szCs w:val="21"/>
                    </w:rPr>
                  </w:pPr>
                  <w:r>
                    <w:rPr>
                      <w:rFonts w:hint="eastAsia"/>
                      <w:bCs/>
                      <w:color w:val="000000" w:themeColor="text1"/>
                      <w:kern w:val="0"/>
                      <w:sz w:val="21"/>
                      <w:szCs w:val="21"/>
                      <w14:textFill>
                        <w14:solidFill>
                          <w14:schemeClr w14:val="tx1"/>
                        </w14:solidFill>
                      </w14:textFill>
                    </w:rPr>
                    <w:t>G</w:t>
                  </w:r>
                  <w:r>
                    <w:rPr>
                      <w:rFonts w:hint="eastAsia"/>
                      <w:bCs/>
                      <w:color w:val="000000" w:themeColor="text1"/>
                      <w:kern w:val="0"/>
                      <w:sz w:val="21"/>
                      <w:szCs w:val="21"/>
                      <w:vertAlign w:val="subscript"/>
                      <w14:textFill>
                        <w14:solidFill>
                          <w14:schemeClr w14:val="tx1"/>
                        </w14:solidFill>
                      </w14:textFill>
                    </w:rPr>
                    <w:t>2-1</w:t>
                  </w:r>
                  <w:r>
                    <w:rPr>
                      <w:bCs/>
                      <w:color w:val="000000" w:themeColor="text1"/>
                      <w:kern w:val="0"/>
                      <w:sz w:val="21"/>
                      <w:szCs w:val="21"/>
                      <w:vertAlign w:val="subscript"/>
                      <w14:textFill>
                        <w14:solidFill>
                          <w14:schemeClr w14:val="tx1"/>
                        </w14:solidFill>
                      </w14:textFill>
                    </w:rPr>
                    <w:t>-1</w:t>
                  </w:r>
                  <w:r>
                    <w:rPr>
                      <w:rFonts w:hint="eastAsia"/>
                      <w:bCs/>
                      <w:color w:val="000000" w:themeColor="text1"/>
                      <w:kern w:val="0"/>
                      <w:sz w:val="21"/>
                      <w:szCs w:val="21"/>
                      <w14:textFill>
                        <w14:solidFill>
                          <w14:schemeClr w14:val="tx1"/>
                        </w14:solidFill>
                      </w14:textFill>
                    </w:rPr>
                    <w:t>绝缘挤出废气</w:t>
                  </w:r>
                </w:p>
              </w:tc>
              <w:tc>
                <w:tcPr>
                  <w:tcW w:w="1046" w:type="pct"/>
                  <w:shd w:val="clear" w:color="auto" w:fill="auto"/>
                  <w:vAlign w:val="center"/>
                </w:tcPr>
                <w:p w14:paraId="50ABE108">
                  <w:pPr>
                    <w:widowControl/>
                    <w:jc w:val="center"/>
                    <w:rPr>
                      <w:color w:val="000000"/>
                      <w:kern w:val="0"/>
                      <w:sz w:val="21"/>
                      <w:szCs w:val="21"/>
                    </w:rPr>
                  </w:pPr>
                  <w:r>
                    <w:rPr>
                      <w:rFonts w:hint="eastAsia"/>
                      <w:color w:val="000000"/>
                      <w:kern w:val="0"/>
                      <w:sz w:val="21"/>
                      <w:szCs w:val="21"/>
                    </w:rPr>
                    <w:t>非甲烷总烃</w:t>
                  </w:r>
                </w:p>
              </w:tc>
              <w:tc>
                <w:tcPr>
                  <w:tcW w:w="1008" w:type="pct"/>
                  <w:vMerge w:val="restart"/>
                  <w:shd w:val="clear" w:color="auto" w:fill="auto"/>
                  <w:vAlign w:val="center"/>
                </w:tcPr>
                <w:p w14:paraId="08885EC9">
                  <w:pPr>
                    <w:jc w:val="center"/>
                    <w:rPr>
                      <w:color w:val="000000"/>
                      <w:kern w:val="0"/>
                      <w:sz w:val="21"/>
                      <w:szCs w:val="21"/>
                    </w:rPr>
                  </w:pPr>
                  <w:r>
                    <w:rPr>
                      <w:rFonts w:hint="eastAsia"/>
                      <w:color w:val="000000"/>
                      <w:kern w:val="0"/>
                      <w:sz w:val="21"/>
                      <w:szCs w:val="21"/>
                    </w:rPr>
                    <w:t>设置集气罩并加设软帘收集废气，通入“</w:t>
                  </w:r>
                  <w:r>
                    <w:rPr>
                      <w:color w:val="000000"/>
                      <w:kern w:val="0"/>
                      <w:sz w:val="21"/>
                      <w:szCs w:val="21"/>
                    </w:rPr>
                    <w:t>2</w:t>
                  </w:r>
                  <w:r>
                    <w:rPr>
                      <w:rFonts w:hint="eastAsia"/>
                      <w:color w:val="000000"/>
                      <w:kern w:val="0"/>
                      <w:sz w:val="21"/>
                      <w:szCs w:val="21"/>
                    </w:rPr>
                    <w:t>#碱水喷淋塔+除雾+二级活性炭吸附装置”处理</w:t>
                  </w:r>
                </w:p>
              </w:tc>
              <w:tc>
                <w:tcPr>
                  <w:tcW w:w="806" w:type="pct"/>
                  <w:vMerge w:val="restart"/>
                  <w:shd w:val="clear" w:color="auto" w:fill="auto"/>
                  <w:vAlign w:val="center"/>
                </w:tcPr>
                <w:p w14:paraId="5DF1D956">
                  <w:pPr>
                    <w:widowControl/>
                    <w:jc w:val="center"/>
                    <w:rPr>
                      <w:color w:val="000000"/>
                      <w:kern w:val="0"/>
                      <w:sz w:val="21"/>
                      <w:szCs w:val="21"/>
                    </w:rPr>
                  </w:pPr>
                  <w:r>
                    <w:rPr>
                      <w:color w:val="000000"/>
                      <w:kern w:val="0"/>
                      <w:sz w:val="21"/>
                      <w:szCs w:val="21"/>
                    </w:rPr>
                    <w:t>15m高DA00</w:t>
                  </w:r>
                  <w:r>
                    <w:rPr>
                      <w:rFonts w:hint="eastAsia"/>
                      <w:color w:val="000000"/>
                      <w:kern w:val="0"/>
                      <w:sz w:val="21"/>
                      <w:szCs w:val="21"/>
                    </w:rPr>
                    <w:t>2</w:t>
                  </w:r>
                  <w:r>
                    <w:rPr>
                      <w:color w:val="000000"/>
                      <w:kern w:val="0"/>
                      <w:sz w:val="21"/>
                      <w:szCs w:val="21"/>
                    </w:rPr>
                    <w:t>排气筒</w:t>
                  </w:r>
                </w:p>
              </w:tc>
            </w:tr>
            <w:tr w14:paraId="5C49F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1DAA7561">
                  <w:pPr>
                    <w:widowControl/>
                    <w:jc w:val="left"/>
                    <w:rPr>
                      <w:color w:val="000000"/>
                      <w:kern w:val="0"/>
                      <w:sz w:val="21"/>
                      <w:szCs w:val="21"/>
                    </w:rPr>
                  </w:pPr>
                </w:p>
              </w:tc>
              <w:tc>
                <w:tcPr>
                  <w:tcW w:w="581" w:type="pct"/>
                  <w:vMerge w:val="continue"/>
                  <w:shd w:val="clear" w:color="auto" w:fill="auto"/>
                  <w:vAlign w:val="center"/>
                </w:tcPr>
                <w:p w14:paraId="1C6D6738">
                  <w:pPr>
                    <w:widowControl/>
                    <w:jc w:val="left"/>
                    <w:rPr>
                      <w:color w:val="000000"/>
                      <w:kern w:val="0"/>
                      <w:sz w:val="21"/>
                      <w:szCs w:val="21"/>
                    </w:rPr>
                  </w:pPr>
                </w:p>
              </w:tc>
              <w:tc>
                <w:tcPr>
                  <w:tcW w:w="924" w:type="pct"/>
                  <w:shd w:val="clear" w:color="auto" w:fill="auto"/>
                  <w:vAlign w:val="center"/>
                </w:tcPr>
                <w:p w14:paraId="57989FEC">
                  <w:pPr>
                    <w:widowControl/>
                    <w:jc w:val="center"/>
                    <w:rPr>
                      <w:bCs/>
                      <w:color w:val="000000"/>
                      <w:kern w:val="0"/>
                      <w:sz w:val="21"/>
                      <w:szCs w:val="21"/>
                    </w:rPr>
                  </w:pPr>
                  <w:r>
                    <w:rPr>
                      <w:rFonts w:hint="eastAsia"/>
                      <w:bCs/>
                      <w:color w:val="000000" w:themeColor="text1"/>
                      <w:kern w:val="0"/>
                      <w:sz w:val="21"/>
                      <w:szCs w:val="21"/>
                      <w14:textFill>
                        <w14:solidFill>
                          <w14:schemeClr w14:val="tx1"/>
                        </w14:solidFill>
                      </w14:textFill>
                    </w:rPr>
                    <w:t>G</w:t>
                  </w:r>
                  <w:r>
                    <w:rPr>
                      <w:rFonts w:hint="eastAsia"/>
                      <w:bCs/>
                      <w:color w:val="000000" w:themeColor="text1"/>
                      <w:kern w:val="0"/>
                      <w:sz w:val="21"/>
                      <w:szCs w:val="21"/>
                      <w:vertAlign w:val="subscript"/>
                      <w14:textFill>
                        <w14:solidFill>
                          <w14:schemeClr w14:val="tx1"/>
                        </w14:solidFill>
                      </w14:textFill>
                    </w:rPr>
                    <w:t>2-</w:t>
                  </w:r>
                  <w:r>
                    <w:rPr>
                      <w:rFonts w:hint="eastAsia"/>
                      <w:bCs/>
                      <w:color w:val="000000" w:themeColor="text1"/>
                      <w:kern w:val="0"/>
                      <w:sz w:val="21"/>
                      <w:szCs w:val="21"/>
                      <w:vertAlign w:val="subscript"/>
                      <w:lang w:val="en-US" w:eastAsia="zh-CN"/>
                      <w14:textFill>
                        <w14:solidFill>
                          <w14:schemeClr w14:val="tx1"/>
                        </w14:solidFill>
                      </w14:textFill>
                    </w:rPr>
                    <w:t>1</w:t>
                  </w:r>
                  <w:r>
                    <w:rPr>
                      <w:bCs/>
                      <w:color w:val="000000" w:themeColor="text1"/>
                      <w:kern w:val="0"/>
                      <w:sz w:val="21"/>
                      <w:szCs w:val="21"/>
                      <w:vertAlign w:val="subscript"/>
                      <w14:textFill>
                        <w14:solidFill>
                          <w14:schemeClr w14:val="tx1"/>
                        </w14:solidFill>
                      </w14:textFill>
                    </w:rPr>
                    <w:t>-</w:t>
                  </w:r>
                  <w:r>
                    <w:rPr>
                      <w:rFonts w:hint="eastAsia"/>
                      <w:bCs/>
                      <w:color w:val="000000" w:themeColor="text1"/>
                      <w:kern w:val="0"/>
                      <w:sz w:val="21"/>
                      <w:szCs w:val="21"/>
                      <w:vertAlign w:val="subscript"/>
                      <w:lang w:val="en-US" w:eastAsia="zh-CN"/>
                      <w14:textFill>
                        <w14:solidFill>
                          <w14:schemeClr w14:val="tx1"/>
                        </w14:solidFill>
                      </w14:textFill>
                    </w:rPr>
                    <w:t>2</w:t>
                  </w:r>
                  <w:r>
                    <w:rPr>
                      <w:rFonts w:hint="eastAsia"/>
                      <w:bCs/>
                      <w:color w:val="000000" w:themeColor="text1"/>
                      <w:kern w:val="0"/>
                      <w:sz w:val="21"/>
                      <w:szCs w:val="21"/>
                      <w14:textFill>
                        <w14:solidFill>
                          <w14:schemeClr w14:val="tx1"/>
                        </w14:solidFill>
                      </w14:textFill>
                    </w:rPr>
                    <w:t>护套挤出废气</w:t>
                  </w:r>
                </w:p>
              </w:tc>
              <w:tc>
                <w:tcPr>
                  <w:tcW w:w="1046" w:type="pct"/>
                  <w:shd w:val="clear" w:color="auto" w:fill="auto"/>
                  <w:vAlign w:val="center"/>
                </w:tcPr>
                <w:p w14:paraId="015AD840">
                  <w:pPr>
                    <w:widowControl/>
                    <w:jc w:val="center"/>
                    <w:rPr>
                      <w:color w:val="000000"/>
                      <w:kern w:val="0"/>
                      <w:sz w:val="21"/>
                      <w:szCs w:val="21"/>
                    </w:rPr>
                  </w:pPr>
                  <w:r>
                    <w:rPr>
                      <w:rFonts w:hint="eastAsia"/>
                      <w:color w:val="000000"/>
                      <w:kern w:val="0"/>
                      <w:sz w:val="21"/>
                      <w:szCs w:val="21"/>
                    </w:rPr>
                    <w:t xml:space="preserve">非甲烷总烃、HCl </w:t>
                  </w:r>
                </w:p>
              </w:tc>
              <w:tc>
                <w:tcPr>
                  <w:tcW w:w="1008" w:type="pct"/>
                  <w:vMerge w:val="continue"/>
                  <w:shd w:val="clear" w:color="auto" w:fill="auto"/>
                  <w:vAlign w:val="center"/>
                </w:tcPr>
                <w:p w14:paraId="74610004">
                  <w:pPr>
                    <w:jc w:val="center"/>
                    <w:rPr>
                      <w:color w:val="000000"/>
                      <w:kern w:val="0"/>
                      <w:sz w:val="21"/>
                      <w:szCs w:val="21"/>
                    </w:rPr>
                  </w:pPr>
                </w:p>
              </w:tc>
              <w:tc>
                <w:tcPr>
                  <w:tcW w:w="806" w:type="pct"/>
                  <w:vMerge w:val="continue"/>
                  <w:shd w:val="clear" w:color="auto" w:fill="auto"/>
                  <w:vAlign w:val="center"/>
                </w:tcPr>
                <w:p w14:paraId="4659A663">
                  <w:pPr>
                    <w:widowControl/>
                    <w:jc w:val="center"/>
                    <w:rPr>
                      <w:color w:val="000000"/>
                      <w:kern w:val="0"/>
                      <w:sz w:val="21"/>
                      <w:szCs w:val="21"/>
                    </w:rPr>
                  </w:pPr>
                </w:p>
              </w:tc>
            </w:tr>
            <w:tr w14:paraId="6582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35" w:type="pct"/>
                  <w:vMerge w:val="continue"/>
                  <w:shd w:val="clear" w:color="auto" w:fill="auto"/>
                  <w:vAlign w:val="center"/>
                </w:tcPr>
                <w:p w14:paraId="0011A3E3">
                  <w:pPr>
                    <w:widowControl/>
                    <w:jc w:val="left"/>
                    <w:rPr>
                      <w:color w:val="000000"/>
                      <w:kern w:val="0"/>
                      <w:sz w:val="21"/>
                      <w:szCs w:val="21"/>
                    </w:rPr>
                  </w:pPr>
                </w:p>
              </w:tc>
              <w:tc>
                <w:tcPr>
                  <w:tcW w:w="581" w:type="pct"/>
                  <w:vMerge w:val="continue"/>
                  <w:shd w:val="clear" w:color="auto" w:fill="auto"/>
                  <w:vAlign w:val="center"/>
                </w:tcPr>
                <w:p w14:paraId="2E80CF48">
                  <w:pPr>
                    <w:widowControl/>
                    <w:jc w:val="left"/>
                    <w:rPr>
                      <w:color w:val="000000"/>
                      <w:kern w:val="0"/>
                      <w:sz w:val="21"/>
                      <w:szCs w:val="21"/>
                    </w:rPr>
                  </w:pPr>
                </w:p>
              </w:tc>
              <w:tc>
                <w:tcPr>
                  <w:tcW w:w="924" w:type="pct"/>
                  <w:shd w:val="clear" w:color="auto" w:fill="auto"/>
                  <w:vAlign w:val="center"/>
                </w:tcPr>
                <w:p w14:paraId="66D12316">
                  <w:pPr>
                    <w:widowControl/>
                    <w:jc w:val="center"/>
                    <w:rPr>
                      <w:bCs/>
                      <w:color w:val="000000"/>
                      <w:kern w:val="0"/>
                      <w:sz w:val="21"/>
                      <w:szCs w:val="21"/>
                    </w:rPr>
                  </w:pPr>
                  <w:r>
                    <w:rPr>
                      <w:rFonts w:eastAsia="等线"/>
                      <w:bCs/>
                      <w:color w:val="000000"/>
                      <w:kern w:val="0"/>
                      <w:sz w:val="21"/>
                      <w:szCs w:val="21"/>
                    </w:rPr>
                    <w:t>G</w:t>
                  </w:r>
                  <w:r>
                    <w:rPr>
                      <w:rFonts w:hint="eastAsia" w:eastAsia="等线"/>
                      <w:bCs/>
                      <w:color w:val="000000"/>
                      <w:kern w:val="0"/>
                      <w:sz w:val="21"/>
                      <w:szCs w:val="21"/>
                      <w:vertAlign w:val="subscript"/>
                    </w:rPr>
                    <w:t>2-</w:t>
                  </w:r>
                  <w:r>
                    <w:rPr>
                      <w:rFonts w:hint="eastAsia" w:eastAsia="等线"/>
                      <w:bCs/>
                      <w:color w:val="000000"/>
                      <w:kern w:val="0"/>
                      <w:sz w:val="21"/>
                      <w:szCs w:val="21"/>
                      <w:vertAlign w:val="subscript"/>
                      <w:lang w:val="en-US" w:eastAsia="zh-CN"/>
                    </w:rPr>
                    <w:t>1</w:t>
                  </w:r>
                  <w:r>
                    <w:rPr>
                      <w:rFonts w:eastAsia="等线"/>
                      <w:bCs/>
                      <w:color w:val="000000"/>
                      <w:kern w:val="0"/>
                      <w:sz w:val="21"/>
                      <w:szCs w:val="21"/>
                      <w:vertAlign w:val="subscript"/>
                    </w:rPr>
                    <w:t>-</w:t>
                  </w:r>
                  <w:r>
                    <w:rPr>
                      <w:rFonts w:hint="eastAsia" w:eastAsia="等线"/>
                      <w:bCs/>
                      <w:color w:val="000000"/>
                      <w:kern w:val="0"/>
                      <w:sz w:val="21"/>
                      <w:szCs w:val="21"/>
                      <w:vertAlign w:val="subscript"/>
                      <w:lang w:val="en-US" w:eastAsia="zh-CN"/>
                    </w:rPr>
                    <w:t>3</w:t>
                  </w:r>
                  <w:r>
                    <w:rPr>
                      <w:rFonts w:hint="eastAsia" w:ascii="宋体" w:hAnsi="宋体"/>
                      <w:bCs/>
                      <w:color w:val="000000"/>
                      <w:kern w:val="0"/>
                      <w:sz w:val="21"/>
                      <w:szCs w:val="21"/>
                    </w:rPr>
                    <w:t>喷码</w:t>
                  </w:r>
                  <w:r>
                    <w:rPr>
                      <w:rFonts w:hint="eastAsia" w:ascii="宋体" w:hAnsi="宋体" w:eastAsia="宋体"/>
                      <w:bCs/>
                      <w:color w:val="000000"/>
                      <w:kern w:val="0"/>
                      <w:sz w:val="21"/>
                      <w:szCs w:val="21"/>
                      <w:vertAlign w:val="baseline"/>
                    </w:rPr>
                    <w:t>废气</w:t>
                  </w:r>
                </w:p>
              </w:tc>
              <w:tc>
                <w:tcPr>
                  <w:tcW w:w="1046" w:type="pct"/>
                  <w:shd w:val="clear" w:color="auto" w:fill="auto"/>
                  <w:vAlign w:val="center"/>
                </w:tcPr>
                <w:p w14:paraId="7FD0F2A8">
                  <w:pPr>
                    <w:widowControl/>
                    <w:jc w:val="center"/>
                    <w:rPr>
                      <w:color w:val="000000"/>
                      <w:kern w:val="0"/>
                      <w:sz w:val="21"/>
                      <w:szCs w:val="21"/>
                    </w:rPr>
                  </w:pPr>
                  <w:r>
                    <w:rPr>
                      <w:rFonts w:hint="eastAsia"/>
                      <w:color w:val="000000"/>
                      <w:kern w:val="0"/>
                      <w:sz w:val="21"/>
                      <w:szCs w:val="21"/>
                    </w:rPr>
                    <w:t>非甲烷总烃</w:t>
                  </w:r>
                </w:p>
              </w:tc>
              <w:tc>
                <w:tcPr>
                  <w:tcW w:w="1008" w:type="pct"/>
                  <w:vMerge w:val="continue"/>
                  <w:shd w:val="clear" w:color="auto" w:fill="auto"/>
                  <w:vAlign w:val="center"/>
                </w:tcPr>
                <w:p w14:paraId="04D4A146">
                  <w:pPr>
                    <w:widowControl/>
                    <w:jc w:val="center"/>
                    <w:rPr>
                      <w:color w:val="000000"/>
                      <w:kern w:val="0"/>
                      <w:sz w:val="21"/>
                      <w:szCs w:val="21"/>
                    </w:rPr>
                  </w:pPr>
                </w:p>
              </w:tc>
              <w:tc>
                <w:tcPr>
                  <w:tcW w:w="806" w:type="pct"/>
                  <w:vMerge w:val="continue"/>
                  <w:shd w:val="clear" w:color="auto" w:fill="auto"/>
                  <w:vAlign w:val="center"/>
                </w:tcPr>
                <w:p w14:paraId="25710660">
                  <w:pPr>
                    <w:widowControl/>
                    <w:jc w:val="center"/>
                    <w:rPr>
                      <w:color w:val="000000"/>
                      <w:kern w:val="0"/>
                      <w:sz w:val="21"/>
                      <w:szCs w:val="21"/>
                    </w:rPr>
                  </w:pPr>
                </w:p>
              </w:tc>
            </w:tr>
            <w:tr w14:paraId="0EA5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02197AB9">
                  <w:pPr>
                    <w:widowControl/>
                    <w:jc w:val="left"/>
                    <w:rPr>
                      <w:color w:val="000000"/>
                      <w:kern w:val="0"/>
                      <w:sz w:val="21"/>
                      <w:szCs w:val="21"/>
                    </w:rPr>
                  </w:pPr>
                </w:p>
              </w:tc>
              <w:tc>
                <w:tcPr>
                  <w:tcW w:w="581" w:type="pct"/>
                  <w:vMerge w:val="continue"/>
                  <w:shd w:val="clear" w:color="auto" w:fill="auto"/>
                  <w:vAlign w:val="center"/>
                </w:tcPr>
                <w:p w14:paraId="2685CCB2">
                  <w:pPr>
                    <w:widowControl/>
                    <w:jc w:val="left"/>
                    <w:rPr>
                      <w:color w:val="000000"/>
                      <w:kern w:val="0"/>
                      <w:sz w:val="21"/>
                      <w:szCs w:val="21"/>
                    </w:rPr>
                  </w:pPr>
                </w:p>
              </w:tc>
              <w:tc>
                <w:tcPr>
                  <w:tcW w:w="924" w:type="pct"/>
                  <w:shd w:val="clear" w:color="auto" w:fill="auto"/>
                  <w:vAlign w:val="center"/>
                </w:tcPr>
                <w:p w14:paraId="760A9910">
                  <w:pPr>
                    <w:widowControl/>
                    <w:jc w:val="center"/>
                    <w:rPr>
                      <w:rFonts w:eastAsia="等线"/>
                      <w:bCs/>
                      <w:color w:val="000000"/>
                      <w:kern w:val="0"/>
                      <w:sz w:val="21"/>
                      <w:szCs w:val="21"/>
                    </w:rPr>
                  </w:pPr>
                  <w:r>
                    <w:rPr>
                      <w:rFonts w:hint="eastAsia"/>
                      <w:bCs/>
                      <w:color w:val="000000" w:themeColor="text1"/>
                      <w:kern w:val="0"/>
                      <w:sz w:val="21"/>
                      <w:szCs w:val="21"/>
                      <w14:textFill>
                        <w14:solidFill>
                          <w14:schemeClr w14:val="tx1"/>
                        </w14:solidFill>
                      </w14:textFill>
                    </w:rPr>
                    <w:t>G</w:t>
                  </w:r>
                  <w:r>
                    <w:rPr>
                      <w:rFonts w:hint="eastAsia"/>
                      <w:bCs/>
                      <w:color w:val="000000" w:themeColor="text1"/>
                      <w:kern w:val="0"/>
                      <w:sz w:val="21"/>
                      <w:szCs w:val="21"/>
                      <w:vertAlign w:val="subscript"/>
                      <w14:textFill>
                        <w14:solidFill>
                          <w14:schemeClr w14:val="tx1"/>
                        </w14:solidFill>
                      </w14:textFill>
                    </w:rPr>
                    <w:t>2-</w:t>
                  </w:r>
                  <w:r>
                    <w:rPr>
                      <w:rFonts w:hint="eastAsia"/>
                      <w:bCs/>
                      <w:color w:val="000000" w:themeColor="text1"/>
                      <w:kern w:val="0"/>
                      <w:sz w:val="21"/>
                      <w:szCs w:val="21"/>
                      <w:vertAlign w:val="subscript"/>
                      <w:lang w:val="en-US" w:eastAsia="zh-CN"/>
                      <w14:textFill>
                        <w14:solidFill>
                          <w14:schemeClr w14:val="tx1"/>
                        </w14:solidFill>
                      </w14:textFill>
                    </w:rPr>
                    <w:t>2</w:t>
                  </w:r>
                  <w:r>
                    <w:rPr>
                      <w:bCs/>
                      <w:color w:val="000000" w:themeColor="text1"/>
                      <w:kern w:val="0"/>
                      <w:sz w:val="21"/>
                      <w:szCs w:val="21"/>
                      <w:vertAlign w:val="subscript"/>
                      <w14:textFill>
                        <w14:solidFill>
                          <w14:schemeClr w14:val="tx1"/>
                        </w14:solidFill>
                      </w14:textFill>
                    </w:rPr>
                    <w:t>-</w:t>
                  </w:r>
                  <w:r>
                    <w:rPr>
                      <w:rFonts w:hint="eastAsia"/>
                      <w:bCs/>
                      <w:color w:val="000000" w:themeColor="text1"/>
                      <w:kern w:val="0"/>
                      <w:sz w:val="21"/>
                      <w:szCs w:val="21"/>
                      <w:vertAlign w:val="subscript"/>
                      <w:lang w:val="en-US" w:eastAsia="zh-CN"/>
                      <w14:textFill>
                        <w14:solidFill>
                          <w14:schemeClr w14:val="tx1"/>
                        </w14:solidFill>
                      </w14:textFill>
                    </w:rPr>
                    <w:t>1</w:t>
                  </w:r>
                  <w:r>
                    <w:rPr>
                      <w:rFonts w:hint="eastAsia"/>
                      <w:bCs/>
                      <w:color w:val="000000" w:themeColor="text1"/>
                      <w:kern w:val="0"/>
                      <w:sz w:val="21"/>
                      <w:szCs w:val="21"/>
                      <w14:textFill>
                        <w14:solidFill>
                          <w14:schemeClr w14:val="tx1"/>
                        </w14:solidFill>
                      </w14:textFill>
                    </w:rPr>
                    <w:t>绝缘挤出废气</w:t>
                  </w:r>
                </w:p>
              </w:tc>
              <w:tc>
                <w:tcPr>
                  <w:tcW w:w="1046" w:type="pct"/>
                  <w:shd w:val="clear" w:color="auto" w:fill="auto"/>
                  <w:vAlign w:val="center"/>
                </w:tcPr>
                <w:p w14:paraId="0F9EE7D6">
                  <w:pPr>
                    <w:widowControl/>
                    <w:jc w:val="center"/>
                    <w:rPr>
                      <w:color w:val="000000"/>
                      <w:kern w:val="0"/>
                      <w:sz w:val="21"/>
                      <w:szCs w:val="21"/>
                    </w:rPr>
                  </w:pPr>
                  <w:r>
                    <w:rPr>
                      <w:rFonts w:hint="eastAsia"/>
                      <w:color w:val="000000"/>
                      <w:kern w:val="0"/>
                      <w:sz w:val="21"/>
                      <w:szCs w:val="21"/>
                    </w:rPr>
                    <w:t>非甲烷总烃</w:t>
                  </w:r>
                </w:p>
              </w:tc>
              <w:tc>
                <w:tcPr>
                  <w:tcW w:w="1008" w:type="pct"/>
                  <w:vMerge w:val="restart"/>
                  <w:shd w:val="clear" w:color="auto" w:fill="auto"/>
                  <w:vAlign w:val="center"/>
                </w:tcPr>
                <w:p w14:paraId="5E30BB4E">
                  <w:pPr>
                    <w:widowControl/>
                    <w:jc w:val="center"/>
                    <w:rPr>
                      <w:color w:val="000000"/>
                      <w:kern w:val="0"/>
                      <w:sz w:val="21"/>
                      <w:szCs w:val="21"/>
                    </w:rPr>
                  </w:pPr>
                  <w:r>
                    <w:rPr>
                      <w:rFonts w:hint="eastAsia"/>
                      <w:color w:val="000000"/>
                      <w:kern w:val="0"/>
                      <w:sz w:val="21"/>
                      <w:szCs w:val="21"/>
                    </w:rPr>
                    <w:t>设置集气罩并加设软帘收集废气，通入“3#碱水喷淋塔+除雾+二级活性炭吸附装置”处理</w:t>
                  </w:r>
                </w:p>
              </w:tc>
              <w:tc>
                <w:tcPr>
                  <w:tcW w:w="806" w:type="pct"/>
                  <w:vMerge w:val="restart"/>
                  <w:shd w:val="clear" w:color="auto" w:fill="auto"/>
                  <w:vAlign w:val="center"/>
                </w:tcPr>
                <w:p w14:paraId="0E8E92E1">
                  <w:pPr>
                    <w:widowControl/>
                    <w:jc w:val="center"/>
                    <w:rPr>
                      <w:color w:val="000000"/>
                      <w:kern w:val="0"/>
                      <w:sz w:val="21"/>
                      <w:szCs w:val="21"/>
                    </w:rPr>
                  </w:pPr>
                  <w:r>
                    <w:rPr>
                      <w:color w:val="000000"/>
                      <w:kern w:val="0"/>
                      <w:sz w:val="21"/>
                      <w:szCs w:val="21"/>
                    </w:rPr>
                    <w:t>15m高DA00</w:t>
                  </w:r>
                  <w:r>
                    <w:rPr>
                      <w:rFonts w:hint="eastAsia"/>
                      <w:color w:val="000000"/>
                      <w:kern w:val="0"/>
                      <w:sz w:val="21"/>
                      <w:szCs w:val="21"/>
                    </w:rPr>
                    <w:t>3</w:t>
                  </w:r>
                  <w:r>
                    <w:rPr>
                      <w:color w:val="000000"/>
                      <w:kern w:val="0"/>
                      <w:sz w:val="21"/>
                      <w:szCs w:val="21"/>
                    </w:rPr>
                    <w:t>排气筒</w:t>
                  </w:r>
                </w:p>
              </w:tc>
            </w:tr>
            <w:tr w14:paraId="644C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378C6319">
                  <w:pPr>
                    <w:widowControl/>
                    <w:jc w:val="left"/>
                    <w:rPr>
                      <w:color w:val="000000"/>
                      <w:kern w:val="0"/>
                      <w:sz w:val="21"/>
                      <w:szCs w:val="21"/>
                    </w:rPr>
                  </w:pPr>
                </w:p>
              </w:tc>
              <w:tc>
                <w:tcPr>
                  <w:tcW w:w="581" w:type="pct"/>
                  <w:vMerge w:val="continue"/>
                  <w:shd w:val="clear" w:color="auto" w:fill="auto"/>
                  <w:vAlign w:val="center"/>
                </w:tcPr>
                <w:p w14:paraId="1FC27F5D">
                  <w:pPr>
                    <w:widowControl/>
                    <w:jc w:val="left"/>
                    <w:rPr>
                      <w:color w:val="000000"/>
                      <w:kern w:val="0"/>
                      <w:sz w:val="21"/>
                      <w:szCs w:val="21"/>
                    </w:rPr>
                  </w:pPr>
                </w:p>
              </w:tc>
              <w:tc>
                <w:tcPr>
                  <w:tcW w:w="924" w:type="pct"/>
                  <w:shd w:val="clear" w:color="auto" w:fill="auto"/>
                  <w:vAlign w:val="center"/>
                </w:tcPr>
                <w:p w14:paraId="039CDEFE">
                  <w:pPr>
                    <w:widowControl/>
                    <w:jc w:val="center"/>
                    <w:rPr>
                      <w:rFonts w:eastAsia="等线"/>
                      <w:bCs/>
                      <w:color w:val="000000"/>
                      <w:kern w:val="0"/>
                      <w:sz w:val="21"/>
                      <w:szCs w:val="21"/>
                    </w:rPr>
                  </w:pPr>
                  <w:r>
                    <w:rPr>
                      <w:rFonts w:hint="eastAsia"/>
                      <w:bCs/>
                      <w:color w:val="000000" w:themeColor="text1"/>
                      <w:kern w:val="0"/>
                      <w:sz w:val="21"/>
                      <w:szCs w:val="21"/>
                      <w14:textFill>
                        <w14:solidFill>
                          <w14:schemeClr w14:val="tx1"/>
                        </w14:solidFill>
                      </w14:textFill>
                    </w:rPr>
                    <w:t>G</w:t>
                  </w:r>
                  <w:r>
                    <w:rPr>
                      <w:rFonts w:hint="eastAsia"/>
                      <w:bCs/>
                      <w:color w:val="000000" w:themeColor="text1"/>
                      <w:kern w:val="0"/>
                      <w:sz w:val="21"/>
                      <w:szCs w:val="21"/>
                      <w:vertAlign w:val="subscript"/>
                      <w14:textFill>
                        <w14:solidFill>
                          <w14:schemeClr w14:val="tx1"/>
                        </w14:solidFill>
                      </w14:textFill>
                    </w:rPr>
                    <w:t>2-2</w:t>
                  </w:r>
                  <w:r>
                    <w:rPr>
                      <w:bCs/>
                      <w:color w:val="000000" w:themeColor="text1"/>
                      <w:kern w:val="0"/>
                      <w:sz w:val="21"/>
                      <w:szCs w:val="21"/>
                      <w:vertAlign w:val="subscript"/>
                      <w14:textFill>
                        <w14:solidFill>
                          <w14:schemeClr w14:val="tx1"/>
                        </w14:solidFill>
                      </w14:textFill>
                    </w:rPr>
                    <w:t>-2</w:t>
                  </w:r>
                  <w:r>
                    <w:rPr>
                      <w:rFonts w:hint="eastAsia"/>
                      <w:bCs/>
                      <w:color w:val="000000" w:themeColor="text1"/>
                      <w:kern w:val="0"/>
                      <w:sz w:val="21"/>
                      <w:szCs w:val="21"/>
                      <w14:textFill>
                        <w14:solidFill>
                          <w14:schemeClr w14:val="tx1"/>
                        </w14:solidFill>
                      </w14:textFill>
                    </w:rPr>
                    <w:t>护套挤出废气</w:t>
                  </w:r>
                </w:p>
              </w:tc>
              <w:tc>
                <w:tcPr>
                  <w:tcW w:w="1046" w:type="pct"/>
                  <w:shd w:val="clear" w:color="auto" w:fill="auto"/>
                  <w:vAlign w:val="center"/>
                </w:tcPr>
                <w:p w14:paraId="34235F56">
                  <w:pPr>
                    <w:widowControl/>
                    <w:jc w:val="center"/>
                    <w:rPr>
                      <w:color w:val="000000"/>
                      <w:kern w:val="0"/>
                      <w:sz w:val="21"/>
                      <w:szCs w:val="21"/>
                    </w:rPr>
                  </w:pPr>
                  <w:r>
                    <w:rPr>
                      <w:rFonts w:hint="eastAsia"/>
                      <w:color w:val="000000"/>
                      <w:kern w:val="0"/>
                      <w:sz w:val="21"/>
                      <w:szCs w:val="21"/>
                    </w:rPr>
                    <w:t xml:space="preserve">非甲烷总烃、HCl </w:t>
                  </w:r>
                </w:p>
              </w:tc>
              <w:tc>
                <w:tcPr>
                  <w:tcW w:w="1008" w:type="pct"/>
                  <w:vMerge w:val="continue"/>
                  <w:shd w:val="clear" w:color="auto" w:fill="auto"/>
                  <w:vAlign w:val="center"/>
                </w:tcPr>
                <w:p w14:paraId="4C0D2E66">
                  <w:pPr>
                    <w:widowControl/>
                    <w:jc w:val="center"/>
                    <w:rPr>
                      <w:color w:val="000000"/>
                      <w:kern w:val="0"/>
                      <w:sz w:val="21"/>
                      <w:szCs w:val="21"/>
                    </w:rPr>
                  </w:pPr>
                </w:p>
              </w:tc>
              <w:tc>
                <w:tcPr>
                  <w:tcW w:w="806" w:type="pct"/>
                  <w:vMerge w:val="continue"/>
                  <w:shd w:val="clear" w:color="auto" w:fill="auto"/>
                  <w:vAlign w:val="center"/>
                </w:tcPr>
                <w:p w14:paraId="30B9D5D3">
                  <w:pPr>
                    <w:widowControl/>
                    <w:jc w:val="center"/>
                    <w:rPr>
                      <w:color w:val="000000"/>
                      <w:kern w:val="0"/>
                      <w:sz w:val="21"/>
                      <w:szCs w:val="21"/>
                    </w:rPr>
                  </w:pPr>
                </w:p>
              </w:tc>
            </w:tr>
            <w:tr w14:paraId="0F8F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279C7E0C">
                  <w:pPr>
                    <w:widowControl/>
                    <w:jc w:val="left"/>
                    <w:rPr>
                      <w:color w:val="000000"/>
                      <w:kern w:val="0"/>
                      <w:sz w:val="21"/>
                      <w:szCs w:val="21"/>
                    </w:rPr>
                  </w:pPr>
                </w:p>
              </w:tc>
              <w:tc>
                <w:tcPr>
                  <w:tcW w:w="581" w:type="pct"/>
                  <w:vMerge w:val="continue"/>
                  <w:shd w:val="clear" w:color="auto" w:fill="auto"/>
                  <w:vAlign w:val="center"/>
                </w:tcPr>
                <w:p w14:paraId="399C630F">
                  <w:pPr>
                    <w:widowControl/>
                    <w:jc w:val="left"/>
                    <w:rPr>
                      <w:color w:val="000000"/>
                      <w:kern w:val="0"/>
                      <w:sz w:val="21"/>
                      <w:szCs w:val="21"/>
                    </w:rPr>
                  </w:pPr>
                </w:p>
              </w:tc>
              <w:tc>
                <w:tcPr>
                  <w:tcW w:w="924" w:type="pct"/>
                  <w:shd w:val="clear" w:color="auto" w:fill="auto"/>
                  <w:vAlign w:val="center"/>
                </w:tcPr>
                <w:p w14:paraId="3F9101FA">
                  <w:pPr>
                    <w:widowControl/>
                    <w:jc w:val="center"/>
                    <w:rPr>
                      <w:rFonts w:eastAsia="等线"/>
                      <w:color w:val="000000"/>
                      <w:kern w:val="0"/>
                      <w:sz w:val="21"/>
                      <w:szCs w:val="21"/>
                    </w:rPr>
                  </w:pPr>
                  <w:r>
                    <w:rPr>
                      <w:rFonts w:eastAsia="等线"/>
                      <w:color w:val="000000"/>
                      <w:kern w:val="0"/>
                      <w:sz w:val="21"/>
                      <w:szCs w:val="21"/>
                    </w:rPr>
                    <w:t>G</w:t>
                  </w:r>
                  <w:r>
                    <w:rPr>
                      <w:rFonts w:hint="eastAsia" w:eastAsia="等线"/>
                      <w:color w:val="000000"/>
                      <w:kern w:val="0"/>
                      <w:sz w:val="21"/>
                      <w:szCs w:val="21"/>
                      <w:vertAlign w:val="subscript"/>
                    </w:rPr>
                    <w:t>2-</w:t>
                  </w:r>
                  <w:r>
                    <w:rPr>
                      <w:rFonts w:hint="eastAsia" w:eastAsia="等线"/>
                      <w:color w:val="000000"/>
                      <w:kern w:val="0"/>
                      <w:sz w:val="21"/>
                      <w:szCs w:val="21"/>
                      <w:vertAlign w:val="subscript"/>
                      <w:lang w:val="en-US" w:eastAsia="zh-CN"/>
                    </w:rPr>
                    <w:t>2</w:t>
                  </w:r>
                  <w:r>
                    <w:rPr>
                      <w:rFonts w:eastAsia="等线"/>
                      <w:color w:val="000000"/>
                      <w:kern w:val="0"/>
                      <w:sz w:val="21"/>
                      <w:szCs w:val="21"/>
                      <w:vertAlign w:val="subscript"/>
                    </w:rPr>
                    <w:t>-</w:t>
                  </w:r>
                  <w:r>
                    <w:rPr>
                      <w:rFonts w:hint="eastAsia" w:eastAsia="等线"/>
                      <w:color w:val="000000"/>
                      <w:kern w:val="0"/>
                      <w:sz w:val="21"/>
                      <w:szCs w:val="21"/>
                      <w:vertAlign w:val="subscript"/>
                      <w:lang w:val="en-US" w:eastAsia="zh-CN"/>
                    </w:rPr>
                    <w:t>3</w:t>
                  </w:r>
                  <w:r>
                    <w:rPr>
                      <w:rFonts w:hint="eastAsia" w:ascii="宋体" w:hAnsi="宋体"/>
                      <w:color w:val="000000"/>
                      <w:kern w:val="0"/>
                      <w:sz w:val="21"/>
                      <w:szCs w:val="21"/>
                    </w:rPr>
                    <w:t>喷码</w:t>
                  </w:r>
                  <w:r>
                    <w:rPr>
                      <w:rFonts w:hint="eastAsia" w:ascii="宋体" w:hAnsi="宋体" w:eastAsia="宋体"/>
                      <w:color w:val="000000"/>
                      <w:kern w:val="0"/>
                      <w:sz w:val="21"/>
                      <w:szCs w:val="21"/>
                      <w:vertAlign w:val="baseline"/>
                    </w:rPr>
                    <w:t>废气</w:t>
                  </w:r>
                </w:p>
              </w:tc>
              <w:tc>
                <w:tcPr>
                  <w:tcW w:w="1046" w:type="pct"/>
                  <w:shd w:val="clear" w:color="auto" w:fill="auto"/>
                  <w:vAlign w:val="center"/>
                </w:tcPr>
                <w:p w14:paraId="3905B142">
                  <w:pPr>
                    <w:widowControl/>
                    <w:jc w:val="center"/>
                    <w:rPr>
                      <w:color w:val="000000"/>
                      <w:kern w:val="0"/>
                      <w:sz w:val="21"/>
                      <w:szCs w:val="21"/>
                    </w:rPr>
                  </w:pPr>
                  <w:r>
                    <w:rPr>
                      <w:rFonts w:hint="eastAsia"/>
                      <w:color w:val="000000"/>
                      <w:kern w:val="0"/>
                      <w:sz w:val="21"/>
                      <w:szCs w:val="21"/>
                    </w:rPr>
                    <w:t>非甲烷总烃</w:t>
                  </w:r>
                </w:p>
              </w:tc>
              <w:tc>
                <w:tcPr>
                  <w:tcW w:w="1008" w:type="pct"/>
                  <w:vMerge w:val="continue"/>
                  <w:shd w:val="clear" w:color="auto" w:fill="auto"/>
                  <w:vAlign w:val="center"/>
                </w:tcPr>
                <w:p w14:paraId="2A6DF7DC">
                  <w:pPr>
                    <w:widowControl/>
                    <w:jc w:val="center"/>
                    <w:rPr>
                      <w:color w:val="000000"/>
                      <w:kern w:val="0"/>
                      <w:sz w:val="21"/>
                      <w:szCs w:val="21"/>
                    </w:rPr>
                  </w:pPr>
                </w:p>
              </w:tc>
              <w:tc>
                <w:tcPr>
                  <w:tcW w:w="806" w:type="pct"/>
                  <w:vMerge w:val="continue"/>
                  <w:shd w:val="clear" w:color="auto" w:fill="auto"/>
                  <w:vAlign w:val="center"/>
                </w:tcPr>
                <w:p w14:paraId="57CA8651">
                  <w:pPr>
                    <w:widowControl/>
                    <w:jc w:val="center"/>
                    <w:rPr>
                      <w:color w:val="000000"/>
                      <w:kern w:val="0"/>
                      <w:sz w:val="21"/>
                      <w:szCs w:val="21"/>
                    </w:rPr>
                  </w:pPr>
                </w:p>
              </w:tc>
            </w:tr>
            <w:tr w14:paraId="0B21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46422357">
                  <w:pPr>
                    <w:widowControl/>
                    <w:jc w:val="left"/>
                    <w:rPr>
                      <w:color w:val="000000"/>
                      <w:kern w:val="0"/>
                      <w:sz w:val="21"/>
                      <w:szCs w:val="21"/>
                    </w:rPr>
                  </w:pPr>
                </w:p>
              </w:tc>
              <w:tc>
                <w:tcPr>
                  <w:tcW w:w="581" w:type="pct"/>
                  <w:vMerge w:val="restart"/>
                  <w:shd w:val="clear" w:color="auto" w:fill="auto"/>
                  <w:vAlign w:val="center"/>
                </w:tcPr>
                <w:p w14:paraId="2E0054A6">
                  <w:pPr>
                    <w:widowControl/>
                    <w:jc w:val="left"/>
                    <w:rPr>
                      <w:color w:val="000000"/>
                      <w:kern w:val="0"/>
                      <w:sz w:val="21"/>
                      <w:szCs w:val="21"/>
                    </w:rPr>
                  </w:pPr>
                  <w:r>
                    <w:rPr>
                      <w:color w:val="000000"/>
                      <w:kern w:val="0"/>
                      <w:sz w:val="21"/>
                      <w:szCs w:val="21"/>
                    </w:rPr>
                    <w:t>固体废物</w:t>
                  </w:r>
                </w:p>
              </w:tc>
              <w:tc>
                <w:tcPr>
                  <w:tcW w:w="924" w:type="pct"/>
                  <w:shd w:val="clear" w:color="auto" w:fill="auto"/>
                  <w:vAlign w:val="center"/>
                </w:tcPr>
                <w:p w14:paraId="0E240BFF">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2-1</w:t>
                  </w:r>
                </w:p>
              </w:tc>
              <w:tc>
                <w:tcPr>
                  <w:tcW w:w="1046" w:type="pct"/>
                  <w:shd w:val="clear" w:color="auto" w:fill="auto"/>
                  <w:vAlign w:val="center"/>
                </w:tcPr>
                <w:p w14:paraId="20321649">
                  <w:pPr>
                    <w:widowControl/>
                    <w:jc w:val="center"/>
                    <w:rPr>
                      <w:color w:val="000000"/>
                      <w:kern w:val="0"/>
                      <w:sz w:val="21"/>
                      <w:szCs w:val="21"/>
                    </w:rPr>
                  </w:pPr>
                  <w:r>
                    <w:rPr>
                      <w:rFonts w:hint="eastAsia"/>
                      <w:color w:val="000000"/>
                      <w:kern w:val="0"/>
                      <w:sz w:val="21"/>
                      <w:szCs w:val="21"/>
                    </w:rPr>
                    <w:t>废铜丝</w:t>
                  </w:r>
                </w:p>
              </w:tc>
              <w:tc>
                <w:tcPr>
                  <w:tcW w:w="1008" w:type="pct"/>
                  <w:shd w:val="clear" w:color="auto" w:fill="auto"/>
                  <w:vAlign w:val="center"/>
                </w:tcPr>
                <w:p w14:paraId="6D7F1E17">
                  <w:pPr>
                    <w:widowControl/>
                    <w:jc w:val="center"/>
                    <w:rPr>
                      <w:color w:val="000000"/>
                      <w:kern w:val="0"/>
                      <w:sz w:val="21"/>
                      <w:szCs w:val="21"/>
                    </w:rPr>
                  </w:pPr>
                  <w:r>
                    <w:rPr>
                      <w:rFonts w:hint="eastAsia"/>
                      <w:color w:val="000000"/>
                      <w:kern w:val="0"/>
                      <w:sz w:val="21"/>
                      <w:szCs w:val="21"/>
                    </w:rPr>
                    <w:t>外售综合利用</w:t>
                  </w:r>
                </w:p>
              </w:tc>
              <w:tc>
                <w:tcPr>
                  <w:tcW w:w="806" w:type="pct"/>
                  <w:vMerge w:val="restart"/>
                  <w:shd w:val="clear" w:color="auto" w:fill="auto"/>
                  <w:vAlign w:val="center"/>
                </w:tcPr>
                <w:p w14:paraId="1712CAF2">
                  <w:pPr>
                    <w:widowControl/>
                    <w:jc w:val="center"/>
                    <w:rPr>
                      <w:color w:val="000000"/>
                      <w:kern w:val="0"/>
                      <w:sz w:val="21"/>
                      <w:szCs w:val="21"/>
                    </w:rPr>
                  </w:pPr>
                  <w:r>
                    <w:rPr>
                      <w:rFonts w:hint="eastAsia"/>
                      <w:color w:val="000000"/>
                      <w:kern w:val="0"/>
                      <w:sz w:val="21"/>
                      <w:szCs w:val="21"/>
                    </w:rPr>
                    <w:t>不外排</w:t>
                  </w:r>
                </w:p>
              </w:tc>
            </w:tr>
            <w:tr w14:paraId="1AC8D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2B8D98A0">
                  <w:pPr>
                    <w:widowControl/>
                    <w:jc w:val="left"/>
                    <w:rPr>
                      <w:color w:val="000000"/>
                      <w:kern w:val="0"/>
                      <w:sz w:val="21"/>
                      <w:szCs w:val="21"/>
                    </w:rPr>
                  </w:pPr>
                </w:p>
              </w:tc>
              <w:tc>
                <w:tcPr>
                  <w:tcW w:w="581" w:type="pct"/>
                  <w:vMerge w:val="continue"/>
                  <w:shd w:val="clear" w:color="auto" w:fill="auto"/>
                  <w:vAlign w:val="center"/>
                </w:tcPr>
                <w:p w14:paraId="3D6FFF52">
                  <w:pPr>
                    <w:widowControl/>
                    <w:jc w:val="left"/>
                    <w:rPr>
                      <w:color w:val="000000"/>
                      <w:kern w:val="0"/>
                      <w:sz w:val="21"/>
                      <w:szCs w:val="21"/>
                    </w:rPr>
                  </w:pPr>
                </w:p>
              </w:tc>
              <w:tc>
                <w:tcPr>
                  <w:tcW w:w="924" w:type="pct"/>
                  <w:shd w:val="clear" w:color="auto" w:fill="auto"/>
                  <w:vAlign w:val="center"/>
                </w:tcPr>
                <w:p w14:paraId="4D41CED1">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2-2</w:t>
                  </w:r>
                </w:p>
              </w:tc>
              <w:tc>
                <w:tcPr>
                  <w:tcW w:w="1046" w:type="pct"/>
                  <w:shd w:val="clear" w:color="auto" w:fill="auto"/>
                  <w:vAlign w:val="center"/>
                </w:tcPr>
                <w:p w14:paraId="64DAA9E6">
                  <w:pPr>
                    <w:widowControl/>
                    <w:jc w:val="center"/>
                    <w:rPr>
                      <w:color w:val="000000"/>
                      <w:kern w:val="0"/>
                      <w:sz w:val="21"/>
                      <w:szCs w:val="21"/>
                    </w:rPr>
                  </w:pPr>
                  <w:r>
                    <w:rPr>
                      <w:rFonts w:hint="eastAsia"/>
                      <w:color w:val="000000"/>
                      <w:kern w:val="0"/>
                      <w:sz w:val="21"/>
                      <w:szCs w:val="21"/>
                    </w:rPr>
                    <w:t>废边角料</w:t>
                  </w:r>
                </w:p>
              </w:tc>
              <w:tc>
                <w:tcPr>
                  <w:tcW w:w="1008" w:type="pct"/>
                  <w:shd w:val="clear" w:color="auto" w:fill="auto"/>
                  <w:vAlign w:val="center"/>
                </w:tcPr>
                <w:p w14:paraId="417B8811">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28552025">
                  <w:pPr>
                    <w:widowControl/>
                    <w:jc w:val="center"/>
                    <w:rPr>
                      <w:color w:val="000000"/>
                      <w:kern w:val="0"/>
                      <w:sz w:val="21"/>
                      <w:szCs w:val="21"/>
                    </w:rPr>
                  </w:pPr>
                </w:p>
              </w:tc>
            </w:tr>
            <w:tr w14:paraId="255F7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2E694FA7">
                  <w:pPr>
                    <w:widowControl/>
                    <w:jc w:val="left"/>
                    <w:rPr>
                      <w:color w:val="000000"/>
                      <w:kern w:val="0"/>
                      <w:sz w:val="21"/>
                      <w:szCs w:val="21"/>
                    </w:rPr>
                  </w:pPr>
                </w:p>
              </w:tc>
              <w:tc>
                <w:tcPr>
                  <w:tcW w:w="581" w:type="pct"/>
                  <w:vMerge w:val="continue"/>
                  <w:shd w:val="clear" w:color="auto" w:fill="auto"/>
                  <w:vAlign w:val="center"/>
                </w:tcPr>
                <w:p w14:paraId="67176D0F">
                  <w:pPr>
                    <w:widowControl/>
                    <w:jc w:val="left"/>
                    <w:rPr>
                      <w:color w:val="000000"/>
                      <w:kern w:val="0"/>
                      <w:sz w:val="21"/>
                      <w:szCs w:val="21"/>
                    </w:rPr>
                  </w:pPr>
                </w:p>
              </w:tc>
              <w:tc>
                <w:tcPr>
                  <w:tcW w:w="924" w:type="pct"/>
                  <w:shd w:val="clear" w:color="auto" w:fill="auto"/>
                  <w:vAlign w:val="center"/>
                </w:tcPr>
                <w:p w14:paraId="3493428A">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2-3</w:t>
                  </w:r>
                </w:p>
              </w:tc>
              <w:tc>
                <w:tcPr>
                  <w:tcW w:w="1046" w:type="pct"/>
                  <w:shd w:val="clear" w:color="auto" w:fill="auto"/>
                  <w:vAlign w:val="center"/>
                </w:tcPr>
                <w:p w14:paraId="3187529F">
                  <w:pPr>
                    <w:widowControl/>
                    <w:jc w:val="center"/>
                    <w:rPr>
                      <w:color w:val="000000"/>
                      <w:kern w:val="0"/>
                      <w:sz w:val="21"/>
                      <w:szCs w:val="21"/>
                    </w:rPr>
                  </w:pPr>
                  <w:r>
                    <w:rPr>
                      <w:rFonts w:hint="eastAsia"/>
                      <w:color w:val="000000"/>
                      <w:kern w:val="0"/>
                      <w:sz w:val="21"/>
                      <w:szCs w:val="21"/>
                    </w:rPr>
                    <w:t>不合格品</w:t>
                  </w:r>
                </w:p>
              </w:tc>
              <w:tc>
                <w:tcPr>
                  <w:tcW w:w="1008" w:type="pct"/>
                  <w:shd w:val="clear" w:color="auto" w:fill="auto"/>
                  <w:vAlign w:val="center"/>
                </w:tcPr>
                <w:p w14:paraId="39C57B6E">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1350D1FB">
                  <w:pPr>
                    <w:widowControl/>
                    <w:jc w:val="center"/>
                    <w:rPr>
                      <w:color w:val="000000"/>
                      <w:kern w:val="0"/>
                      <w:sz w:val="21"/>
                      <w:szCs w:val="21"/>
                    </w:rPr>
                  </w:pPr>
                </w:p>
              </w:tc>
            </w:tr>
            <w:tr w14:paraId="45071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690DCD11">
                  <w:pPr>
                    <w:widowControl/>
                    <w:jc w:val="left"/>
                    <w:rPr>
                      <w:color w:val="000000"/>
                      <w:kern w:val="0"/>
                      <w:sz w:val="21"/>
                      <w:szCs w:val="21"/>
                    </w:rPr>
                  </w:pPr>
                </w:p>
              </w:tc>
              <w:tc>
                <w:tcPr>
                  <w:tcW w:w="581" w:type="pct"/>
                  <w:vMerge w:val="continue"/>
                  <w:shd w:val="clear" w:color="auto" w:fill="auto"/>
                  <w:vAlign w:val="center"/>
                </w:tcPr>
                <w:p w14:paraId="684370DE">
                  <w:pPr>
                    <w:widowControl/>
                    <w:jc w:val="left"/>
                    <w:rPr>
                      <w:color w:val="000000"/>
                      <w:kern w:val="0"/>
                      <w:sz w:val="21"/>
                      <w:szCs w:val="21"/>
                    </w:rPr>
                  </w:pPr>
                </w:p>
              </w:tc>
              <w:tc>
                <w:tcPr>
                  <w:tcW w:w="924" w:type="pct"/>
                  <w:shd w:val="clear" w:color="auto" w:fill="auto"/>
                  <w:vAlign w:val="center"/>
                </w:tcPr>
                <w:p w14:paraId="292A43EC">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2-4</w:t>
                  </w:r>
                </w:p>
              </w:tc>
              <w:tc>
                <w:tcPr>
                  <w:tcW w:w="1046" w:type="pct"/>
                  <w:shd w:val="clear" w:color="auto" w:fill="auto"/>
                  <w:vAlign w:val="center"/>
                </w:tcPr>
                <w:p w14:paraId="408B241F">
                  <w:pPr>
                    <w:widowControl/>
                    <w:jc w:val="center"/>
                    <w:rPr>
                      <w:color w:val="000000"/>
                      <w:kern w:val="0"/>
                      <w:sz w:val="21"/>
                      <w:szCs w:val="21"/>
                    </w:rPr>
                  </w:pPr>
                  <w:r>
                    <w:rPr>
                      <w:rFonts w:hint="eastAsia"/>
                      <w:color w:val="000000"/>
                      <w:kern w:val="0"/>
                      <w:sz w:val="21"/>
                      <w:szCs w:val="21"/>
                    </w:rPr>
                    <w:t>废包装材料</w:t>
                  </w:r>
                </w:p>
              </w:tc>
              <w:tc>
                <w:tcPr>
                  <w:tcW w:w="1008" w:type="pct"/>
                  <w:shd w:val="clear" w:color="auto" w:fill="auto"/>
                  <w:vAlign w:val="center"/>
                </w:tcPr>
                <w:p w14:paraId="556CCAE3">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1C4F66E4">
                  <w:pPr>
                    <w:widowControl/>
                    <w:jc w:val="center"/>
                    <w:rPr>
                      <w:color w:val="000000"/>
                      <w:kern w:val="0"/>
                      <w:sz w:val="21"/>
                      <w:szCs w:val="21"/>
                    </w:rPr>
                  </w:pPr>
                </w:p>
              </w:tc>
            </w:tr>
            <w:tr w14:paraId="67CC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2EDE3D11">
                  <w:pPr>
                    <w:widowControl/>
                    <w:jc w:val="left"/>
                    <w:rPr>
                      <w:color w:val="000000"/>
                      <w:kern w:val="0"/>
                      <w:sz w:val="21"/>
                      <w:szCs w:val="21"/>
                    </w:rPr>
                  </w:pPr>
                </w:p>
              </w:tc>
              <w:tc>
                <w:tcPr>
                  <w:tcW w:w="581" w:type="pct"/>
                  <w:vMerge w:val="continue"/>
                  <w:shd w:val="clear" w:color="auto" w:fill="auto"/>
                  <w:vAlign w:val="center"/>
                </w:tcPr>
                <w:p w14:paraId="0B25013E">
                  <w:pPr>
                    <w:widowControl/>
                    <w:jc w:val="left"/>
                    <w:rPr>
                      <w:color w:val="000000"/>
                      <w:kern w:val="0"/>
                      <w:sz w:val="21"/>
                      <w:szCs w:val="21"/>
                    </w:rPr>
                  </w:pPr>
                </w:p>
              </w:tc>
              <w:tc>
                <w:tcPr>
                  <w:tcW w:w="924" w:type="pct"/>
                  <w:shd w:val="clear" w:color="auto" w:fill="auto"/>
                  <w:vAlign w:val="center"/>
                </w:tcPr>
                <w:p w14:paraId="5C665F73">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2-5</w:t>
                  </w:r>
                </w:p>
              </w:tc>
              <w:tc>
                <w:tcPr>
                  <w:tcW w:w="1046" w:type="pct"/>
                  <w:shd w:val="clear" w:color="auto" w:fill="auto"/>
                  <w:vAlign w:val="center"/>
                </w:tcPr>
                <w:p w14:paraId="6733A95F">
                  <w:pPr>
                    <w:widowControl/>
                    <w:jc w:val="center"/>
                    <w:rPr>
                      <w:color w:val="000000"/>
                      <w:kern w:val="0"/>
                      <w:sz w:val="21"/>
                      <w:szCs w:val="21"/>
                    </w:rPr>
                  </w:pPr>
                  <w:r>
                    <w:rPr>
                      <w:rFonts w:hint="eastAsia"/>
                      <w:color w:val="000000"/>
                      <w:kern w:val="0"/>
                      <w:sz w:val="21"/>
                      <w:szCs w:val="21"/>
                    </w:rPr>
                    <w:t>废边角料</w:t>
                  </w:r>
                </w:p>
              </w:tc>
              <w:tc>
                <w:tcPr>
                  <w:tcW w:w="1008" w:type="pct"/>
                  <w:shd w:val="clear" w:color="auto" w:fill="auto"/>
                  <w:vAlign w:val="center"/>
                </w:tcPr>
                <w:p w14:paraId="72830241">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2912CD4B">
                  <w:pPr>
                    <w:widowControl/>
                    <w:jc w:val="center"/>
                    <w:rPr>
                      <w:color w:val="000000"/>
                      <w:kern w:val="0"/>
                      <w:sz w:val="21"/>
                      <w:szCs w:val="21"/>
                    </w:rPr>
                  </w:pPr>
                </w:p>
              </w:tc>
            </w:tr>
            <w:tr w14:paraId="57BEB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35221650">
                  <w:pPr>
                    <w:widowControl/>
                    <w:jc w:val="left"/>
                    <w:rPr>
                      <w:color w:val="000000"/>
                      <w:kern w:val="0"/>
                      <w:sz w:val="21"/>
                      <w:szCs w:val="21"/>
                    </w:rPr>
                  </w:pPr>
                </w:p>
              </w:tc>
              <w:tc>
                <w:tcPr>
                  <w:tcW w:w="581" w:type="pct"/>
                  <w:vMerge w:val="continue"/>
                  <w:shd w:val="clear" w:color="auto" w:fill="auto"/>
                  <w:vAlign w:val="center"/>
                </w:tcPr>
                <w:p w14:paraId="6E980B95">
                  <w:pPr>
                    <w:widowControl/>
                    <w:jc w:val="left"/>
                    <w:rPr>
                      <w:color w:val="000000"/>
                      <w:kern w:val="0"/>
                      <w:sz w:val="21"/>
                      <w:szCs w:val="21"/>
                    </w:rPr>
                  </w:pPr>
                </w:p>
              </w:tc>
              <w:tc>
                <w:tcPr>
                  <w:tcW w:w="924" w:type="pct"/>
                  <w:shd w:val="clear" w:color="auto" w:fill="auto"/>
                  <w:vAlign w:val="center"/>
                </w:tcPr>
                <w:p w14:paraId="12B9ACDC">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2-6</w:t>
                  </w:r>
                </w:p>
              </w:tc>
              <w:tc>
                <w:tcPr>
                  <w:tcW w:w="1046" w:type="pct"/>
                  <w:shd w:val="clear" w:color="auto" w:fill="auto"/>
                  <w:vAlign w:val="center"/>
                </w:tcPr>
                <w:p w14:paraId="7B142A16">
                  <w:pPr>
                    <w:widowControl/>
                    <w:jc w:val="center"/>
                    <w:rPr>
                      <w:color w:val="000000"/>
                      <w:kern w:val="0"/>
                      <w:sz w:val="21"/>
                      <w:szCs w:val="21"/>
                    </w:rPr>
                  </w:pPr>
                  <w:r>
                    <w:rPr>
                      <w:rFonts w:hint="eastAsia"/>
                      <w:color w:val="000000"/>
                      <w:kern w:val="0"/>
                      <w:sz w:val="21"/>
                      <w:szCs w:val="21"/>
                    </w:rPr>
                    <w:t>废油墨桶</w:t>
                  </w:r>
                </w:p>
              </w:tc>
              <w:tc>
                <w:tcPr>
                  <w:tcW w:w="1008" w:type="pct"/>
                  <w:shd w:val="clear" w:color="auto" w:fill="auto"/>
                  <w:vAlign w:val="center"/>
                </w:tcPr>
                <w:p w14:paraId="566B73CA">
                  <w:pPr>
                    <w:widowControl/>
                    <w:jc w:val="center"/>
                    <w:rPr>
                      <w:color w:val="000000"/>
                      <w:kern w:val="0"/>
                      <w:sz w:val="21"/>
                      <w:szCs w:val="21"/>
                    </w:rPr>
                  </w:pPr>
                  <w:r>
                    <w:rPr>
                      <w:color w:val="000000"/>
                      <w:kern w:val="0"/>
                      <w:sz w:val="21"/>
                      <w:szCs w:val="21"/>
                    </w:rPr>
                    <w:t>委托资质厂家处理</w:t>
                  </w:r>
                </w:p>
              </w:tc>
              <w:tc>
                <w:tcPr>
                  <w:tcW w:w="806" w:type="pct"/>
                  <w:vMerge w:val="continue"/>
                  <w:shd w:val="clear" w:color="auto" w:fill="auto"/>
                  <w:vAlign w:val="center"/>
                </w:tcPr>
                <w:p w14:paraId="37AE0567">
                  <w:pPr>
                    <w:widowControl/>
                    <w:jc w:val="center"/>
                    <w:rPr>
                      <w:color w:val="000000"/>
                      <w:kern w:val="0"/>
                      <w:sz w:val="21"/>
                      <w:szCs w:val="21"/>
                    </w:rPr>
                  </w:pPr>
                </w:p>
              </w:tc>
            </w:tr>
            <w:tr w14:paraId="4479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4A12F492">
                  <w:pPr>
                    <w:widowControl/>
                    <w:jc w:val="left"/>
                    <w:rPr>
                      <w:color w:val="000000"/>
                      <w:kern w:val="0"/>
                      <w:sz w:val="21"/>
                      <w:szCs w:val="21"/>
                    </w:rPr>
                  </w:pPr>
                </w:p>
              </w:tc>
              <w:tc>
                <w:tcPr>
                  <w:tcW w:w="581" w:type="pct"/>
                  <w:vMerge w:val="continue"/>
                  <w:shd w:val="clear" w:color="auto" w:fill="auto"/>
                  <w:vAlign w:val="center"/>
                </w:tcPr>
                <w:p w14:paraId="615C4C9F">
                  <w:pPr>
                    <w:widowControl/>
                    <w:jc w:val="left"/>
                    <w:rPr>
                      <w:color w:val="000000"/>
                      <w:kern w:val="0"/>
                      <w:sz w:val="21"/>
                      <w:szCs w:val="21"/>
                    </w:rPr>
                  </w:pPr>
                </w:p>
              </w:tc>
              <w:tc>
                <w:tcPr>
                  <w:tcW w:w="924" w:type="pct"/>
                  <w:shd w:val="clear" w:color="auto" w:fill="auto"/>
                  <w:vAlign w:val="center"/>
                </w:tcPr>
                <w:p w14:paraId="3D06AA83">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2-7</w:t>
                  </w:r>
                </w:p>
              </w:tc>
              <w:tc>
                <w:tcPr>
                  <w:tcW w:w="1046" w:type="pct"/>
                  <w:shd w:val="clear" w:color="auto" w:fill="auto"/>
                  <w:vAlign w:val="center"/>
                </w:tcPr>
                <w:p w14:paraId="581E100F">
                  <w:pPr>
                    <w:widowControl/>
                    <w:jc w:val="center"/>
                    <w:rPr>
                      <w:color w:val="000000"/>
                      <w:kern w:val="0"/>
                      <w:sz w:val="21"/>
                      <w:szCs w:val="21"/>
                    </w:rPr>
                  </w:pPr>
                  <w:r>
                    <w:rPr>
                      <w:rFonts w:hint="eastAsia"/>
                      <w:color w:val="000000"/>
                      <w:kern w:val="0"/>
                      <w:sz w:val="21"/>
                      <w:szCs w:val="21"/>
                    </w:rPr>
                    <w:t>废包装材料</w:t>
                  </w:r>
                </w:p>
              </w:tc>
              <w:tc>
                <w:tcPr>
                  <w:tcW w:w="1008" w:type="pct"/>
                  <w:shd w:val="clear" w:color="auto" w:fill="auto"/>
                  <w:vAlign w:val="center"/>
                </w:tcPr>
                <w:p w14:paraId="5D032202">
                  <w:pPr>
                    <w:widowControl/>
                    <w:jc w:val="center"/>
                    <w:rPr>
                      <w:color w:val="000000"/>
                      <w:kern w:val="0"/>
                      <w:sz w:val="21"/>
                      <w:szCs w:val="21"/>
                    </w:rPr>
                  </w:pPr>
                  <w:r>
                    <w:rPr>
                      <w:rFonts w:hint="eastAsia"/>
                      <w:color w:val="000000"/>
                      <w:kern w:val="0"/>
                      <w:sz w:val="21"/>
                      <w:szCs w:val="21"/>
                    </w:rPr>
                    <w:t>外售综合利用</w:t>
                  </w:r>
                </w:p>
              </w:tc>
              <w:tc>
                <w:tcPr>
                  <w:tcW w:w="806" w:type="pct"/>
                  <w:vMerge w:val="continue"/>
                  <w:shd w:val="clear" w:color="auto" w:fill="auto"/>
                  <w:vAlign w:val="center"/>
                </w:tcPr>
                <w:p w14:paraId="22B7086E">
                  <w:pPr>
                    <w:widowControl/>
                    <w:jc w:val="center"/>
                    <w:rPr>
                      <w:color w:val="000000"/>
                      <w:kern w:val="0"/>
                      <w:sz w:val="21"/>
                      <w:szCs w:val="21"/>
                    </w:rPr>
                  </w:pPr>
                </w:p>
              </w:tc>
            </w:tr>
            <w:tr w14:paraId="5178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restart"/>
                  <w:shd w:val="clear" w:color="auto" w:fill="auto"/>
                  <w:vAlign w:val="center"/>
                </w:tcPr>
                <w:p w14:paraId="30CFFBE0">
                  <w:pPr>
                    <w:widowControl/>
                    <w:jc w:val="center"/>
                    <w:rPr>
                      <w:color w:val="000000"/>
                      <w:kern w:val="0"/>
                      <w:sz w:val="21"/>
                      <w:szCs w:val="21"/>
                    </w:rPr>
                  </w:pPr>
                  <w:r>
                    <w:rPr>
                      <w:rFonts w:hint="eastAsia"/>
                      <w:color w:val="000000"/>
                      <w:kern w:val="0"/>
                      <w:sz w:val="21"/>
                      <w:szCs w:val="21"/>
                    </w:rPr>
                    <w:t>塑料制品</w:t>
                  </w:r>
                </w:p>
              </w:tc>
              <w:tc>
                <w:tcPr>
                  <w:tcW w:w="581" w:type="pct"/>
                  <w:vMerge w:val="restart"/>
                  <w:shd w:val="clear" w:color="auto" w:fill="auto"/>
                  <w:vAlign w:val="center"/>
                </w:tcPr>
                <w:p w14:paraId="4E6CACF1">
                  <w:pPr>
                    <w:widowControl/>
                    <w:jc w:val="center"/>
                    <w:rPr>
                      <w:color w:val="000000"/>
                      <w:kern w:val="0"/>
                      <w:sz w:val="21"/>
                      <w:szCs w:val="21"/>
                    </w:rPr>
                  </w:pPr>
                  <w:r>
                    <w:rPr>
                      <w:rFonts w:hint="eastAsia"/>
                      <w:color w:val="000000"/>
                      <w:kern w:val="0"/>
                      <w:sz w:val="21"/>
                      <w:szCs w:val="21"/>
                    </w:rPr>
                    <w:t>废气</w:t>
                  </w:r>
                </w:p>
              </w:tc>
              <w:tc>
                <w:tcPr>
                  <w:tcW w:w="924" w:type="pct"/>
                  <w:shd w:val="clear" w:color="auto" w:fill="auto"/>
                  <w:vAlign w:val="center"/>
                </w:tcPr>
                <w:p w14:paraId="7F407E13">
                  <w:pPr>
                    <w:widowControl/>
                    <w:jc w:val="center"/>
                    <w:rPr>
                      <w:color w:val="000000"/>
                      <w:kern w:val="0"/>
                      <w:sz w:val="21"/>
                      <w:szCs w:val="21"/>
                    </w:rPr>
                  </w:pPr>
                  <w:r>
                    <w:rPr>
                      <w:color w:val="000000"/>
                      <w:kern w:val="0"/>
                      <w:sz w:val="21"/>
                      <w:szCs w:val="21"/>
                    </w:rPr>
                    <w:t>G</w:t>
                  </w:r>
                  <w:r>
                    <w:rPr>
                      <w:color w:val="000000"/>
                      <w:kern w:val="0"/>
                      <w:sz w:val="21"/>
                      <w:szCs w:val="21"/>
                      <w:vertAlign w:val="subscript"/>
                    </w:rPr>
                    <w:t>3-1</w:t>
                  </w:r>
                  <w:r>
                    <w:rPr>
                      <w:color w:val="000000"/>
                      <w:kern w:val="0"/>
                      <w:sz w:val="21"/>
                      <w:szCs w:val="21"/>
                    </w:rPr>
                    <w:t>投料粉尘</w:t>
                  </w:r>
                </w:p>
              </w:tc>
              <w:tc>
                <w:tcPr>
                  <w:tcW w:w="1046" w:type="pct"/>
                  <w:shd w:val="clear" w:color="auto" w:fill="auto"/>
                  <w:vAlign w:val="center"/>
                </w:tcPr>
                <w:p w14:paraId="3FBB73B3">
                  <w:pPr>
                    <w:widowControl/>
                    <w:jc w:val="center"/>
                    <w:rPr>
                      <w:color w:val="000000"/>
                      <w:kern w:val="0"/>
                      <w:sz w:val="21"/>
                      <w:szCs w:val="21"/>
                    </w:rPr>
                  </w:pPr>
                  <w:r>
                    <w:rPr>
                      <w:rFonts w:hint="eastAsia"/>
                      <w:color w:val="000000"/>
                      <w:kern w:val="0"/>
                      <w:sz w:val="21"/>
                      <w:szCs w:val="21"/>
                    </w:rPr>
                    <w:t>颗粒物</w:t>
                  </w:r>
                </w:p>
              </w:tc>
              <w:tc>
                <w:tcPr>
                  <w:tcW w:w="1008" w:type="pct"/>
                  <w:vMerge w:val="restart"/>
                  <w:shd w:val="clear" w:color="auto" w:fill="auto"/>
                  <w:vAlign w:val="center"/>
                </w:tcPr>
                <w:p w14:paraId="63A4ABA2">
                  <w:pPr>
                    <w:widowControl/>
                    <w:jc w:val="center"/>
                    <w:rPr>
                      <w:color w:val="000000"/>
                      <w:kern w:val="0"/>
                      <w:sz w:val="21"/>
                      <w:szCs w:val="21"/>
                    </w:rPr>
                  </w:pPr>
                  <w:r>
                    <w:rPr>
                      <w:rFonts w:hint="eastAsia"/>
                      <w:color w:val="000000"/>
                      <w:kern w:val="0"/>
                      <w:sz w:val="21"/>
                      <w:szCs w:val="21"/>
                    </w:rPr>
                    <w:t>设置集气罩并加设软帘收集废气，通入1</w:t>
                  </w:r>
                  <w:r>
                    <w:rPr>
                      <w:color w:val="000000"/>
                      <w:kern w:val="0"/>
                      <w:sz w:val="21"/>
                      <w:szCs w:val="21"/>
                    </w:rPr>
                    <w:t>#</w:t>
                  </w:r>
                  <w:r>
                    <w:rPr>
                      <w:rFonts w:hint="eastAsia"/>
                      <w:color w:val="000000"/>
                      <w:kern w:val="0"/>
                      <w:sz w:val="21"/>
                      <w:szCs w:val="21"/>
                    </w:rPr>
                    <w:t>布袋除尘器处理</w:t>
                  </w:r>
                </w:p>
              </w:tc>
              <w:tc>
                <w:tcPr>
                  <w:tcW w:w="806" w:type="pct"/>
                  <w:vMerge w:val="restart"/>
                  <w:shd w:val="clear" w:color="auto" w:fill="auto"/>
                  <w:vAlign w:val="center"/>
                </w:tcPr>
                <w:p w14:paraId="3D51B351">
                  <w:pPr>
                    <w:widowControl/>
                    <w:jc w:val="center"/>
                    <w:rPr>
                      <w:color w:val="000000"/>
                      <w:kern w:val="0"/>
                      <w:sz w:val="21"/>
                      <w:szCs w:val="21"/>
                    </w:rPr>
                  </w:pPr>
                  <w:r>
                    <w:rPr>
                      <w:color w:val="000000"/>
                      <w:kern w:val="0"/>
                      <w:sz w:val="21"/>
                      <w:szCs w:val="21"/>
                    </w:rPr>
                    <w:t>15m高DA00</w:t>
                  </w:r>
                  <w:r>
                    <w:rPr>
                      <w:rFonts w:hint="eastAsia"/>
                      <w:color w:val="000000"/>
                      <w:kern w:val="0"/>
                      <w:sz w:val="21"/>
                      <w:szCs w:val="21"/>
                    </w:rPr>
                    <w:t>4</w:t>
                  </w:r>
                  <w:r>
                    <w:rPr>
                      <w:color w:val="000000"/>
                      <w:kern w:val="0"/>
                      <w:sz w:val="21"/>
                      <w:szCs w:val="21"/>
                    </w:rPr>
                    <w:t>排气筒</w:t>
                  </w:r>
                </w:p>
              </w:tc>
            </w:tr>
            <w:tr w14:paraId="37879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36E98FCB">
                  <w:pPr>
                    <w:widowControl/>
                    <w:jc w:val="left"/>
                    <w:rPr>
                      <w:color w:val="000000"/>
                      <w:kern w:val="0"/>
                      <w:sz w:val="21"/>
                      <w:szCs w:val="21"/>
                    </w:rPr>
                  </w:pPr>
                </w:p>
              </w:tc>
              <w:tc>
                <w:tcPr>
                  <w:tcW w:w="581" w:type="pct"/>
                  <w:vMerge w:val="continue"/>
                  <w:shd w:val="clear" w:color="auto" w:fill="auto"/>
                  <w:vAlign w:val="center"/>
                </w:tcPr>
                <w:p w14:paraId="7C353D62">
                  <w:pPr>
                    <w:widowControl/>
                    <w:jc w:val="center"/>
                    <w:rPr>
                      <w:color w:val="000000"/>
                      <w:kern w:val="0"/>
                      <w:sz w:val="21"/>
                      <w:szCs w:val="21"/>
                    </w:rPr>
                  </w:pPr>
                </w:p>
              </w:tc>
              <w:tc>
                <w:tcPr>
                  <w:tcW w:w="924" w:type="pct"/>
                  <w:shd w:val="clear" w:color="auto" w:fill="auto"/>
                  <w:vAlign w:val="center"/>
                </w:tcPr>
                <w:p w14:paraId="07E04127">
                  <w:pPr>
                    <w:widowControl/>
                    <w:jc w:val="center"/>
                    <w:rPr>
                      <w:color w:val="000000"/>
                      <w:kern w:val="0"/>
                      <w:sz w:val="21"/>
                      <w:szCs w:val="21"/>
                    </w:rPr>
                  </w:pPr>
                  <w:r>
                    <w:rPr>
                      <w:color w:val="000000"/>
                      <w:kern w:val="0"/>
                      <w:sz w:val="21"/>
                      <w:szCs w:val="21"/>
                    </w:rPr>
                    <w:t>G</w:t>
                  </w:r>
                  <w:r>
                    <w:rPr>
                      <w:color w:val="000000"/>
                      <w:kern w:val="0"/>
                      <w:sz w:val="21"/>
                      <w:szCs w:val="21"/>
                      <w:vertAlign w:val="subscript"/>
                    </w:rPr>
                    <w:t>3-2</w:t>
                  </w:r>
                  <w:r>
                    <w:rPr>
                      <w:color w:val="000000"/>
                      <w:kern w:val="0"/>
                      <w:sz w:val="21"/>
                      <w:szCs w:val="21"/>
                    </w:rPr>
                    <w:t>卸料粉尘</w:t>
                  </w:r>
                </w:p>
              </w:tc>
              <w:tc>
                <w:tcPr>
                  <w:tcW w:w="1046" w:type="pct"/>
                  <w:shd w:val="clear" w:color="auto" w:fill="auto"/>
                  <w:vAlign w:val="center"/>
                </w:tcPr>
                <w:p w14:paraId="64148B89">
                  <w:pPr>
                    <w:widowControl/>
                    <w:jc w:val="center"/>
                    <w:rPr>
                      <w:color w:val="000000"/>
                      <w:kern w:val="0"/>
                      <w:sz w:val="21"/>
                      <w:szCs w:val="21"/>
                    </w:rPr>
                  </w:pPr>
                  <w:r>
                    <w:rPr>
                      <w:rFonts w:hint="eastAsia"/>
                      <w:color w:val="000000"/>
                      <w:kern w:val="0"/>
                      <w:sz w:val="21"/>
                      <w:szCs w:val="21"/>
                    </w:rPr>
                    <w:t>颗粒物</w:t>
                  </w:r>
                </w:p>
              </w:tc>
              <w:tc>
                <w:tcPr>
                  <w:tcW w:w="1008" w:type="pct"/>
                  <w:vMerge w:val="continue"/>
                  <w:shd w:val="clear" w:color="auto" w:fill="auto"/>
                  <w:vAlign w:val="center"/>
                </w:tcPr>
                <w:p w14:paraId="7EB04949">
                  <w:pPr>
                    <w:widowControl/>
                    <w:jc w:val="center"/>
                    <w:rPr>
                      <w:color w:val="000000"/>
                      <w:kern w:val="0"/>
                      <w:sz w:val="21"/>
                      <w:szCs w:val="21"/>
                    </w:rPr>
                  </w:pPr>
                </w:p>
              </w:tc>
              <w:tc>
                <w:tcPr>
                  <w:tcW w:w="806" w:type="pct"/>
                  <w:vMerge w:val="continue"/>
                  <w:shd w:val="clear" w:color="auto" w:fill="auto"/>
                  <w:vAlign w:val="center"/>
                </w:tcPr>
                <w:p w14:paraId="4160A6E5">
                  <w:pPr>
                    <w:widowControl/>
                    <w:jc w:val="center"/>
                    <w:rPr>
                      <w:color w:val="000000"/>
                      <w:kern w:val="0"/>
                      <w:sz w:val="21"/>
                      <w:szCs w:val="21"/>
                    </w:rPr>
                  </w:pPr>
                </w:p>
              </w:tc>
            </w:tr>
            <w:tr w14:paraId="067D7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3AE12249">
                  <w:pPr>
                    <w:widowControl/>
                    <w:jc w:val="left"/>
                    <w:rPr>
                      <w:color w:val="000000"/>
                      <w:kern w:val="0"/>
                      <w:sz w:val="21"/>
                      <w:szCs w:val="21"/>
                    </w:rPr>
                  </w:pPr>
                </w:p>
              </w:tc>
              <w:tc>
                <w:tcPr>
                  <w:tcW w:w="581" w:type="pct"/>
                  <w:vMerge w:val="continue"/>
                  <w:shd w:val="clear" w:color="auto" w:fill="auto"/>
                  <w:vAlign w:val="center"/>
                </w:tcPr>
                <w:p w14:paraId="2D0AF121">
                  <w:pPr>
                    <w:widowControl/>
                    <w:jc w:val="center"/>
                    <w:rPr>
                      <w:color w:val="000000"/>
                      <w:kern w:val="0"/>
                      <w:sz w:val="21"/>
                      <w:szCs w:val="21"/>
                    </w:rPr>
                  </w:pPr>
                </w:p>
              </w:tc>
              <w:tc>
                <w:tcPr>
                  <w:tcW w:w="924" w:type="pct"/>
                  <w:shd w:val="clear" w:color="auto" w:fill="auto"/>
                  <w:vAlign w:val="center"/>
                </w:tcPr>
                <w:p w14:paraId="7A0368F5">
                  <w:pPr>
                    <w:widowControl/>
                    <w:jc w:val="center"/>
                    <w:rPr>
                      <w:color w:val="000000"/>
                      <w:kern w:val="0"/>
                      <w:sz w:val="21"/>
                      <w:szCs w:val="21"/>
                    </w:rPr>
                  </w:pPr>
                  <w:r>
                    <w:rPr>
                      <w:color w:val="000000"/>
                      <w:kern w:val="0"/>
                      <w:sz w:val="21"/>
                      <w:szCs w:val="21"/>
                    </w:rPr>
                    <w:t>G</w:t>
                  </w:r>
                  <w:r>
                    <w:rPr>
                      <w:color w:val="000000"/>
                      <w:kern w:val="0"/>
                      <w:sz w:val="21"/>
                      <w:szCs w:val="21"/>
                      <w:vertAlign w:val="subscript"/>
                    </w:rPr>
                    <w:t>3-3</w:t>
                  </w:r>
                  <w:r>
                    <w:rPr>
                      <w:color w:val="000000"/>
                      <w:kern w:val="0"/>
                      <w:sz w:val="21"/>
                      <w:szCs w:val="21"/>
                    </w:rPr>
                    <w:t>混炼挤出废气</w:t>
                  </w:r>
                </w:p>
              </w:tc>
              <w:tc>
                <w:tcPr>
                  <w:tcW w:w="1046" w:type="pct"/>
                  <w:shd w:val="clear" w:color="auto" w:fill="auto"/>
                  <w:vAlign w:val="center"/>
                </w:tcPr>
                <w:p w14:paraId="200DD26D">
                  <w:pPr>
                    <w:widowControl/>
                    <w:jc w:val="center"/>
                    <w:rPr>
                      <w:color w:val="000000"/>
                      <w:kern w:val="0"/>
                      <w:sz w:val="21"/>
                      <w:szCs w:val="21"/>
                    </w:rPr>
                  </w:pPr>
                  <w:r>
                    <w:rPr>
                      <w:rFonts w:hint="eastAsia"/>
                      <w:color w:val="000000"/>
                      <w:kern w:val="0"/>
                      <w:sz w:val="21"/>
                      <w:szCs w:val="21"/>
                    </w:rPr>
                    <w:t>非甲烷总烃、HCl</w:t>
                  </w:r>
                </w:p>
              </w:tc>
              <w:tc>
                <w:tcPr>
                  <w:tcW w:w="1008" w:type="pct"/>
                  <w:shd w:val="clear" w:color="auto" w:fill="auto"/>
                  <w:vAlign w:val="center"/>
                </w:tcPr>
                <w:p w14:paraId="093D7B9C">
                  <w:pPr>
                    <w:widowControl/>
                    <w:jc w:val="center"/>
                    <w:rPr>
                      <w:color w:val="000000"/>
                      <w:kern w:val="0"/>
                      <w:sz w:val="21"/>
                      <w:szCs w:val="21"/>
                    </w:rPr>
                  </w:pPr>
                  <w:r>
                    <w:rPr>
                      <w:rFonts w:hint="eastAsia"/>
                      <w:color w:val="000000"/>
                      <w:kern w:val="0"/>
                      <w:sz w:val="21"/>
                      <w:szCs w:val="21"/>
                    </w:rPr>
                    <w:t>设置集气罩并加设软帘收集废气，通入“</w:t>
                  </w:r>
                  <w:r>
                    <w:rPr>
                      <w:color w:val="000000"/>
                      <w:kern w:val="0"/>
                      <w:sz w:val="21"/>
                      <w:szCs w:val="21"/>
                    </w:rPr>
                    <w:t>4</w:t>
                  </w:r>
                  <w:r>
                    <w:rPr>
                      <w:rFonts w:hint="eastAsia"/>
                      <w:color w:val="000000"/>
                      <w:kern w:val="0"/>
                      <w:sz w:val="21"/>
                      <w:szCs w:val="21"/>
                    </w:rPr>
                    <w:t>#碱水喷淋塔+除雾+二级活性炭吸附装置”处理</w:t>
                  </w:r>
                </w:p>
              </w:tc>
              <w:tc>
                <w:tcPr>
                  <w:tcW w:w="806" w:type="pct"/>
                  <w:vMerge w:val="continue"/>
                  <w:shd w:val="clear" w:color="auto" w:fill="auto"/>
                  <w:vAlign w:val="center"/>
                </w:tcPr>
                <w:p w14:paraId="09205F66">
                  <w:pPr>
                    <w:widowControl/>
                    <w:jc w:val="center"/>
                    <w:rPr>
                      <w:color w:val="000000"/>
                      <w:kern w:val="0"/>
                      <w:sz w:val="21"/>
                      <w:szCs w:val="21"/>
                    </w:rPr>
                  </w:pPr>
                </w:p>
              </w:tc>
            </w:tr>
            <w:tr w14:paraId="2546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5" w:type="pct"/>
                  <w:vMerge w:val="continue"/>
                  <w:shd w:val="clear" w:color="auto" w:fill="auto"/>
                  <w:vAlign w:val="center"/>
                </w:tcPr>
                <w:p w14:paraId="609A4BF3">
                  <w:pPr>
                    <w:widowControl/>
                    <w:jc w:val="left"/>
                    <w:rPr>
                      <w:color w:val="000000"/>
                      <w:kern w:val="0"/>
                      <w:sz w:val="21"/>
                      <w:szCs w:val="21"/>
                    </w:rPr>
                  </w:pPr>
                </w:p>
              </w:tc>
              <w:tc>
                <w:tcPr>
                  <w:tcW w:w="581" w:type="pct"/>
                  <w:shd w:val="clear" w:color="auto" w:fill="auto"/>
                  <w:vAlign w:val="center"/>
                </w:tcPr>
                <w:p w14:paraId="4EA7091B">
                  <w:pPr>
                    <w:widowControl/>
                    <w:jc w:val="center"/>
                    <w:rPr>
                      <w:color w:val="000000"/>
                      <w:kern w:val="0"/>
                      <w:sz w:val="21"/>
                      <w:szCs w:val="21"/>
                    </w:rPr>
                  </w:pPr>
                  <w:r>
                    <w:rPr>
                      <w:rFonts w:hint="eastAsia"/>
                      <w:color w:val="000000"/>
                      <w:kern w:val="0"/>
                      <w:sz w:val="21"/>
                      <w:szCs w:val="21"/>
                    </w:rPr>
                    <w:t>固体废物</w:t>
                  </w:r>
                </w:p>
              </w:tc>
              <w:tc>
                <w:tcPr>
                  <w:tcW w:w="924" w:type="pct"/>
                  <w:shd w:val="clear" w:color="auto" w:fill="auto"/>
                  <w:vAlign w:val="center"/>
                </w:tcPr>
                <w:p w14:paraId="0EDB6BF5">
                  <w:pPr>
                    <w:widowControl/>
                    <w:jc w:val="center"/>
                    <w:rPr>
                      <w:rFonts w:eastAsia="等线"/>
                      <w:color w:val="000000"/>
                      <w:kern w:val="0"/>
                      <w:sz w:val="21"/>
                      <w:szCs w:val="21"/>
                    </w:rPr>
                  </w:pPr>
                  <w:r>
                    <w:rPr>
                      <w:color w:val="000000"/>
                      <w:kern w:val="0"/>
                      <w:sz w:val="21"/>
                      <w:szCs w:val="21"/>
                    </w:rPr>
                    <w:t>S</w:t>
                  </w:r>
                  <w:r>
                    <w:rPr>
                      <w:rFonts w:hint="eastAsia"/>
                      <w:color w:val="000000"/>
                      <w:kern w:val="0"/>
                      <w:sz w:val="21"/>
                      <w:szCs w:val="21"/>
                      <w:vertAlign w:val="subscript"/>
                    </w:rPr>
                    <w:t>3-1</w:t>
                  </w:r>
                </w:p>
              </w:tc>
              <w:tc>
                <w:tcPr>
                  <w:tcW w:w="1046" w:type="pct"/>
                  <w:shd w:val="clear" w:color="auto" w:fill="auto"/>
                  <w:vAlign w:val="center"/>
                </w:tcPr>
                <w:p w14:paraId="63184C45">
                  <w:pPr>
                    <w:widowControl/>
                    <w:jc w:val="center"/>
                    <w:rPr>
                      <w:color w:val="000000"/>
                      <w:kern w:val="0"/>
                      <w:sz w:val="21"/>
                      <w:szCs w:val="21"/>
                    </w:rPr>
                  </w:pPr>
                  <w:r>
                    <w:rPr>
                      <w:rFonts w:hint="eastAsia"/>
                      <w:color w:val="000000"/>
                      <w:kern w:val="0"/>
                      <w:sz w:val="21"/>
                      <w:szCs w:val="21"/>
                    </w:rPr>
                    <w:t>废边角料</w:t>
                  </w:r>
                </w:p>
              </w:tc>
              <w:tc>
                <w:tcPr>
                  <w:tcW w:w="1008" w:type="pct"/>
                  <w:shd w:val="clear" w:color="auto" w:fill="auto"/>
                  <w:vAlign w:val="center"/>
                </w:tcPr>
                <w:p w14:paraId="2398A78D">
                  <w:pPr>
                    <w:widowControl/>
                    <w:jc w:val="center"/>
                    <w:rPr>
                      <w:color w:val="000000"/>
                      <w:kern w:val="0"/>
                      <w:sz w:val="21"/>
                      <w:szCs w:val="21"/>
                    </w:rPr>
                  </w:pPr>
                  <w:r>
                    <w:rPr>
                      <w:rFonts w:hint="eastAsia"/>
                      <w:color w:val="000000"/>
                      <w:kern w:val="0"/>
                      <w:sz w:val="21"/>
                      <w:szCs w:val="21"/>
                    </w:rPr>
                    <w:t>外售综合利用</w:t>
                  </w:r>
                </w:p>
              </w:tc>
              <w:tc>
                <w:tcPr>
                  <w:tcW w:w="806" w:type="pct"/>
                  <w:shd w:val="clear" w:color="auto" w:fill="auto"/>
                  <w:vAlign w:val="center"/>
                </w:tcPr>
                <w:p w14:paraId="679BF915">
                  <w:pPr>
                    <w:widowControl/>
                    <w:jc w:val="center"/>
                    <w:rPr>
                      <w:color w:val="000000"/>
                      <w:kern w:val="0"/>
                      <w:sz w:val="21"/>
                      <w:szCs w:val="21"/>
                    </w:rPr>
                  </w:pPr>
                  <w:r>
                    <w:rPr>
                      <w:rFonts w:hint="eastAsia"/>
                      <w:color w:val="000000"/>
                      <w:kern w:val="0"/>
                      <w:sz w:val="21"/>
                      <w:szCs w:val="21"/>
                    </w:rPr>
                    <w:t>不外排</w:t>
                  </w:r>
                </w:p>
              </w:tc>
            </w:tr>
          </w:tbl>
          <w:p w14:paraId="6F9CA2F7">
            <w:pPr>
              <w:pStyle w:val="9"/>
              <w:ind w:firstLine="480" w:firstLineChars="200"/>
              <w:rPr>
                <w:color w:val="000000" w:themeColor="text1"/>
                <w14:textFill>
                  <w14:solidFill>
                    <w14:schemeClr w14:val="tx1"/>
                  </w14:solidFill>
                </w14:textFill>
              </w:rPr>
            </w:pPr>
          </w:p>
        </w:tc>
      </w:tr>
      <w:tr w14:paraId="75476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864" w:type="dxa"/>
            <w:vAlign w:val="center"/>
          </w:tcPr>
          <w:p w14:paraId="733F0945">
            <w:pPr>
              <w:pStyle w:val="13"/>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Cs w:val="24"/>
                <w14:textFill>
                  <w14:solidFill>
                    <w14:schemeClr w14:val="tx1"/>
                  </w14:solidFill>
                </w14:textFill>
              </w:rPr>
              <w:t>与项目有关的原环境污染问题</w:t>
            </w:r>
          </w:p>
        </w:tc>
        <w:tc>
          <w:tcPr>
            <w:tcW w:w="8196" w:type="dxa"/>
            <w:vAlign w:val="center"/>
          </w:tcPr>
          <w:p w14:paraId="54539FCA">
            <w:pPr>
              <w:pStyle w:val="7"/>
              <w:spacing w:line="360" w:lineRule="auto"/>
              <w:ind w:firstLine="480" w:firstLineChars="200"/>
              <w:jc w:val="left"/>
              <w:rPr>
                <w:bCs/>
                <w:color w:val="000000" w:themeColor="text1"/>
                <w:szCs w:val="21"/>
                <w14:textFill>
                  <w14:solidFill>
                    <w14:schemeClr w14:val="tx1"/>
                  </w14:solidFill>
                </w14:textFill>
              </w:rPr>
            </w:pPr>
            <w:r>
              <w:rPr>
                <w:color w:val="000000" w:themeColor="text1"/>
                <w:sz w:val="24"/>
                <w:szCs w:val="24"/>
                <w:lang w:bidi="ar"/>
                <w14:textFill>
                  <w14:solidFill>
                    <w14:schemeClr w14:val="tx1"/>
                  </w14:solidFill>
                </w14:textFill>
              </w:rPr>
              <w:t>本项目属于新建项目，</w:t>
            </w:r>
            <w:r>
              <w:rPr>
                <w:rFonts w:hint="eastAsia"/>
                <w:color w:val="000000" w:themeColor="text1"/>
                <w:sz w:val="24"/>
                <w:szCs w:val="24"/>
                <w14:textFill>
                  <w14:solidFill>
                    <w14:schemeClr w14:val="tx1"/>
                  </w14:solidFill>
                </w14:textFill>
              </w:rPr>
              <w:t>工业空地尚未建设，无环境污染。故不存在环境问题。</w:t>
            </w:r>
          </w:p>
        </w:tc>
      </w:tr>
    </w:tbl>
    <w:p w14:paraId="4E53BE42">
      <w:pPr>
        <w:pStyle w:val="13"/>
        <w:jc w:val="both"/>
        <w:rPr>
          <w:rFonts w:ascii="Times New Roman" w:hAnsi="Times New Roman" w:eastAsia="黑体"/>
          <w:snapToGrid w:val="0"/>
          <w:sz w:val="36"/>
          <w:szCs w:val="36"/>
        </w:rPr>
        <w:sectPr>
          <w:pgSz w:w="11906" w:h="16838"/>
          <w:pgMar w:top="1701" w:right="1531" w:bottom="1701" w:left="1531" w:header="851" w:footer="851" w:gutter="0"/>
          <w:cols w:space="720" w:num="1"/>
          <w:docGrid w:linePitch="312" w:charSpace="0"/>
        </w:sectPr>
      </w:pPr>
    </w:p>
    <w:p w14:paraId="7DB6D0DA">
      <w:pPr>
        <w:pStyle w:val="13"/>
        <w:ind w:firstLine="1200" w:firstLineChars="400"/>
        <w:jc w:val="both"/>
        <w:outlineLvl w:val="0"/>
        <w:rPr>
          <w:rFonts w:ascii="Times New Roman" w:hAnsi="Times New Roman" w:eastAsia="黑体"/>
          <w:snapToGrid w:val="0"/>
          <w:sz w:val="30"/>
          <w:szCs w:val="30"/>
        </w:rPr>
      </w:pPr>
      <w:bookmarkStart w:id="4" w:name="_Toc1642492329"/>
      <w:r>
        <w:rPr>
          <w:rFonts w:ascii="Times New Roman" w:hAnsi="Times New Roman" w:eastAsia="黑体"/>
          <w:snapToGrid w:val="0"/>
          <w:sz w:val="30"/>
          <w:szCs w:val="30"/>
        </w:rPr>
        <w:t>三、区域环境质量现状、环境保护目标及评价标准</w:t>
      </w:r>
      <w:bookmarkEnd w:id="4"/>
    </w:p>
    <w:tbl>
      <w:tblPr>
        <w:tblStyle w:val="15"/>
        <w:tblW w:w="89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8286"/>
      </w:tblGrid>
      <w:tr w14:paraId="05400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00" w:type="dxa"/>
            <w:vAlign w:val="center"/>
          </w:tcPr>
          <w:p w14:paraId="69772418">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区域环境质量现状</w:t>
            </w:r>
          </w:p>
        </w:tc>
        <w:tc>
          <w:tcPr>
            <w:tcW w:w="8194" w:type="dxa"/>
            <w:vAlign w:val="center"/>
          </w:tcPr>
          <w:p w14:paraId="1AB091F3">
            <w:pPr>
              <w:spacing w:line="360" w:lineRule="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3.1环境质量现状</w:t>
            </w:r>
          </w:p>
          <w:p w14:paraId="02DBD9F8">
            <w:pPr>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3.1.1环境空气质量现状</w:t>
            </w:r>
          </w:p>
          <w:p w14:paraId="4745A588">
            <w:pPr>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1、基本污染物</w:t>
            </w:r>
          </w:p>
          <w:p w14:paraId="55EC3337">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本项目所在区域为环境空气二类功能区，环境空气中的基本污染物引用淮南市生态环境局发布的《2024年淮南市生态环境质量状况公报》中的内容，具体如下：</w:t>
            </w:r>
          </w:p>
          <w:p w14:paraId="6175A98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2024年，全市环境空气质量一级（优）65天，二级（良）218天，三级（轻度污染）69天，四级（中度污染）13天，五级（重度污染）1天；全市年度环境空气达标天数比例为77.3%，与上年相比下降了3.2个百分点;全市环境空气综合指数为3.87，首要污染物为细颗粒物。</w:t>
            </w:r>
          </w:p>
          <w:p w14:paraId="79F5BD77">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细颗粒物（PM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）日均浓度范围为7~156微克/立方米，日均值达标率为87.6%。年均值为40.0微克/立方米，与上年相比上升了3.4个百分点。可吸入颗粒物（PM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）日均浓度范围为10~262微克/立方米，日均值达标率为96.0%。年均值为65.0微克/立方米，与上年相比下降了1.4个百分点。</w:t>
            </w:r>
          </w:p>
          <w:p w14:paraId="6372701F">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二氧化氮（NO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日均浓度范围为5~47微克/立方米，日均值达标率为100%。年均浓度为19微克/立方米，与上年相比下降了9.5个百分点。二氧化硫(SO2)日均浓度范围为2~13微克/立方米，日均值达标率为100%。年均浓度为7微克/立方米，与上年相比下降了12.5个百分点。一氧化碳（CO）日均浓度范围为0.2~1.1毫克/立方米，日均值达标率为100%。日均值第95百分位数为0.8毫克/立方米，与上年相比上升了14.3个百分点。</w:t>
            </w:r>
          </w:p>
          <w:p w14:paraId="384432B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臭氧日最大8小时（O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-8h）滑动平均值范围为16~227微克/立方米，达标率为90.4%。日最大8小时滑动平均值第90百分位数为160微克/立方米，与上年相比上升了1.9个百分点。</w:t>
            </w:r>
          </w:p>
          <w:p w14:paraId="2B59C3E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依据《2024年淮南市生态环境质量状况公报》，区域空气质量现状如下表所示。</w:t>
            </w:r>
          </w:p>
          <w:p w14:paraId="2DBD950B">
            <w:pPr>
              <w:spacing w:line="360" w:lineRule="auto"/>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表3.1.1-1  项目区域基本污染物环境质量现状评价一览表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2069"/>
              <w:gridCol w:w="1227"/>
              <w:gridCol w:w="1227"/>
              <w:gridCol w:w="1258"/>
              <w:gridCol w:w="1292"/>
            </w:tblGrid>
            <w:tr w14:paraId="00351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5D0B80D7">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w:t>
                  </w:r>
                </w:p>
              </w:tc>
              <w:tc>
                <w:tcPr>
                  <w:tcW w:w="1283" w:type="pct"/>
                  <w:vAlign w:val="center"/>
                </w:tcPr>
                <w:p w14:paraId="1D5A9AA3">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年评价指标</w:t>
                  </w:r>
                </w:p>
              </w:tc>
              <w:tc>
                <w:tcPr>
                  <w:tcW w:w="761" w:type="pct"/>
                  <w:vAlign w:val="center"/>
                </w:tcPr>
                <w:p w14:paraId="37EB3396">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现状浓度（ug/m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761" w:type="pct"/>
                  <w:vAlign w:val="center"/>
                </w:tcPr>
                <w:p w14:paraId="5526C933">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标准值（ug/m</w:t>
                  </w:r>
                  <w:r>
                    <w:rPr>
                      <w:rFonts w:hint="eastAsia"/>
                      <w:b/>
                      <w:bCs/>
                      <w:color w:val="000000" w:themeColor="text1"/>
                      <w:sz w:val="21"/>
                      <w:szCs w:val="21"/>
                      <w:vertAlign w:val="superscript"/>
                      <w14:textFill>
                        <w14:solidFill>
                          <w14:schemeClr w14:val="tx1"/>
                        </w14:solidFill>
                      </w14:textFill>
                    </w:rPr>
                    <w:t>3</w:t>
                  </w:r>
                  <w:r>
                    <w:rPr>
                      <w:rFonts w:hint="eastAsia"/>
                      <w:b/>
                      <w:bCs/>
                      <w:color w:val="000000" w:themeColor="text1"/>
                      <w:sz w:val="21"/>
                      <w:szCs w:val="21"/>
                      <w14:textFill>
                        <w14:solidFill>
                          <w14:schemeClr w14:val="tx1"/>
                        </w14:solidFill>
                      </w14:textFill>
                    </w:rPr>
                    <w:t>）</w:t>
                  </w:r>
                </w:p>
              </w:tc>
              <w:tc>
                <w:tcPr>
                  <w:tcW w:w="780" w:type="pct"/>
                  <w:vAlign w:val="center"/>
                </w:tcPr>
                <w:p w14:paraId="4C017CD9">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占标率%</w:t>
                  </w:r>
                </w:p>
              </w:tc>
              <w:tc>
                <w:tcPr>
                  <w:tcW w:w="801" w:type="pct"/>
                  <w:vAlign w:val="center"/>
                </w:tcPr>
                <w:p w14:paraId="701F6A12">
                  <w:pPr>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达标情况</w:t>
                  </w:r>
                </w:p>
              </w:tc>
            </w:tr>
            <w:tr w14:paraId="68A8B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1060FAF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SO</w:t>
                  </w:r>
                  <w:r>
                    <w:rPr>
                      <w:rFonts w:hint="eastAsia"/>
                      <w:color w:val="000000" w:themeColor="text1"/>
                      <w:sz w:val="21"/>
                      <w:szCs w:val="21"/>
                      <w:vertAlign w:val="subscript"/>
                      <w14:textFill>
                        <w14:solidFill>
                          <w14:schemeClr w14:val="tx1"/>
                        </w14:solidFill>
                      </w14:textFill>
                    </w:rPr>
                    <w:t>2</w:t>
                  </w:r>
                </w:p>
              </w:tc>
              <w:tc>
                <w:tcPr>
                  <w:tcW w:w="1283" w:type="pct"/>
                  <w:vAlign w:val="center"/>
                </w:tcPr>
                <w:p w14:paraId="7387EF1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761" w:type="pct"/>
                  <w:vAlign w:val="center"/>
                </w:tcPr>
                <w:p w14:paraId="40EBC05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761" w:type="pct"/>
                  <w:vAlign w:val="center"/>
                </w:tcPr>
                <w:p w14:paraId="2F3DBE9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780" w:type="pct"/>
                  <w:vAlign w:val="center"/>
                </w:tcPr>
                <w:p w14:paraId="6EC6690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11.7</w:t>
                  </w:r>
                </w:p>
              </w:tc>
              <w:tc>
                <w:tcPr>
                  <w:tcW w:w="801" w:type="pct"/>
                  <w:vAlign w:val="center"/>
                </w:tcPr>
                <w:p w14:paraId="4CB8CD4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tc>
            </w:tr>
            <w:tr w14:paraId="60A9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2AB433B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NO</w:t>
                  </w:r>
                  <w:r>
                    <w:rPr>
                      <w:rFonts w:hint="eastAsia"/>
                      <w:color w:val="000000" w:themeColor="text1"/>
                      <w:sz w:val="21"/>
                      <w:szCs w:val="21"/>
                      <w:vertAlign w:val="subscript"/>
                      <w14:textFill>
                        <w14:solidFill>
                          <w14:schemeClr w14:val="tx1"/>
                        </w14:solidFill>
                      </w14:textFill>
                    </w:rPr>
                    <w:t>2</w:t>
                  </w:r>
                </w:p>
              </w:tc>
              <w:tc>
                <w:tcPr>
                  <w:tcW w:w="1283" w:type="pct"/>
                  <w:vAlign w:val="center"/>
                </w:tcPr>
                <w:p w14:paraId="5E313B2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761" w:type="pct"/>
                  <w:vAlign w:val="center"/>
                </w:tcPr>
                <w:p w14:paraId="21B796D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w:t>
                  </w:r>
                </w:p>
              </w:tc>
              <w:tc>
                <w:tcPr>
                  <w:tcW w:w="761" w:type="pct"/>
                  <w:vAlign w:val="center"/>
                </w:tcPr>
                <w:p w14:paraId="1B23AFF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780" w:type="pct"/>
                  <w:vAlign w:val="center"/>
                </w:tcPr>
                <w:p w14:paraId="4322977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47.5</w:t>
                  </w:r>
                </w:p>
              </w:tc>
              <w:tc>
                <w:tcPr>
                  <w:tcW w:w="801" w:type="pct"/>
                  <w:vAlign w:val="center"/>
                </w:tcPr>
                <w:p w14:paraId="21193F9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tc>
            </w:tr>
            <w:tr w14:paraId="6127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5DD817B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10</w:t>
                  </w:r>
                </w:p>
              </w:tc>
              <w:tc>
                <w:tcPr>
                  <w:tcW w:w="1283" w:type="pct"/>
                  <w:vAlign w:val="center"/>
                </w:tcPr>
                <w:p w14:paraId="4611946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761" w:type="pct"/>
                  <w:vAlign w:val="center"/>
                </w:tcPr>
                <w:p w14:paraId="2B77089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65.0</w:t>
                  </w:r>
                </w:p>
              </w:tc>
              <w:tc>
                <w:tcPr>
                  <w:tcW w:w="761" w:type="pct"/>
                  <w:vAlign w:val="center"/>
                </w:tcPr>
                <w:p w14:paraId="109236A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780" w:type="pct"/>
                  <w:vAlign w:val="center"/>
                </w:tcPr>
                <w:p w14:paraId="54480A7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92.9</w:t>
                  </w:r>
                </w:p>
              </w:tc>
              <w:tc>
                <w:tcPr>
                  <w:tcW w:w="801" w:type="pct"/>
                  <w:vAlign w:val="center"/>
                </w:tcPr>
                <w:p w14:paraId="6AC6A15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tc>
            </w:tr>
            <w:tr w14:paraId="2E29F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44677EF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PM</w:t>
                  </w:r>
                  <w:r>
                    <w:rPr>
                      <w:rFonts w:hint="eastAsia"/>
                      <w:color w:val="000000" w:themeColor="text1"/>
                      <w:sz w:val="21"/>
                      <w:szCs w:val="21"/>
                      <w:vertAlign w:val="subscript"/>
                      <w14:textFill>
                        <w14:solidFill>
                          <w14:schemeClr w14:val="tx1"/>
                        </w14:solidFill>
                      </w14:textFill>
                    </w:rPr>
                    <w:t>2.5</w:t>
                  </w:r>
                </w:p>
              </w:tc>
              <w:tc>
                <w:tcPr>
                  <w:tcW w:w="1283" w:type="pct"/>
                  <w:vAlign w:val="center"/>
                </w:tcPr>
                <w:p w14:paraId="517F49F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年平均质量浓度</w:t>
                  </w:r>
                </w:p>
              </w:tc>
              <w:tc>
                <w:tcPr>
                  <w:tcW w:w="761" w:type="pct"/>
                  <w:vAlign w:val="center"/>
                </w:tcPr>
                <w:p w14:paraId="1B462A7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761" w:type="pct"/>
                  <w:vAlign w:val="center"/>
                </w:tcPr>
                <w:p w14:paraId="6DD873A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780" w:type="pct"/>
                  <w:vAlign w:val="center"/>
                </w:tcPr>
                <w:p w14:paraId="23DA4FC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114.3</w:t>
                  </w:r>
                </w:p>
              </w:tc>
              <w:tc>
                <w:tcPr>
                  <w:tcW w:w="801" w:type="pct"/>
                  <w:vAlign w:val="center"/>
                </w:tcPr>
                <w:p w14:paraId="0934158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超标</w:t>
                  </w:r>
                </w:p>
              </w:tc>
            </w:tr>
            <w:tr w14:paraId="1068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1A3F227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CO</w:t>
                  </w:r>
                </w:p>
              </w:tc>
              <w:tc>
                <w:tcPr>
                  <w:tcW w:w="1283" w:type="pct"/>
                  <w:vAlign w:val="center"/>
                </w:tcPr>
                <w:p w14:paraId="031934C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24小时平均第95百分位数</w:t>
                  </w:r>
                </w:p>
              </w:tc>
              <w:tc>
                <w:tcPr>
                  <w:tcW w:w="761" w:type="pct"/>
                  <w:vAlign w:val="center"/>
                </w:tcPr>
                <w:p w14:paraId="790B579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800</w:t>
                  </w:r>
                </w:p>
              </w:tc>
              <w:tc>
                <w:tcPr>
                  <w:tcW w:w="761" w:type="pct"/>
                  <w:vAlign w:val="center"/>
                </w:tcPr>
                <w:p w14:paraId="432C21C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4000</w:t>
                  </w:r>
                </w:p>
              </w:tc>
              <w:tc>
                <w:tcPr>
                  <w:tcW w:w="780" w:type="pct"/>
                  <w:vAlign w:val="center"/>
                </w:tcPr>
                <w:p w14:paraId="0F18019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801" w:type="pct"/>
                  <w:vAlign w:val="center"/>
                </w:tcPr>
                <w:p w14:paraId="2701F03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tc>
            </w:tr>
            <w:tr w14:paraId="2DBD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0" w:type="pct"/>
                  <w:vAlign w:val="center"/>
                </w:tcPr>
                <w:p w14:paraId="164493E2">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O</w:t>
                  </w:r>
                  <w:r>
                    <w:rPr>
                      <w:rFonts w:hint="eastAsia"/>
                      <w:color w:val="000000" w:themeColor="text1"/>
                      <w:sz w:val="21"/>
                      <w:szCs w:val="21"/>
                      <w:vertAlign w:val="subscript"/>
                      <w14:textFill>
                        <w14:solidFill>
                          <w14:schemeClr w14:val="tx1"/>
                        </w14:solidFill>
                      </w14:textFill>
                    </w:rPr>
                    <w:t>3</w:t>
                  </w:r>
                </w:p>
              </w:tc>
              <w:tc>
                <w:tcPr>
                  <w:tcW w:w="1283" w:type="pct"/>
                  <w:vAlign w:val="center"/>
                </w:tcPr>
                <w:p w14:paraId="5FE9F46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日最大8小时平均值的第90百分位数</w:t>
                  </w:r>
                </w:p>
              </w:tc>
              <w:tc>
                <w:tcPr>
                  <w:tcW w:w="761" w:type="pct"/>
                  <w:vAlign w:val="center"/>
                </w:tcPr>
                <w:p w14:paraId="2D511EA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160</w:t>
                  </w:r>
                </w:p>
              </w:tc>
              <w:tc>
                <w:tcPr>
                  <w:tcW w:w="761" w:type="pct"/>
                  <w:vAlign w:val="center"/>
                </w:tcPr>
                <w:p w14:paraId="1C12D33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160</w:t>
                  </w:r>
                </w:p>
              </w:tc>
              <w:tc>
                <w:tcPr>
                  <w:tcW w:w="780" w:type="pct"/>
                  <w:vAlign w:val="center"/>
                </w:tcPr>
                <w:p w14:paraId="193D2B2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801" w:type="pct"/>
                  <w:vAlign w:val="center"/>
                </w:tcPr>
                <w:p w14:paraId="5AACAED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达标</w:t>
                  </w:r>
                </w:p>
              </w:tc>
            </w:tr>
          </w:tbl>
          <w:p w14:paraId="4BFE860C">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由上表统计结果可知，区域内SO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、NO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、PM</w:t>
            </w:r>
            <w:r>
              <w:rPr>
                <w:rFonts w:hint="eastAsia"/>
                <w:color w:val="000000" w:themeColor="text1"/>
                <w:vertAlign w:val="subscript"/>
                <w14:textFill>
                  <w14:solidFill>
                    <w14:schemeClr w14:val="tx1"/>
                  </w14:solidFill>
                </w14:textFill>
              </w:rPr>
              <w:t>10</w:t>
            </w:r>
            <w:r>
              <w:rPr>
                <w:rFonts w:hint="eastAsia"/>
                <w:color w:val="000000" w:themeColor="text1"/>
                <w14:textFill>
                  <w14:solidFill>
                    <w14:schemeClr w14:val="tx1"/>
                  </w14:solidFill>
                </w14:textFill>
              </w:rPr>
              <w:t>年平均浓度均达标；CO24小时平均第95百分位数浓度达标；PM</w:t>
            </w:r>
            <w:r>
              <w:rPr>
                <w:rFonts w:hint="eastAsia"/>
                <w:color w:val="000000" w:themeColor="text1"/>
                <w:vertAlign w:val="subscript"/>
                <w14:textFill>
                  <w14:solidFill>
                    <w14:schemeClr w14:val="tx1"/>
                  </w14:solidFill>
                </w14:textFill>
              </w:rPr>
              <w:t>2.5</w:t>
            </w:r>
            <w:r>
              <w:rPr>
                <w:rFonts w:hint="eastAsia"/>
                <w:color w:val="000000" w:themeColor="text1"/>
                <w14:textFill>
                  <w14:solidFill>
                    <w14:schemeClr w14:val="tx1"/>
                  </w14:solidFill>
                </w14:textFill>
              </w:rPr>
              <w:t>年平均浓度不达标，O</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日最大8小时平均值的第90百分位数达标；由此判断项目所在区域为不达标区。</w:t>
            </w:r>
          </w:p>
          <w:p w14:paraId="7E6969D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目前，淮南市已制订《淮南市"十四五"大气污染防治规划（2021-2025）年》，围绕工业大气污染治理、扬（烟）尘污染防治等开展专项治理活动，进一步削减大气污染物排放。</w:t>
            </w:r>
          </w:p>
          <w:p w14:paraId="2D0EB4D3">
            <w:pPr>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2、特征污染物</w:t>
            </w:r>
          </w:p>
          <w:p w14:paraId="283BDA6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进一步了解项目所在区域的特征污染物（非甲烷总烃、氯化氢、TSP）的环境质量现状情况，特征污染物非甲烷总烃、氯化氢、TSP引用“淮南经济技术开发区跟踪评价大气环境质量监测项目”安澳检[2024]（11042）号中相关数据，监测时间为2024年10月17日至2024年10月24日，监测点为淮南农场区外，位于本项目东南侧约1076m；引用监测数据满足《建设项目环境影响报告表编制技术指南（污染影响类）（试行）》中大气环境质量现状可引用建设项目周边5千米范围内近3年的现有监测数据要求。</w:t>
            </w:r>
          </w:p>
          <w:p w14:paraId="1B36231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（1）监测布点及监测因子</w:t>
            </w:r>
          </w:p>
          <w:p w14:paraId="06EC1CD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本项目大气环境质量监测布点与监测因子如下表所示。</w:t>
            </w:r>
          </w:p>
          <w:p w14:paraId="2B1C3463">
            <w:pPr>
              <w:jc w:val="center"/>
              <w:rPr>
                <w:color w:val="000000" w:themeColor="text1"/>
                <w14:textFill>
                  <w14:solidFill>
                    <w14:schemeClr w14:val="tx1"/>
                  </w14:solidFill>
                </w14:textFill>
              </w:rPr>
            </w:pPr>
            <w:r>
              <w:rPr>
                <w:b/>
                <w:bCs/>
                <w:color w:val="000000" w:themeColor="text1"/>
                <w:lang w:bidi="ar"/>
                <w14:textFill>
                  <w14:solidFill>
                    <w14:schemeClr w14:val="tx1"/>
                  </w14:solidFill>
                </w14:textFill>
              </w:rPr>
              <w:t>表3</w:t>
            </w:r>
            <w:r>
              <w:rPr>
                <w:rFonts w:hint="eastAsia"/>
                <w:b/>
                <w:bCs/>
                <w:color w:val="000000" w:themeColor="text1"/>
                <w:lang w:bidi="ar"/>
                <w14:textFill>
                  <w14:solidFill>
                    <w14:schemeClr w14:val="tx1"/>
                  </w14:solidFill>
                </w14:textFill>
              </w:rPr>
              <w:t>.1.1</w:t>
            </w:r>
            <w:r>
              <w:rPr>
                <w:b/>
                <w:bCs/>
                <w:color w:val="000000" w:themeColor="text1"/>
                <w:lang w:bidi="ar"/>
                <w14:textFill>
                  <w14:solidFill>
                    <w14:schemeClr w14:val="tx1"/>
                  </w14:solidFill>
                </w14:textFill>
              </w:rPr>
              <w:t>-</w:t>
            </w:r>
            <w:r>
              <w:rPr>
                <w:rFonts w:hint="eastAsia"/>
                <w:b/>
                <w:bCs/>
                <w:color w:val="000000" w:themeColor="text1"/>
                <w:lang w:bidi="ar"/>
                <w14:textFill>
                  <w14:solidFill>
                    <w14:schemeClr w14:val="tx1"/>
                  </w14:solidFill>
                </w14:textFill>
              </w:rPr>
              <w:t xml:space="preserve">2  </w:t>
            </w:r>
            <w:r>
              <w:rPr>
                <w:rFonts w:cs="宋体"/>
                <w:b/>
                <w:bCs/>
                <w:color w:val="000000" w:themeColor="text1"/>
                <w:lang w:val="zh-CN" w:bidi="zh-CN"/>
                <w14:textFill>
                  <w14:solidFill>
                    <w14:schemeClr w14:val="tx1"/>
                  </w14:solidFill>
                </w14:textFill>
              </w:rPr>
              <w:t>环境空气质量现状监测结果一览表</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227"/>
              <w:gridCol w:w="1122"/>
              <w:gridCol w:w="1072"/>
              <w:gridCol w:w="1096"/>
              <w:gridCol w:w="1096"/>
              <w:gridCol w:w="1099"/>
            </w:tblGrid>
            <w:tr w14:paraId="2E61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4" w:type="pct"/>
                  <w:vMerge w:val="restart"/>
                  <w:vAlign w:val="center"/>
                </w:tcPr>
                <w:p w14:paraId="7412753B">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ascii="Times New Roman" w:hAnsi="Times New Roman"/>
                      <w:b/>
                      <w:bCs/>
                      <w:color w:val="000000" w:themeColor="text1"/>
                      <w:kern w:val="2"/>
                      <w:sz w:val="21"/>
                      <w:szCs w:val="21"/>
                      <w:lang w:bidi="ar"/>
                      <w14:textFill>
                        <w14:solidFill>
                          <w14:schemeClr w14:val="tx1"/>
                        </w14:solidFill>
                      </w14:textFill>
                    </w:rPr>
                    <w:t>监测点名称</w:t>
                  </w:r>
                </w:p>
              </w:tc>
              <w:tc>
                <w:tcPr>
                  <w:tcW w:w="1457" w:type="pct"/>
                  <w:gridSpan w:val="2"/>
                  <w:vAlign w:val="center"/>
                </w:tcPr>
                <w:p w14:paraId="03284C47">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ascii="Times New Roman" w:hAnsi="Times New Roman"/>
                      <w:b/>
                      <w:bCs/>
                      <w:color w:val="000000" w:themeColor="text1"/>
                      <w:kern w:val="2"/>
                      <w:sz w:val="21"/>
                      <w:szCs w:val="21"/>
                      <w:lang w:bidi="ar"/>
                      <w14:textFill>
                        <w14:solidFill>
                          <w14:schemeClr w14:val="tx1"/>
                        </w14:solidFill>
                      </w14:textFill>
                    </w:rPr>
                    <w:t>监测点坐标</w:t>
                  </w:r>
                </w:p>
              </w:tc>
              <w:tc>
                <w:tcPr>
                  <w:tcW w:w="665" w:type="pct"/>
                  <w:vMerge w:val="restart"/>
                  <w:vAlign w:val="center"/>
                </w:tcPr>
                <w:p w14:paraId="3C02EC60">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监测因子</w:t>
                  </w:r>
                </w:p>
              </w:tc>
              <w:tc>
                <w:tcPr>
                  <w:tcW w:w="680" w:type="pct"/>
                  <w:vMerge w:val="restart"/>
                  <w:vAlign w:val="center"/>
                </w:tcPr>
                <w:p w14:paraId="5732FBA3">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监测时段</w:t>
                  </w:r>
                </w:p>
              </w:tc>
              <w:tc>
                <w:tcPr>
                  <w:tcW w:w="680" w:type="pct"/>
                  <w:vMerge w:val="restart"/>
                  <w:vAlign w:val="center"/>
                </w:tcPr>
                <w:p w14:paraId="59EC881C">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相对厂址方位</w:t>
                  </w:r>
                </w:p>
              </w:tc>
              <w:tc>
                <w:tcPr>
                  <w:tcW w:w="681" w:type="pct"/>
                  <w:vMerge w:val="restart"/>
                  <w:vAlign w:val="center"/>
                </w:tcPr>
                <w:p w14:paraId="622E8997">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相对厂界距离</w:t>
                  </w:r>
                </w:p>
              </w:tc>
            </w:tr>
            <w:tr w14:paraId="229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4" w:type="pct"/>
                  <w:vMerge w:val="continue"/>
                  <w:vAlign w:val="center"/>
                </w:tcPr>
                <w:p w14:paraId="6467FAB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761" w:type="pct"/>
                  <w:vAlign w:val="center"/>
                </w:tcPr>
                <w:p w14:paraId="040B120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X</w:t>
                  </w:r>
                </w:p>
              </w:tc>
              <w:tc>
                <w:tcPr>
                  <w:tcW w:w="696" w:type="pct"/>
                  <w:vAlign w:val="center"/>
                </w:tcPr>
                <w:p w14:paraId="37C0846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Y</w:t>
                  </w:r>
                </w:p>
              </w:tc>
              <w:tc>
                <w:tcPr>
                  <w:tcW w:w="665" w:type="pct"/>
                  <w:vMerge w:val="continue"/>
                  <w:vAlign w:val="center"/>
                </w:tcPr>
                <w:p w14:paraId="6FA4D4D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680" w:type="pct"/>
                  <w:vMerge w:val="continue"/>
                  <w:vAlign w:val="center"/>
                </w:tcPr>
                <w:p w14:paraId="2185F90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680" w:type="pct"/>
                  <w:vMerge w:val="continue"/>
                  <w:vAlign w:val="center"/>
                </w:tcPr>
                <w:p w14:paraId="2BAF289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681" w:type="pct"/>
                  <w:vMerge w:val="continue"/>
                  <w:vAlign w:val="center"/>
                </w:tcPr>
                <w:p w14:paraId="79B4A7F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r>
            <w:tr w14:paraId="048FB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34" w:type="pct"/>
                  <w:vAlign w:val="center"/>
                </w:tcPr>
                <w:p w14:paraId="5DA82B1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淮南农场区外</w:t>
                  </w:r>
                </w:p>
              </w:tc>
              <w:tc>
                <w:tcPr>
                  <w:tcW w:w="761" w:type="pct"/>
                  <w:vAlign w:val="center"/>
                </w:tcPr>
                <w:p w14:paraId="178AD36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117.099230</w:t>
                  </w:r>
                </w:p>
              </w:tc>
              <w:tc>
                <w:tcPr>
                  <w:tcW w:w="696" w:type="pct"/>
                  <w:vAlign w:val="center"/>
                </w:tcPr>
                <w:p w14:paraId="43DCBE0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32.645899</w:t>
                  </w:r>
                </w:p>
              </w:tc>
              <w:tc>
                <w:tcPr>
                  <w:tcW w:w="665" w:type="pct"/>
                  <w:vAlign w:val="center"/>
                </w:tcPr>
                <w:p w14:paraId="0673FC4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非甲烷总烃、氯化氢、TSP</w:t>
                  </w:r>
                </w:p>
              </w:tc>
              <w:tc>
                <w:tcPr>
                  <w:tcW w:w="680" w:type="pct"/>
                  <w:vAlign w:val="center"/>
                </w:tcPr>
                <w:p w14:paraId="2AA2C7F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2024年10月17日~24日</w:t>
                  </w:r>
                </w:p>
              </w:tc>
              <w:tc>
                <w:tcPr>
                  <w:tcW w:w="680" w:type="pct"/>
                  <w:vAlign w:val="center"/>
                </w:tcPr>
                <w:p w14:paraId="41DD950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东南</w:t>
                  </w:r>
                </w:p>
              </w:tc>
              <w:tc>
                <w:tcPr>
                  <w:tcW w:w="681" w:type="pct"/>
                  <w:vAlign w:val="center"/>
                </w:tcPr>
                <w:p w14:paraId="6CAB595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1076m</w:t>
                  </w:r>
                </w:p>
              </w:tc>
            </w:tr>
          </w:tbl>
          <w:p w14:paraId="19973735">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58410" cy="3126105"/>
                  <wp:effectExtent l="0" t="0" r="8890" b="17145"/>
                  <wp:docPr id="7" name="图片 14" descr="C:/Users/SAMSUNG/Desktop/001淮南电缆项目/002大气监测点位.jpg002大气监测点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C:/Users/SAMSUNG/Desktop/001淮南电缆项目/002大气监测点位.jpg002大气监测点位"/>
                          <pic:cNvPicPr>
                            <a:picLocks noChangeAspect="1"/>
                          </pic:cNvPicPr>
                        </pic:nvPicPr>
                        <pic:blipFill>
                          <a:blip r:embed="rId19"/>
                          <a:srcRect t="6333" b="6333"/>
                          <a:stretch>
                            <a:fillRect/>
                          </a:stretch>
                        </pic:blipFill>
                        <pic:spPr>
                          <a:xfrm>
                            <a:off x="0" y="0"/>
                            <a:ext cx="5058410" cy="3126105"/>
                          </a:xfrm>
                          <a:prstGeom prst="rect">
                            <a:avLst/>
                          </a:prstGeom>
                          <a:noFill/>
                          <a:ln>
                            <a:noFill/>
                          </a:ln>
                        </pic:spPr>
                      </pic:pic>
                    </a:graphicData>
                  </a:graphic>
                </wp:inline>
              </w:drawing>
            </w:r>
          </w:p>
          <w:p w14:paraId="592DAE57">
            <w:pPr>
              <w:pStyle w:val="7"/>
              <w:spacing w:before="0" w:after="0" w:line="360" w:lineRule="auto"/>
              <w:jc w:val="center"/>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图3</w:t>
            </w:r>
            <w:r>
              <w:rPr>
                <w:rFonts w:hint="eastAsia"/>
                <w:b/>
                <w:color w:val="000000" w:themeColor="text1"/>
                <w:sz w:val="24"/>
                <w:szCs w:val="24"/>
                <w14:textFill>
                  <w14:solidFill>
                    <w14:schemeClr w14:val="tx1"/>
                  </w14:solidFill>
                </w14:textFill>
              </w:rPr>
              <w:t>.1.1</w:t>
            </w:r>
            <w:r>
              <w:rPr>
                <w:b/>
                <w:color w:val="000000" w:themeColor="text1"/>
                <w:sz w:val="24"/>
                <w:szCs w:val="24"/>
                <w14:textFill>
                  <w14:solidFill>
                    <w14:schemeClr w14:val="tx1"/>
                  </w14:solidFill>
                </w14:textFill>
              </w:rPr>
              <w:t xml:space="preserve">-1 </w:t>
            </w:r>
            <w:r>
              <w:rPr>
                <w:rFonts w:hint="eastAsia"/>
                <w:b/>
                <w:color w:val="000000" w:themeColor="text1"/>
                <w:sz w:val="24"/>
                <w:szCs w:val="24"/>
                <w14:textFill>
                  <w14:solidFill>
                    <w14:schemeClr w14:val="tx1"/>
                  </w14:solidFill>
                </w14:textFill>
              </w:rPr>
              <w:t xml:space="preserve"> 大气环境</w:t>
            </w:r>
            <w:r>
              <w:rPr>
                <w:b/>
                <w:color w:val="000000" w:themeColor="text1"/>
                <w:sz w:val="24"/>
                <w:szCs w:val="24"/>
                <w14:textFill>
                  <w14:solidFill>
                    <w14:schemeClr w14:val="tx1"/>
                  </w14:solidFill>
                </w14:textFill>
              </w:rPr>
              <w:t>监测点位图</w:t>
            </w:r>
          </w:p>
          <w:p w14:paraId="48862163">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（2）监测时间、频次和分析方法</w:t>
            </w:r>
          </w:p>
          <w:p w14:paraId="5CBBAE60">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监测频率：非甲烷总烃、氯化氢、TSP连续监测7天。</w:t>
            </w:r>
          </w:p>
          <w:p w14:paraId="271D89CB">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监测时间及技术方法满足《环境监测技术规范》（大气部分）与《环境影响评价技术导则大气环境》（HJ2.2-2008）的要求。</w:t>
            </w:r>
          </w:p>
          <w:p w14:paraId="333C0052">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（3）监测结果</w:t>
            </w:r>
          </w:p>
          <w:p w14:paraId="1FE51FE2">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根据表3.1.1-3可知，监测点各监测指标均满足对应质量标准限值。</w:t>
            </w:r>
          </w:p>
          <w:p w14:paraId="3404EFA1">
            <w:pPr>
              <w:jc w:val="center"/>
              <w:rPr>
                <w:color w:val="000000" w:themeColor="text1"/>
                <w14:textFill>
                  <w14:solidFill>
                    <w14:schemeClr w14:val="tx1"/>
                  </w14:solidFill>
                </w14:textFill>
              </w:rPr>
            </w:pPr>
            <w:r>
              <w:rPr>
                <w:b/>
                <w:bCs/>
                <w:color w:val="000000" w:themeColor="text1"/>
                <w:lang w:bidi="ar"/>
                <w14:textFill>
                  <w14:solidFill>
                    <w14:schemeClr w14:val="tx1"/>
                  </w14:solidFill>
                </w14:textFill>
              </w:rPr>
              <w:t>表3</w:t>
            </w:r>
            <w:r>
              <w:rPr>
                <w:rFonts w:hint="eastAsia"/>
                <w:b/>
                <w:bCs/>
                <w:color w:val="000000" w:themeColor="text1"/>
                <w:lang w:bidi="ar"/>
                <w14:textFill>
                  <w14:solidFill>
                    <w14:schemeClr w14:val="tx1"/>
                  </w14:solidFill>
                </w14:textFill>
              </w:rPr>
              <w:t>.1.1</w:t>
            </w:r>
            <w:r>
              <w:rPr>
                <w:b/>
                <w:bCs/>
                <w:color w:val="000000" w:themeColor="text1"/>
                <w:lang w:bidi="ar"/>
                <w14:textFill>
                  <w14:solidFill>
                    <w14:schemeClr w14:val="tx1"/>
                  </w14:solidFill>
                </w14:textFill>
              </w:rPr>
              <w:t>-</w:t>
            </w:r>
            <w:r>
              <w:rPr>
                <w:rFonts w:hint="eastAsia"/>
                <w:b/>
                <w:bCs/>
                <w:color w:val="000000" w:themeColor="text1"/>
                <w:lang w:bidi="ar"/>
                <w14:textFill>
                  <w14:solidFill>
                    <w14:schemeClr w14:val="tx1"/>
                  </w14:solidFill>
                </w14:textFill>
              </w:rPr>
              <w:t xml:space="preserve">3  </w:t>
            </w:r>
            <w:r>
              <w:rPr>
                <w:rFonts w:hint="eastAsia" w:cs="宋体"/>
                <w:b/>
                <w:bCs/>
                <w:color w:val="000000" w:themeColor="text1"/>
                <w:lang w:val="zh-CN" w:bidi="zh-CN"/>
                <w14:textFill>
                  <w14:solidFill>
                    <w14:schemeClr w14:val="tx1"/>
                  </w14:solidFill>
                </w14:textFill>
              </w:rPr>
              <w:t>特征污染物环境质量现状监测结果及评价统计</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181"/>
              <w:gridCol w:w="1275"/>
              <w:gridCol w:w="736"/>
              <w:gridCol w:w="1081"/>
              <w:gridCol w:w="937"/>
              <w:gridCol w:w="682"/>
              <w:gridCol w:w="871"/>
            </w:tblGrid>
            <w:tr w14:paraId="730A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vMerge w:val="restart"/>
                  <w:vAlign w:val="center"/>
                </w:tcPr>
                <w:p w14:paraId="3C69B4C0">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ascii="Times New Roman" w:hAnsi="Times New Roman"/>
                      <w:b/>
                      <w:bCs/>
                      <w:color w:val="000000" w:themeColor="text1"/>
                      <w:kern w:val="2"/>
                      <w:sz w:val="21"/>
                      <w:szCs w:val="21"/>
                      <w:lang w:bidi="ar"/>
                      <w14:textFill>
                        <w14:solidFill>
                          <w14:schemeClr w14:val="tx1"/>
                        </w14:solidFill>
                      </w14:textFill>
                    </w:rPr>
                    <w:t>监测点名称</w:t>
                  </w:r>
                </w:p>
              </w:tc>
              <w:tc>
                <w:tcPr>
                  <w:tcW w:w="1480" w:type="pct"/>
                  <w:gridSpan w:val="2"/>
                  <w:vAlign w:val="center"/>
                </w:tcPr>
                <w:p w14:paraId="3E480B9B">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监测浓度范围（mg/m</w:t>
                  </w:r>
                  <w:r>
                    <w:rPr>
                      <w:rFonts w:hint="eastAsia" w:ascii="Times New Roman" w:hAnsi="Times New Roman"/>
                      <w:b/>
                      <w:bCs/>
                      <w:color w:val="000000" w:themeColor="text1"/>
                      <w:kern w:val="2"/>
                      <w:sz w:val="21"/>
                      <w:szCs w:val="21"/>
                      <w:vertAlign w:val="superscript"/>
                      <w:lang w:bidi="ar"/>
                      <w14:textFill>
                        <w14:solidFill>
                          <w14:schemeClr w14:val="tx1"/>
                        </w14:solidFill>
                      </w14:textFill>
                    </w:rPr>
                    <w:t>3</w:t>
                  </w:r>
                  <w:r>
                    <w:rPr>
                      <w:rFonts w:hint="eastAsia" w:ascii="Times New Roman" w:hAnsi="Times New Roman"/>
                      <w:b/>
                      <w:bCs/>
                      <w:color w:val="000000" w:themeColor="text1"/>
                      <w:kern w:val="2"/>
                      <w:sz w:val="21"/>
                      <w:szCs w:val="21"/>
                      <w:lang w:bidi="ar"/>
                      <w14:textFill>
                        <w14:solidFill>
                          <w14:schemeClr w14:val="tx1"/>
                        </w14:solidFill>
                      </w14:textFill>
                    </w:rPr>
                    <w:t>）</w:t>
                  </w:r>
                </w:p>
              </w:tc>
              <w:tc>
                <w:tcPr>
                  <w:tcW w:w="1142" w:type="pct"/>
                  <w:gridSpan w:val="2"/>
                  <w:vAlign w:val="center"/>
                </w:tcPr>
                <w:p w14:paraId="6CF21BB0">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标准值</w:t>
                  </w:r>
                </w:p>
              </w:tc>
              <w:tc>
                <w:tcPr>
                  <w:tcW w:w="589" w:type="pct"/>
                  <w:vMerge w:val="restart"/>
                  <w:vAlign w:val="center"/>
                </w:tcPr>
                <w:p w14:paraId="1F1D1BB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最大占标率（%）</w:t>
                  </w:r>
                </w:p>
              </w:tc>
              <w:tc>
                <w:tcPr>
                  <w:tcW w:w="430" w:type="pct"/>
                  <w:vMerge w:val="restart"/>
                  <w:vAlign w:val="center"/>
                </w:tcPr>
                <w:p w14:paraId="3ABDCB3F">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超标倍数</w:t>
                  </w:r>
                </w:p>
              </w:tc>
              <w:tc>
                <w:tcPr>
                  <w:tcW w:w="547" w:type="pct"/>
                  <w:vMerge w:val="restart"/>
                  <w:vAlign w:val="center"/>
                </w:tcPr>
                <w:p w14:paraId="1E2B0276">
                  <w:pPr>
                    <w:pStyle w:val="13"/>
                    <w:spacing w:before="0" w:beforeAutospacing="0" w:after="0" w:afterAutospacing="0"/>
                    <w:jc w:val="center"/>
                    <w:rPr>
                      <w:rFonts w:ascii="Times New Roman" w:hAnsi="Times New Roman"/>
                      <w:b/>
                      <w:bCs/>
                      <w:color w:val="000000" w:themeColor="text1"/>
                      <w:kern w:val="2"/>
                      <w:sz w:val="21"/>
                      <w:szCs w:val="21"/>
                      <w:lang w:bidi="ar"/>
                      <w14:textFill>
                        <w14:solidFill>
                          <w14:schemeClr w14:val="tx1"/>
                        </w14:solidFill>
                      </w14:textFill>
                    </w:rPr>
                  </w:pPr>
                  <w:r>
                    <w:rPr>
                      <w:rFonts w:hint="eastAsia" w:ascii="Times New Roman" w:hAnsi="Times New Roman"/>
                      <w:b/>
                      <w:bCs/>
                      <w:color w:val="000000" w:themeColor="text1"/>
                      <w:kern w:val="2"/>
                      <w:sz w:val="21"/>
                      <w:szCs w:val="21"/>
                      <w:lang w:bidi="ar"/>
                      <w14:textFill>
                        <w14:solidFill>
                          <w14:schemeClr w14:val="tx1"/>
                        </w14:solidFill>
                      </w14:textFill>
                    </w:rPr>
                    <w:t>达标率（%）</w:t>
                  </w:r>
                </w:p>
              </w:tc>
            </w:tr>
            <w:tr w14:paraId="7881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vMerge w:val="continue"/>
                  <w:vAlign w:val="center"/>
                </w:tcPr>
                <w:p w14:paraId="66E5628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740" w:type="pct"/>
                  <w:vAlign w:val="center"/>
                </w:tcPr>
                <w:p w14:paraId="0901589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小时值范围</w:t>
                  </w:r>
                </w:p>
              </w:tc>
              <w:tc>
                <w:tcPr>
                  <w:tcW w:w="740" w:type="pct"/>
                  <w:vAlign w:val="center"/>
                </w:tcPr>
                <w:p w14:paraId="13AF7AC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24小时平均值范围</w:t>
                  </w:r>
                </w:p>
              </w:tc>
              <w:tc>
                <w:tcPr>
                  <w:tcW w:w="464" w:type="pct"/>
                  <w:vAlign w:val="center"/>
                </w:tcPr>
                <w:p w14:paraId="4E05344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小时值</w:t>
                  </w:r>
                </w:p>
              </w:tc>
              <w:tc>
                <w:tcPr>
                  <w:tcW w:w="678" w:type="pct"/>
                  <w:vAlign w:val="center"/>
                </w:tcPr>
                <w:p w14:paraId="38B34C6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24小时平均值</w:t>
                  </w:r>
                </w:p>
              </w:tc>
              <w:tc>
                <w:tcPr>
                  <w:tcW w:w="589" w:type="pct"/>
                  <w:vMerge w:val="continue"/>
                  <w:vAlign w:val="center"/>
                </w:tcPr>
                <w:p w14:paraId="5187DA1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430" w:type="pct"/>
                  <w:vMerge w:val="continue"/>
                  <w:vAlign w:val="center"/>
                </w:tcPr>
                <w:p w14:paraId="63C7C00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547" w:type="pct"/>
                  <w:vMerge w:val="continue"/>
                  <w:vAlign w:val="center"/>
                </w:tcPr>
                <w:p w14:paraId="011E0A6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r>
            <w:tr w14:paraId="65386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vAlign w:val="center"/>
                </w:tcPr>
                <w:p w14:paraId="0C30597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非甲烷总烃</w:t>
                  </w:r>
                </w:p>
              </w:tc>
              <w:tc>
                <w:tcPr>
                  <w:tcW w:w="740" w:type="pct"/>
                  <w:vAlign w:val="center"/>
                </w:tcPr>
                <w:p w14:paraId="35E4D0F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0.34~0.56</w:t>
                  </w:r>
                </w:p>
              </w:tc>
              <w:tc>
                <w:tcPr>
                  <w:tcW w:w="740" w:type="pct"/>
                  <w:vAlign w:val="center"/>
                </w:tcPr>
                <w:p w14:paraId="2631906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464" w:type="pct"/>
                  <w:vAlign w:val="center"/>
                </w:tcPr>
                <w:p w14:paraId="567DEF9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w:t>
                  </w:r>
                </w:p>
              </w:tc>
              <w:tc>
                <w:tcPr>
                  <w:tcW w:w="678" w:type="pct"/>
                  <w:vAlign w:val="center"/>
                </w:tcPr>
                <w:p w14:paraId="385CB5A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589" w:type="pct"/>
                  <w:vAlign w:val="center"/>
                </w:tcPr>
                <w:p w14:paraId="57B21DB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28</w:t>
                  </w:r>
                </w:p>
              </w:tc>
              <w:tc>
                <w:tcPr>
                  <w:tcW w:w="430" w:type="pct"/>
                  <w:vAlign w:val="center"/>
                </w:tcPr>
                <w:p w14:paraId="672BB37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w:t>
                  </w:r>
                </w:p>
              </w:tc>
              <w:tc>
                <w:tcPr>
                  <w:tcW w:w="547" w:type="pct"/>
                  <w:vAlign w:val="center"/>
                </w:tcPr>
                <w:p w14:paraId="129124A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r>
            <w:tr w14:paraId="538E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vAlign w:val="center"/>
                </w:tcPr>
                <w:p w14:paraId="3F4751A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氯化氢</w:t>
                  </w:r>
                </w:p>
              </w:tc>
              <w:tc>
                <w:tcPr>
                  <w:tcW w:w="740" w:type="pct"/>
                  <w:vAlign w:val="center"/>
                </w:tcPr>
                <w:p w14:paraId="2E13453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ND</w:t>
                  </w:r>
                </w:p>
              </w:tc>
              <w:tc>
                <w:tcPr>
                  <w:tcW w:w="740" w:type="pct"/>
                  <w:vAlign w:val="center"/>
                </w:tcPr>
                <w:p w14:paraId="3453EE0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464" w:type="pct"/>
                  <w:vAlign w:val="center"/>
                </w:tcPr>
                <w:p w14:paraId="12DF7D9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0.05</w:t>
                  </w:r>
                </w:p>
              </w:tc>
              <w:tc>
                <w:tcPr>
                  <w:tcW w:w="678" w:type="pct"/>
                  <w:vAlign w:val="center"/>
                </w:tcPr>
                <w:p w14:paraId="22E153F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589" w:type="pct"/>
                  <w:vAlign w:val="center"/>
                </w:tcPr>
                <w:p w14:paraId="395FAD6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c>
                <w:tcPr>
                  <w:tcW w:w="430" w:type="pct"/>
                  <w:vAlign w:val="center"/>
                </w:tcPr>
                <w:p w14:paraId="268B635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w:t>
                  </w:r>
                </w:p>
              </w:tc>
              <w:tc>
                <w:tcPr>
                  <w:tcW w:w="547" w:type="pct"/>
                  <w:vAlign w:val="center"/>
                </w:tcPr>
                <w:p w14:paraId="4C6ED92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r>
            <w:tr w14:paraId="06BC3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10" w:type="pct"/>
                  <w:vAlign w:val="center"/>
                </w:tcPr>
                <w:p w14:paraId="1285323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TSP</w:t>
                  </w:r>
                </w:p>
              </w:tc>
              <w:tc>
                <w:tcPr>
                  <w:tcW w:w="740" w:type="pct"/>
                  <w:vAlign w:val="center"/>
                </w:tcPr>
                <w:p w14:paraId="1AE53C6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740" w:type="pct"/>
                  <w:vAlign w:val="center"/>
                </w:tcPr>
                <w:p w14:paraId="674A367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0.055~0.089</w:t>
                  </w:r>
                </w:p>
              </w:tc>
              <w:tc>
                <w:tcPr>
                  <w:tcW w:w="464" w:type="pct"/>
                  <w:vAlign w:val="center"/>
                </w:tcPr>
                <w:p w14:paraId="2519772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678" w:type="pct"/>
                  <w:vAlign w:val="center"/>
                </w:tcPr>
                <w:p w14:paraId="5CFC3AC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w:t>
                  </w:r>
                </w:p>
              </w:tc>
              <w:tc>
                <w:tcPr>
                  <w:tcW w:w="589" w:type="pct"/>
                  <w:vAlign w:val="center"/>
                </w:tcPr>
                <w:p w14:paraId="5366CB1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29.67</w:t>
                  </w:r>
                </w:p>
              </w:tc>
              <w:tc>
                <w:tcPr>
                  <w:tcW w:w="430" w:type="pct"/>
                  <w:vAlign w:val="center"/>
                </w:tcPr>
                <w:p w14:paraId="2989138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w:t>
                  </w:r>
                </w:p>
              </w:tc>
              <w:tc>
                <w:tcPr>
                  <w:tcW w:w="547" w:type="pct"/>
                  <w:vAlign w:val="center"/>
                </w:tcPr>
                <w:p w14:paraId="0AC01A4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r>
          </w:tbl>
          <w:p w14:paraId="7C9D156E">
            <w:pPr>
              <w:spacing w:line="360" w:lineRule="auto"/>
              <w:ind w:firstLine="480" w:firstLineChars="200"/>
              <w:rPr>
                <w:color w:val="000000" w:themeColor="text1"/>
                <w:lang w:bidi="ar"/>
                <w14:textFill>
                  <w14:solidFill>
                    <w14:schemeClr w14:val="tx1"/>
                  </w14:solidFill>
                </w14:textFill>
              </w:rPr>
            </w:pPr>
            <w:r>
              <w:rPr>
                <w:rFonts w:hint="eastAsia"/>
                <w:color w:val="000000" w:themeColor="text1"/>
                <w:lang w:bidi="ar"/>
                <w14:textFill>
                  <w14:solidFill>
                    <w14:schemeClr w14:val="tx1"/>
                  </w14:solidFill>
                </w14:textFill>
              </w:rPr>
              <w:t>综上，评价区域内各评价因子对应日均浓度、小时浓度均能满足《环境影响评价技术导则大气环境》（HJ2.2-2018）附录D其他污染物空气质量浓度参考限值及其他相关标准的要求。</w:t>
            </w:r>
          </w:p>
          <w:p w14:paraId="314C1DFD">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3.1.2地表水环境质量现状</w:t>
            </w:r>
          </w:p>
          <w:p w14:paraId="502744A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建设项目环境影响报告表编制技术指南》，项目所在区域地表水环境质量引用与建设项目距离近的有效数据，包括近3年的规划环境影响评价的监测数据，所在流域控制单元内国家、地方控制断面监测数据，生态环境主管部门发布的水环境质量数据或地表水达标情况的结论</w:t>
            </w:r>
            <w:r>
              <w:rPr>
                <w:rFonts w:hint="eastAsia"/>
                <w:color w:val="000000" w:themeColor="text1"/>
                <w14:textFill>
                  <w14:solidFill>
                    <w14:schemeClr w14:val="tx1"/>
                  </w14:solidFill>
                </w14:textFill>
              </w:rPr>
              <w:t>。</w:t>
            </w:r>
          </w:p>
          <w:p w14:paraId="0D81C16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本项目位于</w:t>
            </w:r>
            <w:r>
              <w:rPr>
                <w:rFonts w:eastAsia="微软雅黑"/>
                <w:color w:val="000000" w:themeColor="text1"/>
                <w14:textFill>
                  <w14:solidFill>
                    <w14:schemeClr w14:val="tx1"/>
                  </w14:solidFill>
                </w14:textFill>
              </w:rPr>
              <w:t>Ⅲ</w:t>
            </w:r>
            <w:r>
              <w:rPr>
                <w:color w:val="000000" w:themeColor="text1"/>
                <w14:textFill>
                  <w14:solidFill>
                    <w14:schemeClr w14:val="tx1"/>
                  </w14:solidFill>
                </w14:textFill>
              </w:rPr>
              <w:t>类水环境功能区，评价区域内的地表水体为淮河（淮南段）和大涧沟，地表水体执行《地表水环境质量标准》（GB3838-2002）III类标准。根据淮南市生态环境局发布的《2024年淮南市生态环境质量状况公报》,2024年，全市地表水24个监测断面中优良水质比例为91.7%，比上年下降了4.1个百分点，IV类水质比例8.3%，总体水质状况优。8个国控断面中优良水质比例为87.5%，IV类水质比例12.5%，水质总体状况良好；11个省控断面中优良水质比例为90.9%，水质总体状况优。</w:t>
            </w:r>
          </w:p>
          <w:p w14:paraId="45E4E36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河流</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w:t>
            </w:r>
            <w:r>
              <w:rPr>
                <w:rFonts w:eastAsia="微软雅黑"/>
                <w:color w:val="000000" w:themeColor="text1"/>
                <w14:textFill>
                  <w14:solidFill>
                    <w14:schemeClr w14:val="tx1"/>
                  </w14:solidFill>
                </w14:textFill>
              </w:rPr>
              <w:t>Ⅲ</w:t>
            </w:r>
            <w:r>
              <w:rPr>
                <w:color w:val="000000" w:themeColor="text1"/>
                <w14:textFill>
                  <w14:solidFill>
                    <w14:schemeClr w14:val="tx1"/>
                  </w14:solidFill>
                </w14:textFill>
              </w:rPr>
              <w:t>类一II类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，五里闸</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II类一</w:t>
            </w:r>
            <w:r>
              <w:rPr>
                <w:rFonts w:eastAsia="微软雅黑"/>
                <w:color w:val="000000" w:themeColor="text1"/>
                <w14:textFill>
                  <w14:solidFill>
                    <w14:schemeClr w14:val="tx1"/>
                  </w14:solidFill>
                </w14:textFill>
              </w:rPr>
              <w:t>Ⅲ</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和西淝河闸下</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II类一</w:t>
            </w:r>
            <w:r>
              <w:rPr>
                <w:rFonts w:eastAsia="微软雅黑"/>
                <w:color w:val="000000" w:themeColor="text1"/>
                <w14:textFill>
                  <w14:solidFill>
                    <w14:schemeClr w14:val="tx1"/>
                  </w14:solidFill>
                </w14:textFill>
              </w:rPr>
              <w:t>Ⅲ</w:t>
            </w:r>
            <w:r>
              <w:rPr>
                <w:color w:val="000000" w:themeColor="text1"/>
                <w14:textFill>
                  <w14:solidFill>
                    <w14:schemeClr w14:val="tx1"/>
                  </w14:solidFill>
                </w14:textFill>
              </w:rPr>
              <w:t>类</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水质均有所下降，其他断面水质保持稳定。</w:t>
            </w:r>
          </w:p>
          <w:p w14:paraId="78F5E57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湖库：瓦埠湖和焦岗湖点位水质年均值符合II类标准，水质状况为良好；高塘湖和安丰塘点位水质年均值符合IV类标准，水质轻度污染，主要污染指标为总磷。安丰塘营养状态为中营养，焦岗湖、高塘湖和瓦埠湖营养状态均为轻度富营养。与上年相比，安丰塘点位水质类别由II类下降为IV类，瓦埠湖、高塘湖和焦岗湖点位水质类别保持稳定。</w:t>
            </w:r>
          </w:p>
          <w:p w14:paraId="0C705B9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综上，项目所在区域地表水淮河环境质量总体满足《地表水环境质量标准》（GB3838-2002）</w:t>
            </w:r>
            <w:r>
              <w:rPr>
                <w:rFonts w:eastAsia="微软雅黑"/>
                <w:color w:val="000000" w:themeColor="text1"/>
                <w14:textFill>
                  <w14:solidFill>
                    <w14:schemeClr w14:val="tx1"/>
                  </w14:solidFill>
                </w14:textFill>
              </w:rPr>
              <w:t>Ⅲ</w:t>
            </w:r>
            <w:r>
              <w:rPr>
                <w:rFonts w:hint="eastAsia"/>
                <w:color w:val="000000" w:themeColor="text1"/>
                <w14:textFill>
                  <w14:solidFill>
                    <w14:schemeClr w14:val="tx1"/>
                  </w14:solidFill>
                </w14:textFill>
              </w:rPr>
              <w:t>类标准，地表水水质良好。</w:t>
            </w:r>
          </w:p>
          <w:p w14:paraId="4D76C8EF">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3.1.3</w:t>
            </w:r>
            <w:r>
              <w:rPr>
                <w:b/>
                <w:bCs/>
                <w:color w:val="000000" w:themeColor="text1"/>
                <w14:textFill>
                  <w14:solidFill>
                    <w14:schemeClr w14:val="tx1"/>
                  </w14:solidFill>
                </w14:textFill>
              </w:rPr>
              <w:t>声环境质量现状</w:t>
            </w:r>
          </w:p>
          <w:p w14:paraId="6107562F">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根据《建设项目环境影响报告表编制技术指南》（污染影响类）（试行），结合现场踏勘，项目厂界外50m范围内无声环境保护目标，无需开展声环境质量现状监测。</w:t>
            </w:r>
          </w:p>
          <w:p w14:paraId="71822F5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照《淮南市中心城区声环境功能区划分方案》（2021年），本项目及声环境保护目标位于3类声环境功能区，项目营运期所在区域声环境和声环境保护目标执行《声环境质量标准》（GB3096-2008）声环境功能区3类区标准；具体标准值见下表。本项目及声环境保护目标声功能区划图见下图。</w:t>
            </w:r>
          </w:p>
          <w:p w14:paraId="2A5F6737">
            <w:pPr>
              <w:jc w:val="center"/>
              <w:rPr>
                <w:color w:val="000000" w:themeColor="text1"/>
                <w14:textFill>
                  <w14:solidFill>
                    <w14:schemeClr w14:val="tx1"/>
                  </w14:solidFill>
                </w14:textFill>
              </w:rPr>
            </w:pPr>
            <w:r>
              <w:rPr>
                <w:b/>
                <w:bCs/>
                <w:color w:val="000000" w:themeColor="text1"/>
                <w:lang w:bidi="ar"/>
                <w14:textFill>
                  <w14:solidFill>
                    <w14:schemeClr w14:val="tx1"/>
                  </w14:solidFill>
                </w14:textFill>
              </w:rPr>
              <w:t>表3</w:t>
            </w:r>
            <w:r>
              <w:rPr>
                <w:rFonts w:hint="eastAsia"/>
                <w:b/>
                <w:bCs/>
                <w:color w:val="000000" w:themeColor="text1"/>
                <w:lang w:bidi="ar"/>
                <w14:textFill>
                  <w14:solidFill>
                    <w14:schemeClr w14:val="tx1"/>
                  </w14:solidFill>
                </w14:textFill>
              </w:rPr>
              <w:t>.1.3</w:t>
            </w:r>
            <w:r>
              <w:rPr>
                <w:b/>
                <w:bCs/>
                <w:color w:val="000000" w:themeColor="text1"/>
                <w:lang w:bidi="ar"/>
                <w14:textFill>
                  <w14:solidFill>
                    <w14:schemeClr w14:val="tx1"/>
                  </w14:solidFill>
                </w14:textFill>
              </w:rPr>
              <w:t>-</w:t>
            </w:r>
            <w:r>
              <w:rPr>
                <w:rFonts w:hint="eastAsia"/>
                <w:b/>
                <w:bCs/>
                <w:color w:val="000000" w:themeColor="text1"/>
                <w:lang w:bidi="ar"/>
                <w14:textFill>
                  <w14:solidFill>
                    <w14:schemeClr w14:val="tx1"/>
                  </w14:solidFill>
                </w14:textFill>
              </w:rPr>
              <w:t xml:space="preserve">1  </w:t>
            </w:r>
            <w:r>
              <w:rPr>
                <w:rFonts w:hint="eastAsia" w:cs="宋体"/>
                <w:b/>
                <w:bCs/>
                <w:color w:val="000000" w:themeColor="text1"/>
                <w:lang w:val="zh-CN" w:bidi="zh-CN"/>
                <w14:textFill>
                  <w14:solidFill>
                    <w14:schemeClr w14:val="tx1"/>
                  </w14:solidFill>
                </w14:textFill>
              </w:rPr>
              <w:t>《声环境质量标准》（GB3096-2008）单位:dB（A）</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2229"/>
              <w:gridCol w:w="2150"/>
              <w:gridCol w:w="1905"/>
            </w:tblGrid>
            <w:tr w14:paraId="1BD58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83" w:type="pct"/>
                  <w:gridSpan w:val="2"/>
                  <w:vAlign w:val="center"/>
                </w:tcPr>
                <w:p w14:paraId="2907627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标准类别</w:t>
                  </w:r>
                </w:p>
              </w:tc>
              <w:tc>
                <w:tcPr>
                  <w:tcW w:w="1334" w:type="pct"/>
                  <w:vAlign w:val="center"/>
                </w:tcPr>
                <w:p w14:paraId="1B58BBD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昼间dB（A）</w:t>
                  </w:r>
                </w:p>
              </w:tc>
              <w:tc>
                <w:tcPr>
                  <w:tcW w:w="1182" w:type="pct"/>
                  <w:vAlign w:val="center"/>
                </w:tcPr>
                <w:p w14:paraId="362A9CF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夜间dB（A）</w:t>
                  </w:r>
                </w:p>
              </w:tc>
            </w:tr>
            <w:tr w14:paraId="5E665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0" w:type="pct"/>
                  <w:vAlign w:val="center"/>
                </w:tcPr>
                <w:p w14:paraId="68ED2AB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环境噪声</w:t>
                  </w:r>
                </w:p>
              </w:tc>
              <w:tc>
                <w:tcPr>
                  <w:tcW w:w="1383" w:type="pct"/>
                  <w:vAlign w:val="center"/>
                </w:tcPr>
                <w:p w14:paraId="6D8D61D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3类标准</w:t>
                  </w:r>
                </w:p>
              </w:tc>
              <w:tc>
                <w:tcPr>
                  <w:tcW w:w="1334" w:type="pct"/>
                  <w:vAlign w:val="center"/>
                </w:tcPr>
                <w:p w14:paraId="63EF2C0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65</w:t>
                  </w:r>
                </w:p>
              </w:tc>
              <w:tc>
                <w:tcPr>
                  <w:tcW w:w="1182" w:type="pct"/>
                  <w:vAlign w:val="center"/>
                </w:tcPr>
                <w:p w14:paraId="6978E7E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55</w:t>
                  </w:r>
                </w:p>
              </w:tc>
            </w:tr>
            <w:tr w14:paraId="76D8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00" w:type="pct"/>
                  <w:vAlign w:val="center"/>
                </w:tcPr>
                <w:p w14:paraId="165941B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标准来源</w:t>
                  </w:r>
                </w:p>
              </w:tc>
              <w:tc>
                <w:tcPr>
                  <w:tcW w:w="3899" w:type="pct"/>
                  <w:gridSpan w:val="3"/>
                  <w:vAlign w:val="center"/>
                </w:tcPr>
                <w:p w14:paraId="793B668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《声环境质量标准》（GB3096-2008）</w:t>
                  </w:r>
                </w:p>
              </w:tc>
            </w:tr>
          </w:tbl>
          <w:p w14:paraId="76B0D8E1">
            <w:pPr>
              <w:pStyle w:val="7"/>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026660" cy="4044315"/>
                  <wp:effectExtent l="0" t="0" r="0" b="0"/>
                  <wp:docPr id="3" name="图片 3" descr="声音功能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声音功能区(1)"/>
                          <pic:cNvPicPr>
                            <a:picLocks noChangeAspect="1"/>
                          </pic:cNvPicPr>
                        </pic:nvPicPr>
                        <pic:blipFill>
                          <a:blip r:embed="rId20"/>
                          <a:srcRect t="5498" b="44899"/>
                          <a:stretch>
                            <a:fillRect/>
                          </a:stretch>
                        </pic:blipFill>
                        <pic:spPr>
                          <a:xfrm>
                            <a:off x="0" y="0"/>
                            <a:ext cx="5026660" cy="4044315"/>
                          </a:xfrm>
                          <a:prstGeom prst="rect">
                            <a:avLst/>
                          </a:prstGeom>
                        </pic:spPr>
                      </pic:pic>
                    </a:graphicData>
                  </a:graphic>
                </wp:inline>
              </w:drawing>
            </w:r>
          </w:p>
          <w:p w14:paraId="797D2F30">
            <w:pPr>
              <w:pStyle w:val="7"/>
              <w:spacing w:before="0" w:after="0" w:line="360" w:lineRule="auto"/>
              <w:jc w:val="center"/>
              <w:rPr>
                <w:color w:val="000000" w:themeColor="text1"/>
                <w14:textFill>
                  <w14:solidFill>
                    <w14:schemeClr w14:val="tx1"/>
                  </w14:solidFill>
                </w14:textFill>
              </w:rPr>
            </w:pPr>
            <w:r>
              <w:rPr>
                <w:b/>
                <w:color w:val="000000" w:themeColor="text1"/>
                <w:sz w:val="24"/>
                <w:szCs w:val="24"/>
                <w14:textFill>
                  <w14:solidFill>
                    <w14:schemeClr w14:val="tx1"/>
                  </w14:solidFill>
                </w14:textFill>
              </w:rPr>
              <w:t>图3</w:t>
            </w:r>
            <w:r>
              <w:rPr>
                <w:rFonts w:hint="eastAsia"/>
                <w:b/>
                <w:color w:val="000000" w:themeColor="text1"/>
                <w:sz w:val="24"/>
                <w:szCs w:val="24"/>
                <w14:textFill>
                  <w14:solidFill>
                    <w14:schemeClr w14:val="tx1"/>
                  </w14:solidFill>
                </w14:textFill>
              </w:rPr>
              <w:t>.1.3</w:t>
            </w:r>
            <w:r>
              <w:rPr>
                <w:b/>
                <w:color w:val="000000" w:themeColor="text1"/>
                <w:sz w:val="24"/>
                <w:szCs w:val="24"/>
                <w14:textFill>
                  <w14:solidFill>
                    <w14:schemeClr w14:val="tx1"/>
                  </w14:solidFill>
                </w14:textFill>
              </w:rPr>
              <w:t xml:space="preserve">-1 </w:t>
            </w:r>
            <w:r>
              <w:rPr>
                <w:rFonts w:hint="eastAsia"/>
                <w:b/>
                <w:color w:val="000000" w:themeColor="text1"/>
                <w:sz w:val="24"/>
                <w:szCs w:val="24"/>
                <w14:textFill>
                  <w14:solidFill>
                    <w14:schemeClr w14:val="tx1"/>
                  </w14:solidFill>
                </w14:textFill>
              </w:rPr>
              <w:t xml:space="preserve"> 本项目及声环境保护目标声功能区划图</w:t>
            </w:r>
          </w:p>
          <w:p w14:paraId="52884397">
            <w:pPr>
              <w:adjustRightInd w:val="0"/>
              <w:snapToGrid w:val="0"/>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3.1.4</w:t>
            </w:r>
            <w:r>
              <w:rPr>
                <w:b/>
                <w:bCs/>
                <w:color w:val="000000" w:themeColor="text1"/>
                <w14:textFill>
                  <w14:solidFill>
                    <w14:schemeClr w14:val="tx1"/>
                  </w14:solidFill>
                </w14:textFill>
              </w:rPr>
              <w:t>生态环境质量现状</w:t>
            </w:r>
          </w:p>
          <w:p w14:paraId="5095DB23">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本项目位于淮南市经济技术开发区内，无生态环境保护目标，不需要进行生态现状调查。</w:t>
            </w:r>
          </w:p>
          <w:p w14:paraId="20049B0B">
            <w:pPr>
              <w:adjustRightInd w:val="0"/>
              <w:snapToGrid w:val="0"/>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3.1.5</w:t>
            </w:r>
            <w:r>
              <w:rPr>
                <w:b/>
                <w:bCs/>
                <w:color w:val="000000" w:themeColor="text1"/>
                <w14:textFill>
                  <w14:solidFill>
                    <w14:schemeClr w14:val="tx1"/>
                  </w14:solidFill>
                </w14:textFill>
              </w:rPr>
              <w:t>电磁辐射质量现状</w:t>
            </w:r>
          </w:p>
          <w:p w14:paraId="6BBCB9DA">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本项目不涉及电磁辐射。</w:t>
            </w:r>
          </w:p>
          <w:p w14:paraId="4232DDA0">
            <w:pPr>
              <w:adjustRightInd w:val="0"/>
              <w:snapToGrid w:val="0"/>
              <w:spacing w:line="360" w:lineRule="auto"/>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3.1.6</w:t>
            </w:r>
            <w:r>
              <w:rPr>
                <w:b/>
                <w:bCs/>
                <w:color w:val="000000" w:themeColor="text1"/>
                <w14:textFill>
                  <w14:solidFill>
                    <w14:schemeClr w14:val="tx1"/>
                  </w14:solidFill>
                </w14:textFill>
              </w:rPr>
              <w:t>地下水、土壤环境质量现状</w:t>
            </w:r>
          </w:p>
          <w:p w14:paraId="346D1FA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根据《建设项目环境影响报告表编制技术指南（污染影响类）（试行）》中要求，原则上不开展地下水和土壤环境质量现状调查。本项目危废暂存间</w:t>
            </w:r>
            <w:r>
              <w:rPr>
                <w:rFonts w:hint="eastAsia"/>
                <w:color w:val="000000" w:themeColor="text1"/>
                <w:lang w:val="en-US" w:eastAsia="zh-CN"/>
                <w14:textFill>
                  <w14:solidFill>
                    <w14:schemeClr w14:val="tx1"/>
                  </w14:solidFill>
                </w14:textFill>
              </w:rPr>
              <w:t>初期雨水池、事故应急池、油类存放区</w:t>
            </w:r>
            <w:r>
              <w:rPr>
                <w:rFonts w:hint="eastAsia"/>
                <w:color w:val="000000" w:themeColor="text1"/>
                <w14:textFill>
                  <w14:solidFill>
                    <w14:schemeClr w14:val="tx1"/>
                  </w14:solidFill>
                </w14:textFill>
              </w:rPr>
              <w:t>为重点防渗区，一般固废暂存间、厂房地面、化粪池为一般防渗区，其他区域为简单防渗区，基本上不存在地下水和土壤污染途径。因此，本次不开展地下水和土壤环境现状监测。</w:t>
            </w:r>
          </w:p>
          <w:p w14:paraId="7F1289DE">
            <w:pPr>
              <w:spacing w:line="360" w:lineRule="auto"/>
              <w:ind w:firstLine="0" w:firstLineChars="0"/>
              <w:rPr>
                <w:color w:val="000000" w:themeColor="text1"/>
                <w:kern w:val="0"/>
                <w14:textFill>
                  <w14:solidFill>
                    <w14:schemeClr w14:val="tx1"/>
                  </w14:solidFill>
                </w14:textFill>
              </w:rPr>
            </w:pPr>
          </w:p>
        </w:tc>
      </w:tr>
      <w:tr w14:paraId="3FC02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2" w:hRule="atLeast"/>
          <w:jc w:val="center"/>
        </w:trPr>
        <w:tc>
          <w:tcPr>
            <w:tcW w:w="800" w:type="dxa"/>
            <w:vAlign w:val="center"/>
          </w:tcPr>
          <w:p w14:paraId="050E9EA3">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环境保护目标</w:t>
            </w:r>
          </w:p>
        </w:tc>
        <w:tc>
          <w:tcPr>
            <w:tcW w:w="8194" w:type="dxa"/>
            <w:vAlign w:val="center"/>
          </w:tcPr>
          <w:p w14:paraId="1CE8924F">
            <w:pPr>
              <w:adjustRightInd w:val="0"/>
              <w:snapToGrid w:val="0"/>
              <w:spacing w:line="360" w:lineRule="auto"/>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3.2项目环境保护目标</w:t>
            </w:r>
          </w:p>
          <w:p w14:paraId="214191EE">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3.2.1</w:t>
            </w:r>
            <w:r>
              <w:rPr>
                <w:b/>
                <w:bCs/>
                <w:color w:val="000000" w:themeColor="text1"/>
                <w:kern w:val="0"/>
                <w14:textFill>
                  <w14:solidFill>
                    <w14:schemeClr w14:val="tx1"/>
                  </w14:solidFill>
                </w14:textFill>
              </w:rPr>
              <w:t>大气环境</w:t>
            </w:r>
          </w:p>
          <w:p w14:paraId="6B8817E6">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本项目厂界外500m范围内无自然保护区、风景名胜区和文物古迹等需要特殊保护的环境敏感对象，涉及3处居民保护目标，分别为：金鑫花园、农场一队以及文华东郡。</w:t>
            </w:r>
          </w:p>
          <w:p w14:paraId="5F09B47C">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3.2.2</w:t>
            </w:r>
            <w:r>
              <w:rPr>
                <w:b/>
                <w:bCs/>
                <w:color w:val="000000" w:themeColor="text1"/>
                <w:kern w:val="0"/>
                <w14:textFill>
                  <w14:solidFill>
                    <w14:schemeClr w14:val="tx1"/>
                  </w14:solidFill>
                </w14:textFill>
              </w:rPr>
              <w:t>地表水环境</w:t>
            </w:r>
          </w:p>
          <w:p w14:paraId="125DE279">
            <w:pPr>
              <w:adjustRightInd w:val="0"/>
              <w:snapToGrid w:val="0"/>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地表河流为淮河和大涧沟，区域河段为《地表水环境质量标准》（GB3838-2002）中</w:t>
            </w:r>
            <w:r>
              <w:rPr>
                <w:rFonts w:eastAsia="微软雅黑"/>
                <w:color w:val="000000" w:themeColor="text1"/>
                <w14:textFill>
                  <w14:solidFill>
                    <w14:schemeClr w14:val="tx1"/>
                  </w14:solidFill>
                </w14:textFill>
              </w:rPr>
              <w:t>Ⅲ</w:t>
            </w:r>
            <w:r>
              <w:rPr>
                <w:rFonts w:hint="eastAsia"/>
                <w:color w:val="000000" w:themeColor="text1"/>
                <w14:textFill>
                  <w14:solidFill>
                    <w14:schemeClr w14:val="tx1"/>
                  </w14:solidFill>
                </w14:textFill>
              </w:rPr>
              <w:t>类水功能区。</w:t>
            </w:r>
          </w:p>
          <w:p w14:paraId="36C6053D">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3.2.3</w:t>
            </w:r>
            <w:r>
              <w:rPr>
                <w:b/>
                <w:bCs/>
                <w:color w:val="000000" w:themeColor="text1"/>
                <w:kern w:val="0"/>
                <w14:textFill>
                  <w14:solidFill>
                    <w14:schemeClr w14:val="tx1"/>
                  </w14:solidFill>
                </w14:textFill>
              </w:rPr>
              <w:t>声环境</w:t>
            </w:r>
          </w:p>
          <w:p w14:paraId="65C3C15C">
            <w:pPr>
              <w:adjustRightInd w:val="0"/>
              <w:snapToGrid w:val="0"/>
              <w:spacing w:line="360" w:lineRule="auto"/>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本项目所在地为3类声环境功能区，区域声环境执行《声环境质量标准》（GB3096-2008）中的3类标准，厂界外50m范围内无声环境保护目标。</w:t>
            </w:r>
          </w:p>
          <w:p w14:paraId="21DDDC36">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3.2.4</w:t>
            </w:r>
            <w:r>
              <w:rPr>
                <w:b/>
                <w:bCs/>
                <w:color w:val="000000" w:themeColor="text1"/>
                <w:kern w:val="0"/>
                <w14:textFill>
                  <w14:solidFill>
                    <w14:schemeClr w14:val="tx1"/>
                  </w14:solidFill>
                </w14:textFill>
              </w:rPr>
              <w:t>地下水环境</w:t>
            </w:r>
          </w:p>
          <w:p w14:paraId="5755CBC6">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本项目厂界外500m范围内无地下水集中式饮用水水源和热水、矿泉水、温泉等特殊地下水资源。</w:t>
            </w:r>
          </w:p>
          <w:p w14:paraId="117741B3">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3.2.5生态</w:t>
            </w:r>
            <w:r>
              <w:rPr>
                <w:b/>
                <w:bCs/>
                <w:color w:val="000000" w:themeColor="text1"/>
                <w:kern w:val="0"/>
                <w14:textFill>
                  <w14:solidFill>
                    <w14:schemeClr w14:val="tx1"/>
                  </w14:solidFill>
                </w14:textFill>
              </w:rPr>
              <w:t>环境</w:t>
            </w:r>
          </w:p>
          <w:p w14:paraId="2720308B">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本项目位于淮南市经济技术开发区，用地范围现状内无生态环境保护目标，无需进行生态现状调查。</w:t>
            </w:r>
          </w:p>
          <w:p w14:paraId="18F30709">
            <w:pPr>
              <w:adjustRightInd w:val="0"/>
              <w:snapToGrid w:val="0"/>
              <w:spacing w:line="360" w:lineRule="auto"/>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3.2.6主要环境保护目标及分布情况</w:t>
            </w:r>
          </w:p>
          <w:p w14:paraId="3E61A32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本项目周围主要环境保护目标及分布情况见下表。</w:t>
            </w:r>
          </w:p>
          <w:p w14:paraId="42BC3867">
            <w:pPr>
              <w:spacing w:line="360" w:lineRule="auto"/>
              <w:ind w:firstLine="482" w:firstLineChars="200"/>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本项目主要</w:t>
            </w:r>
            <w:r>
              <w:rPr>
                <w:b/>
                <w:color w:val="000000" w:themeColor="text1"/>
                <w14:textFill>
                  <w14:solidFill>
                    <w14:schemeClr w14:val="tx1"/>
                  </w14:solidFill>
                </w14:textFill>
              </w:rPr>
              <w:t>环境保护目标一览表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5"/>
              <w:gridCol w:w="911"/>
              <w:gridCol w:w="1056"/>
              <w:gridCol w:w="903"/>
              <w:gridCol w:w="761"/>
              <w:gridCol w:w="835"/>
              <w:gridCol w:w="1633"/>
              <w:gridCol w:w="577"/>
              <w:gridCol w:w="643"/>
            </w:tblGrid>
            <w:tr w14:paraId="7735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restart"/>
                  <w:vAlign w:val="center"/>
                </w:tcPr>
                <w:p w14:paraId="49CC943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类别</w:t>
                  </w:r>
                </w:p>
              </w:tc>
              <w:tc>
                <w:tcPr>
                  <w:tcW w:w="581" w:type="pct"/>
                  <w:vMerge w:val="restart"/>
                  <w:vAlign w:val="center"/>
                </w:tcPr>
                <w:p w14:paraId="485F092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保护目标名称</w:t>
                  </w:r>
                </w:p>
              </w:tc>
              <w:tc>
                <w:tcPr>
                  <w:tcW w:w="1240" w:type="pct"/>
                  <w:gridSpan w:val="2"/>
                  <w:vAlign w:val="center"/>
                </w:tcPr>
                <w:p w14:paraId="00EEEAB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坐标</w:t>
                  </w:r>
                </w:p>
              </w:tc>
              <w:tc>
                <w:tcPr>
                  <w:tcW w:w="494" w:type="pct"/>
                  <w:vMerge w:val="restart"/>
                  <w:vAlign w:val="center"/>
                </w:tcPr>
                <w:p w14:paraId="68AF6E9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保护对象</w:t>
                  </w:r>
                </w:p>
              </w:tc>
              <w:tc>
                <w:tcPr>
                  <w:tcW w:w="533" w:type="pct"/>
                  <w:vMerge w:val="restart"/>
                  <w:vAlign w:val="center"/>
                </w:tcPr>
                <w:p w14:paraId="2D33216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保护内容</w:t>
                  </w:r>
                </w:p>
              </w:tc>
              <w:tc>
                <w:tcPr>
                  <w:tcW w:w="891" w:type="pct"/>
                  <w:vMerge w:val="restart"/>
                  <w:vAlign w:val="center"/>
                </w:tcPr>
                <w:p w14:paraId="1D9448D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环境功能区</w:t>
                  </w:r>
                </w:p>
              </w:tc>
              <w:tc>
                <w:tcPr>
                  <w:tcW w:w="373" w:type="pct"/>
                  <w:vMerge w:val="restart"/>
                  <w:vAlign w:val="center"/>
                </w:tcPr>
                <w:p w14:paraId="5CBB990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相对厂址方位</w:t>
                  </w:r>
                </w:p>
              </w:tc>
              <w:tc>
                <w:tcPr>
                  <w:tcW w:w="413" w:type="pct"/>
                  <w:vMerge w:val="restart"/>
                  <w:vAlign w:val="center"/>
                </w:tcPr>
                <w:p w14:paraId="23EA867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相对厂界距离（m）</w:t>
                  </w:r>
                </w:p>
              </w:tc>
            </w:tr>
            <w:tr w14:paraId="4519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continue"/>
                  <w:vAlign w:val="center"/>
                </w:tcPr>
                <w:p w14:paraId="5ED9FEA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581" w:type="pct"/>
                  <w:vMerge w:val="continue"/>
                  <w:vAlign w:val="center"/>
                </w:tcPr>
                <w:p w14:paraId="6C0A929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670" w:type="pct"/>
                  <w:vAlign w:val="center"/>
                </w:tcPr>
                <w:p w14:paraId="6CA6DA2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东经</w:t>
                  </w:r>
                </w:p>
              </w:tc>
              <w:tc>
                <w:tcPr>
                  <w:tcW w:w="570" w:type="pct"/>
                  <w:vAlign w:val="center"/>
                </w:tcPr>
                <w:p w14:paraId="580D3EC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北纬</w:t>
                  </w:r>
                </w:p>
              </w:tc>
              <w:tc>
                <w:tcPr>
                  <w:tcW w:w="494" w:type="pct"/>
                  <w:vMerge w:val="continue"/>
                  <w:vAlign w:val="center"/>
                </w:tcPr>
                <w:p w14:paraId="0F2E1BF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533" w:type="pct"/>
                  <w:vMerge w:val="continue"/>
                  <w:vAlign w:val="center"/>
                </w:tcPr>
                <w:p w14:paraId="76F33A4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891" w:type="pct"/>
                  <w:vMerge w:val="continue"/>
                  <w:vAlign w:val="center"/>
                </w:tcPr>
                <w:p w14:paraId="6C1093E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373" w:type="pct"/>
                  <w:vMerge w:val="continue"/>
                  <w:vAlign w:val="center"/>
                </w:tcPr>
                <w:p w14:paraId="53080A5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413" w:type="pct"/>
                  <w:vMerge w:val="continue"/>
                  <w:vAlign w:val="center"/>
                </w:tcPr>
                <w:p w14:paraId="7680C52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r>
            <w:tr w14:paraId="1B483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restart"/>
                  <w:vAlign w:val="center"/>
                </w:tcPr>
                <w:p w14:paraId="755019F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大气环境</w:t>
                  </w:r>
                </w:p>
              </w:tc>
              <w:tc>
                <w:tcPr>
                  <w:tcW w:w="581" w:type="pct"/>
                  <w:vAlign w:val="center"/>
                </w:tcPr>
                <w:p w14:paraId="1CFFFE8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金鑫花园</w:t>
                  </w:r>
                </w:p>
              </w:tc>
              <w:tc>
                <w:tcPr>
                  <w:tcW w:w="670" w:type="pct"/>
                  <w:vAlign w:val="center"/>
                </w:tcPr>
                <w:p w14:paraId="23D4621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117.097282</w:t>
                  </w:r>
                </w:p>
              </w:tc>
              <w:tc>
                <w:tcPr>
                  <w:tcW w:w="570" w:type="pct"/>
                  <w:vAlign w:val="center"/>
                </w:tcPr>
                <w:p w14:paraId="25C3555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32.651003</w:t>
                  </w:r>
                </w:p>
              </w:tc>
              <w:tc>
                <w:tcPr>
                  <w:tcW w:w="494" w:type="pct"/>
                  <w:vAlign w:val="center"/>
                </w:tcPr>
                <w:p w14:paraId="51AE77D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居民</w:t>
                  </w:r>
                </w:p>
              </w:tc>
              <w:tc>
                <w:tcPr>
                  <w:tcW w:w="533" w:type="pct"/>
                  <w:vAlign w:val="center"/>
                </w:tcPr>
                <w:p w14:paraId="2D37A57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200户/680人</w:t>
                  </w:r>
                </w:p>
              </w:tc>
              <w:tc>
                <w:tcPr>
                  <w:tcW w:w="891" w:type="pct"/>
                  <w:vMerge w:val="restart"/>
                  <w:vAlign w:val="center"/>
                </w:tcPr>
                <w:p w14:paraId="4AD432A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《环境空气质量标准》（GB3095-20</w:t>
                  </w:r>
                  <w:r>
                    <w:rPr>
                      <w:rFonts w:hint="eastAsia" w:ascii="Times New Roman" w:hAnsi="Times New Roman"/>
                      <w:color w:val="000000" w:themeColor="text1"/>
                      <w:sz w:val="21"/>
                      <w:szCs w:val="21"/>
                      <w:lang w:val="en-US" w:eastAsia="zh-CN"/>
                      <w14:textFill>
                        <w14:solidFill>
                          <w14:schemeClr w14:val="tx1"/>
                        </w14:solidFill>
                      </w14:textFill>
                    </w:rPr>
                    <w:t>26</w:t>
                  </w:r>
                  <w:r>
                    <w:rPr>
                      <w:rFonts w:hint="eastAsia" w:ascii="Times New Roman" w:hAnsi="Times New Roman"/>
                      <w:color w:val="000000" w:themeColor="text1"/>
                      <w:sz w:val="21"/>
                      <w:szCs w:val="21"/>
                      <w14:textFill>
                        <w14:solidFill>
                          <w14:schemeClr w14:val="tx1"/>
                        </w14:solidFill>
                      </w14:textFill>
                    </w:rPr>
                    <w:t>）二类区</w:t>
                  </w:r>
                </w:p>
              </w:tc>
              <w:tc>
                <w:tcPr>
                  <w:tcW w:w="373" w:type="pct"/>
                  <w:vAlign w:val="center"/>
                </w:tcPr>
                <w:p w14:paraId="49A7274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SE</w:t>
                  </w:r>
                </w:p>
              </w:tc>
              <w:tc>
                <w:tcPr>
                  <w:tcW w:w="413" w:type="pct"/>
                  <w:vAlign w:val="center"/>
                </w:tcPr>
                <w:p w14:paraId="2C99972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458</w:t>
                  </w:r>
                </w:p>
              </w:tc>
            </w:tr>
            <w:tr w14:paraId="7F613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continue"/>
                  <w:vAlign w:val="center"/>
                </w:tcPr>
                <w:p w14:paraId="3CAEC92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581" w:type="pct"/>
                  <w:vAlign w:val="center"/>
                </w:tcPr>
                <w:p w14:paraId="186792A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农场一队</w:t>
                  </w:r>
                </w:p>
              </w:tc>
              <w:tc>
                <w:tcPr>
                  <w:tcW w:w="670" w:type="pct"/>
                  <w:vAlign w:val="center"/>
                </w:tcPr>
                <w:p w14:paraId="5872781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117.094567</w:t>
                  </w:r>
                </w:p>
              </w:tc>
              <w:tc>
                <w:tcPr>
                  <w:tcW w:w="570" w:type="pct"/>
                  <w:vAlign w:val="center"/>
                </w:tcPr>
                <w:p w14:paraId="3A771A7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32.650928</w:t>
                  </w:r>
                </w:p>
              </w:tc>
              <w:tc>
                <w:tcPr>
                  <w:tcW w:w="494" w:type="pct"/>
                  <w:vAlign w:val="center"/>
                </w:tcPr>
                <w:p w14:paraId="063F6C4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居民</w:t>
                  </w:r>
                </w:p>
              </w:tc>
              <w:tc>
                <w:tcPr>
                  <w:tcW w:w="533" w:type="pct"/>
                  <w:vAlign w:val="center"/>
                </w:tcPr>
                <w:p w14:paraId="4A2A7F5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100户/330人</w:t>
                  </w:r>
                </w:p>
              </w:tc>
              <w:tc>
                <w:tcPr>
                  <w:tcW w:w="891" w:type="pct"/>
                  <w:vMerge w:val="continue"/>
                  <w:vAlign w:val="center"/>
                </w:tcPr>
                <w:p w14:paraId="5B65183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373" w:type="pct"/>
                  <w:vAlign w:val="center"/>
                </w:tcPr>
                <w:p w14:paraId="505F7C8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SE</w:t>
                  </w:r>
                </w:p>
              </w:tc>
              <w:tc>
                <w:tcPr>
                  <w:tcW w:w="413" w:type="pct"/>
                  <w:vAlign w:val="center"/>
                </w:tcPr>
                <w:p w14:paraId="7A3932D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136</w:t>
                  </w:r>
                </w:p>
              </w:tc>
            </w:tr>
            <w:tr w14:paraId="2E0FF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continue"/>
                  <w:vAlign w:val="center"/>
                </w:tcPr>
                <w:p w14:paraId="4E977E3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581" w:type="pct"/>
                  <w:vAlign w:val="center"/>
                </w:tcPr>
                <w:p w14:paraId="24D2607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文华东郡</w:t>
                  </w:r>
                </w:p>
              </w:tc>
              <w:tc>
                <w:tcPr>
                  <w:tcW w:w="670" w:type="pct"/>
                  <w:vAlign w:val="center"/>
                </w:tcPr>
                <w:p w14:paraId="35CCB16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117.088798</w:t>
                  </w:r>
                </w:p>
              </w:tc>
              <w:tc>
                <w:tcPr>
                  <w:tcW w:w="570" w:type="pct"/>
                  <w:vAlign w:val="center"/>
                </w:tcPr>
                <w:p w14:paraId="08BF221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32.649887</w:t>
                  </w:r>
                </w:p>
              </w:tc>
              <w:tc>
                <w:tcPr>
                  <w:tcW w:w="494" w:type="pct"/>
                  <w:vAlign w:val="center"/>
                </w:tcPr>
                <w:p w14:paraId="278B025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居民</w:t>
                  </w:r>
                </w:p>
              </w:tc>
              <w:tc>
                <w:tcPr>
                  <w:tcW w:w="533" w:type="pct"/>
                  <w:vAlign w:val="center"/>
                </w:tcPr>
                <w:p w14:paraId="1AE518A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在建</w:t>
                  </w:r>
                </w:p>
              </w:tc>
              <w:tc>
                <w:tcPr>
                  <w:tcW w:w="891" w:type="pct"/>
                  <w:vMerge w:val="continue"/>
                  <w:vAlign w:val="center"/>
                </w:tcPr>
                <w:p w14:paraId="61F0554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373" w:type="pct"/>
                  <w:vAlign w:val="center"/>
                </w:tcPr>
                <w:p w14:paraId="5C035F2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S</w:t>
                  </w:r>
                </w:p>
              </w:tc>
              <w:tc>
                <w:tcPr>
                  <w:tcW w:w="413" w:type="pct"/>
                  <w:vAlign w:val="center"/>
                </w:tcPr>
                <w:p w14:paraId="0865378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292</w:t>
                  </w:r>
                </w:p>
              </w:tc>
            </w:tr>
            <w:tr w14:paraId="2B22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restart"/>
                  <w:vAlign w:val="center"/>
                </w:tcPr>
                <w:p w14:paraId="3533515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地表水环境</w:t>
                  </w:r>
                </w:p>
              </w:tc>
              <w:tc>
                <w:tcPr>
                  <w:tcW w:w="1252" w:type="pct"/>
                  <w:gridSpan w:val="2"/>
                  <w:vAlign w:val="center"/>
                </w:tcPr>
                <w:p w14:paraId="0CC3F6A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淮河</w:t>
                  </w:r>
                </w:p>
              </w:tc>
              <w:tc>
                <w:tcPr>
                  <w:tcW w:w="1598" w:type="pct"/>
                  <w:gridSpan w:val="3"/>
                  <w:vAlign w:val="center"/>
                </w:tcPr>
                <w:p w14:paraId="54DB520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大型河流</w:t>
                  </w:r>
                </w:p>
              </w:tc>
              <w:tc>
                <w:tcPr>
                  <w:tcW w:w="891" w:type="pct"/>
                  <w:vAlign w:val="center"/>
                </w:tcPr>
                <w:p w14:paraId="7CE6575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Ⅲ类</w:t>
                  </w:r>
                </w:p>
              </w:tc>
              <w:tc>
                <w:tcPr>
                  <w:tcW w:w="373" w:type="pct"/>
                  <w:vAlign w:val="center"/>
                </w:tcPr>
                <w:p w14:paraId="2BB28AE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N</w:t>
                  </w:r>
                </w:p>
              </w:tc>
              <w:tc>
                <w:tcPr>
                  <w:tcW w:w="413" w:type="pct"/>
                  <w:vAlign w:val="center"/>
                </w:tcPr>
                <w:p w14:paraId="7B87FDD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4411</w:t>
                  </w:r>
                </w:p>
              </w:tc>
            </w:tr>
            <w:tr w14:paraId="22BD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Merge w:val="continue"/>
                  <w:vAlign w:val="center"/>
                </w:tcPr>
                <w:p w14:paraId="71071E4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252" w:type="pct"/>
                  <w:gridSpan w:val="2"/>
                  <w:vAlign w:val="center"/>
                </w:tcPr>
                <w:p w14:paraId="39211B0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大涧沟</w:t>
                  </w:r>
                </w:p>
              </w:tc>
              <w:tc>
                <w:tcPr>
                  <w:tcW w:w="1598" w:type="pct"/>
                  <w:gridSpan w:val="3"/>
                  <w:vAlign w:val="center"/>
                </w:tcPr>
                <w:p w14:paraId="4616ACF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小型河流</w:t>
                  </w:r>
                </w:p>
              </w:tc>
              <w:tc>
                <w:tcPr>
                  <w:tcW w:w="891" w:type="pct"/>
                  <w:vAlign w:val="center"/>
                </w:tcPr>
                <w:p w14:paraId="6EF750C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Ⅲ类</w:t>
                  </w:r>
                </w:p>
              </w:tc>
              <w:tc>
                <w:tcPr>
                  <w:tcW w:w="373" w:type="pct"/>
                  <w:vAlign w:val="center"/>
                </w:tcPr>
                <w:p w14:paraId="20E1FD1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w:t>
                  </w:r>
                </w:p>
              </w:tc>
              <w:tc>
                <w:tcPr>
                  <w:tcW w:w="413" w:type="pct"/>
                  <w:vAlign w:val="center"/>
                </w:tcPr>
                <w:p w14:paraId="18B63FE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1205</w:t>
                  </w:r>
                </w:p>
              </w:tc>
            </w:tr>
            <w:tr w14:paraId="2E8B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Align w:val="center"/>
                </w:tcPr>
                <w:p w14:paraId="59BAFD1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声环境</w:t>
                  </w:r>
                </w:p>
              </w:tc>
              <w:tc>
                <w:tcPr>
                  <w:tcW w:w="4527" w:type="pct"/>
                  <w:gridSpan w:val="8"/>
                  <w:vAlign w:val="center"/>
                </w:tcPr>
                <w:p w14:paraId="758C9DB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厂界外50m范围内无声环境保护目标。</w:t>
                  </w:r>
                </w:p>
              </w:tc>
            </w:tr>
            <w:tr w14:paraId="7D2E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72" w:type="pct"/>
                  <w:vAlign w:val="center"/>
                </w:tcPr>
                <w:p w14:paraId="383140A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地下水环境</w:t>
                  </w:r>
                </w:p>
              </w:tc>
              <w:tc>
                <w:tcPr>
                  <w:tcW w:w="4527" w:type="pct"/>
                  <w:gridSpan w:val="8"/>
                  <w:vAlign w:val="center"/>
                </w:tcPr>
                <w:p w14:paraId="548B404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厂界外500m无地下水集中式饮用水水源和热水、矿泉水、温泉等特殊地下水资源。</w:t>
                  </w:r>
                </w:p>
              </w:tc>
            </w:tr>
            <w:tr w14:paraId="2CB2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5" w:hRule="atLeast"/>
                <w:jc w:val="center"/>
              </w:trPr>
              <w:tc>
                <w:tcPr>
                  <w:tcW w:w="472" w:type="pct"/>
                  <w:vAlign w:val="center"/>
                </w:tcPr>
                <w:p w14:paraId="09C0D2F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生态环境</w:t>
                  </w:r>
                </w:p>
              </w:tc>
              <w:tc>
                <w:tcPr>
                  <w:tcW w:w="4527" w:type="pct"/>
                  <w:gridSpan w:val="8"/>
                  <w:vAlign w:val="center"/>
                </w:tcPr>
                <w:p w14:paraId="456AC91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本项目位于淮南市经济技术开发区，用地范围现状内无生态环境保护目标</w:t>
                  </w:r>
                </w:p>
              </w:tc>
            </w:tr>
          </w:tbl>
          <w:p w14:paraId="4E5634C7">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114925" cy="3619500"/>
                  <wp:effectExtent l="0" t="0" r="9525" b="0"/>
                  <wp:docPr id="4" name="图片 4" descr="C:/Users/SAMSUNG/Desktop/001淮南电缆项目/003环境保护目标图.jpg003环境保护目标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SAMSUNG/Desktop/001淮南电缆项目/003环境保护目标图.jpg003环境保护目标图"/>
                          <pic:cNvPicPr>
                            <a:picLocks noChangeAspect="1"/>
                          </pic:cNvPicPr>
                        </pic:nvPicPr>
                        <pic:blipFill>
                          <a:blip r:embed="rId21"/>
                          <a:srcRect t="6" b="6"/>
                          <a:stretch>
                            <a:fillRect/>
                          </a:stretch>
                        </pic:blipFill>
                        <pic:spPr>
                          <a:xfrm>
                            <a:off x="0" y="0"/>
                            <a:ext cx="5114925" cy="3619500"/>
                          </a:xfrm>
                          <a:prstGeom prst="rect">
                            <a:avLst/>
                          </a:prstGeom>
                        </pic:spPr>
                      </pic:pic>
                    </a:graphicData>
                  </a:graphic>
                </wp:inline>
              </w:drawing>
            </w:r>
          </w:p>
          <w:p w14:paraId="5C33869D">
            <w:pPr>
              <w:pStyle w:val="7"/>
              <w:spacing w:before="0" w:after="0" w:line="360" w:lineRule="auto"/>
              <w:jc w:val="center"/>
              <w:rPr>
                <w:color w:val="000000" w:themeColor="text1"/>
                <w14:textFill>
                  <w14:solidFill>
                    <w14:schemeClr w14:val="tx1"/>
                  </w14:solidFill>
                </w14:textFill>
              </w:rPr>
            </w:pPr>
            <w:r>
              <w:rPr>
                <w:b/>
                <w:color w:val="000000" w:themeColor="text1"/>
                <w:sz w:val="24"/>
                <w:szCs w:val="24"/>
                <w14:textFill>
                  <w14:solidFill>
                    <w14:schemeClr w14:val="tx1"/>
                  </w14:solidFill>
                </w14:textFill>
              </w:rPr>
              <w:t>图3</w:t>
            </w:r>
            <w:r>
              <w:rPr>
                <w:rFonts w:hint="eastAsia"/>
                <w:b/>
                <w:color w:val="000000" w:themeColor="text1"/>
                <w:sz w:val="24"/>
                <w:szCs w:val="24"/>
                <w14:textFill>
                  <w14:solidFill>
                    <w14:schemeClr w14:val="tx1"/>
                  </w14:solidFill>
                </w14:textFill>
              </w:rPr>
              <w:t>.2.6</w:t>
            </w:r>
            <w:r>
              <w:rPr>
                <w:b/>
                <w:color w:val="000000" w:themeColor="text1"/>
                <w:sz w:val="24"/>
                <w:szCs w:val="24"/>
                <w14:textFill>
                  <w14:solidFill>
                    <w14:schemeClr w14:val="tx1"/>
                  </w14:solidFill>
                </w14:textFill>
              </w:rPr>
              <w:t xml:space="preserve">-1 </w:t>
            </w:r>
            <w:r>
              <w:rPr>
                <w:rFonts w:hint="eastAsia"/>
                <w:b/>
                <w:color w:val="000000" w:themeColor="text1"/>
                <w:sz w:val="24"/>
                <w:szCs w:val="24"/>
                <w14:textFill>
                  <w14:solidFill>
                    <w14:schemeClr w14:val="tx1"/>
                  </w14:solidFill>
                </w14:textFill>
              </w:rPr>
              <w:t xml:space="preserve"> 本项目环境保护目标分布图</w:t>
            </w:r>
          </w:p>
        </w:tc>
      </w:tr>
      <w:tr w14:paraId="27EB3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800" w:type="dxa"/>
            <w:vAlign w:val="center"/>
          </w:tcPr>
          <w:p w14:paraId="4A294974">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污染物排放控制标准</w:t>
            </w:r>
          </w:p>
        </w:tc>
        <w:tc>
          <w:tcPr>
            <w:tcW w:w="8194" w:type="dxa"/>
            <w:vAlign w:val="center"/>
          </w:tcPr>
          <w:p w14:paraId="2CF3D284">
            <w:pPr>
              <w:pStyle w:val="5"/>
              <w:keepNext/>
              <w:spacing w:before="0"/>
              <w:jc w:val="both"/>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3.3污染物排放控制标准</w:t>
            </w:r>
          </w:p>
          <w:p w14:paraId="20DFD098">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3.3.1废水</w:t>
            </w:r>
          </w:p>
          <w:p w14:paraId="45522B5D">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本项目生产工艺主要为物理加工，除少量循环冷却水系统</w:t>
            </w:r>
            <w:r>
              <w:rPr>
                <w:rFonts w:hint="eastAsia" w:eastAsia="宋体"/>
                <w:color w:val="000000" w:themeColor="text1"/>
                <w:szCs w:val="24"/>
                <w:lang w:eastAsia="zh-CN"/>
                <w14:textFill>
                  <w14:solidFill>
                    <w14:schemeClr w14:val="tx1"/>
                  </w14:solidFill>
                </w14:textFill>
              </w:rPr>
              <w:t>、</w:t>
            </w:r>
            <w:r>
              <w:rPr>
                <w:rFonts w:hint="eastAsia" w:eastAsia="宋体"/>
                <w:color w:val="000000" w:themeColor="text1"/>
                <w:szCs w:val="24"/>
                <w:lang w:val="en-US" w:eastAsia="zh-CN"/>
                <w14:textFill>
                  <w14:solidFill>
                    <w14:schemeClr w14:val="tx1"/>
                  </w14:solidFill>
                </w14:textFill>
              </w:rPr>
              <w:t>喷淋塔</w:t>
            </w:r>
            <w:r>
              <w:rPr>
                <w:rFonts w:hint="eastAsia" w:eastAsia="宋体"/>
                <w:color w:val="000000" w:themeColor="text1"/>
                <w:szCs w:val="24"/>
                <w14:textFill>
                  <w14:solidFill>
                    <w14:schemeClr w14:val="tx1"/>
                  </w14:solidFill>
                </w14:textFill>
              </w:rPr>
              <w:t>外排水外，无工业工艺废水外排，本项目废水主要为生活污水，其中食堂含油废水经隔油池处理，厕所污水经化粪池处理后排放，企业废水总排口应满足《合成树脂工业污染物排放标准》（GB 31572-2015，含2024年修改单）标准要求，同时满足经开区接管标准《关于发布淮南经开区企业生产废水排放限值的通知》（2021年1月19日）中相关排放限值，接管标准中未涉及的污染因子参照执行《污水排入城镇下水道水质标准》（GB/T 31962-2015）；处理达标后排入市政污水管网，进入淮南经济技术开发区污水处理厂。淮南经济技术开发区工业污水处理厂尾水外排执行《城镇污水处理厂污染物排放标准》（GB18918-2002）一级标准中的A标准。具体纳管及污水处理厂排放标准见下表。</w:t>
            </w:r>
          </w:p>
          <w:p w14:paraId="7C5667F2">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本项目废水污染物纳管及排放标准  单位:mg/L（pH无量纲）</w:t>
            </w:r>
          </w:p>
          <w:tbl>
            <w:tblPr>
              <w:tblStyle w:val="15"/>
              <w:tblW w:w="488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52"/>
              <w:gridCol w:w="877"/>
              <w:gridCol w:w="717"/>
              <w:gridCol w:w="701"/>
              <w:gridCol w:w="775"/>
              <w:gridCol w:w="797"/>
              <w:gridCol w:w="710"/>
              <w:gridCol w:w="641"/>
              <w:gridCol w:w="2005"/>
            </w:tblGrid>
            <w:tr w14:paraId="25348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19DEB4F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pH</w:t>
                  </w:r>
                </w:p>
              </w:tc>
              <w:tc>
                <w:tcPr>
                  <w:tcW w:w="557" w:type="pct"/>
                  <w:vAlign w:val="center"/>
                </w:tcPr>
                <w:p w14:paraId="0FD1199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CODcr</w:t>
                  </w:r>
                </w:p>
              </w:tc>
              <w:tc>
                <w:tcPr>
                  <w:tcW w:w="455" w:type="pct"/>
                  <w:vAlign w:val="center"/>
                </w:tcPr>
                <w:p w14:paraId="63CE54C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BOD</w:t>
                  </w:r>
                  <w:r>
                    <w:rPr>
                      <w:rFonts w:hint="eastAsia" w:ascii="Times New Roman" w:hAnsi="Times New Roman"/>
                      <w:color w:val="000000" w:themeColor="text1"/>
                      <w:sz w:val="21"/>
                      <w:szCs w:val="21"/>
                      <w:vertAlign w:val="subscript"/>
                      <w14:textFill>
                        <w14:solidFill>
                          <w14:schemeClr w14:val="tx1"/>
                        </w14:solidFill>
                      </w14:textFill>
                    </w:rPr>
                    <w:t>5</w:t>
                  </w:r>
                </w:p>
              </w:tc>
              <w:tc>
                <w:tcPr>
                  <w:tcW w:w="445" w:type="pct"/>
                  <w:vAlign w:val="center"/>
                </w:tcPr>
                <w:p w14:paraId="7D96F0E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SS</w:t>
                  </w:r>
                </w:p>
              </w:tc>
              <w:tc>
                <w:tcPr>
                  <w:tcW w:w="492" w:type="pct"/>
                  <w:vAlign w:val="center"/>
                </w:tcPr>
                <w:p w14:paraId="22A4472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氨氮</w:t>
                  </w:r>
                </w:p>
              </w:tc>
              <w:tc>
                <w:tcPr>
                  <w:tcW w:w="506" w:type="pct"/>
                  <w:vAlign w:val="center"/>
                </w:tcPr>
                <w:p w14:paraId="134B560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TN</w:t>
                  </w:r>
                </w:p>
              </w:tc>
              <w:tc>
                <w:tcPr>
                  <w:tcW w:w="451" w:type="pct"/>
                  <w:vAlign w:val="center"/>
                </w:tcPr>
                <w:p w14:paraId="4C2F10D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TP</w:t>
                  </w:r>
                </w:p>
              </w:tc>
              <w:tc>
                <w:tcPr>
                  <w:tcW w:w="407" w:type="pct"/>
                  <w:vAlign w:val="center"/>
                </w:tcPr>
                <w:p w14:paraId="44A710C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动植物油</w:t>
                  </w:r>
                </w:p>
              </w:tc>
              <w:tc>
                <w:tcPr>
                  <w:tcW w:w="1269" w:type="pct"/>
                  <w:vAlign w:val="center"/>
                </w:tcPr>
                <w:p w14:paraId="583C87D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标准来源</w:t>
                  </w:r>
                </w:p>
              </w:tc>
            </w:tr>
            <w:tr w14:paraId="3B09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61B665DA">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557" w:type="pct"/>
                  <w:vAlign w:val="center"/>
                </w:tcPr>
                <w:p w14:paraId="677859BB">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55" w:type="pct"/>
                  <w:vAlign w:val="center"/>
                </w:tcPr>
                <w:p w14:paraId="4898D0F3">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45" w:type="pct"/>
                  <w:vAlign w:val="center"/>
                </w:tcPr>
                <w:p w14:paraId="1F723D24">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92" w:type="pct"/>
                  <w:vAlign w:val="center"/>
                </w:tcPr>
                <w:p w14:paraId="6B62BEC3">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506" w:type="pct"/>
                  <w:vAlign w:val="center"/>
                </w:tcPr>
                <w:p w14:paraId="444A5AFC">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51" w:type="pct"/>
                  <w:vAlign w:val="center"/>
                </w:tcPr>
                <w:p w14:paraId="2E8303ED">
                  <w:pPr>
                    <w:pStyle w:val="13"/>
                    <w:spacing w:before="0" w:beforeAutospacing="0" w:after="0" w:afterAutospacing="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407" w:type="pct"/>
                  <w:vAlign w:val="center"/>
                </w:tcPr>
                <w:p w14:paraId="51D0F71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1269" w:type="pct"/>
                  <w:vAlign w:val="center"/>
                </w:tcPr>
                <w:p w14:paraId="2C9C4A4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《合成树脂工业污染物排放标准》（GB 31572-2015，含2024年修改单）标准要求</w:t>
                  </w:r>
                </w:p>
              </w:tc>
            </w:tr>
            <w:tr w14:paraId="380F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6B5008E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6~9</w:t>
                  </w:r>
                </w:p>
              </w:tc>
              <w:tc>
                <w:tcPr>
                  <w:tcW w:w="557" w:type="pct"/>
                  <w:vAlign w:val="center"/>
                </w:tcPr>
                <w:p w14:paraId="78729CB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360</w:t>
                  </w:r>
                </w:p>
              </w:tc>
              <w:tc>
                <w:tcPr>
                  <w:tcW w:w="455" w:type="pct"/>
                  <w:vAlign w:val="center"/>
                </w:tcPr>
                <w:p w14:paraId="5FF43DF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80</w:t>
                  </w:r>
                </w:p>
              </w:tc>
              <w:tc>
                <w:tcPr>
                  <w:tcW w:w="445" w:type="pct"/>
                  <w:vAlign w:val="center"/>
                </w:tcPr>
                <w:p w14:paraId="37F9892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200</w:t>
                  </w:r>
                </w:p>
              </w:tc>
              <w:tc>
                <w:tcPr>
                  <w:tcW w:w="492" w:type="pct"/>
                  <w:vAlign w:val="center"/>
                </w:tcPr>
                <w:p w14:paraId="7B0EF93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35</w:t>
                  </w:r>
                </w:p>
              </w:tc>
              <w:tc>
                <w:tcPr>
                  <w:tcW w:w="506" w:type="pct"/>
                  <w:vAlign w:val="center"/>
                </w:tcPr>
                <w:p w14:paraId="087B128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50</w:t>
                  </w:r>
                </w:p>
              </w:tc>
              <w:tc>
                <w:tcPr>
                  <w:tcW w:w="451" w:type="pct"/>
                  <w:vAlign w:val="center"/>
                </w:tcPr>
                <w:p w14:paraId="7482F91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w:t>
                  </w:r>
                </w:p>
              </w:tc>
              <w:tc>
                <w:tcPr>
                  <w:tcW w:w="407" w:type="pct"/>
                  <w:vAlign w:val="center"/>
                </w:tcPr>
                <w:p w14:paraId="5F9AFA1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1269" w:type="pct"/>
                  <w:vAlign w:val="center"/>
                </w:tcPr>
                <w:p w14:paraId="57782AD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经开区接管标准:《关于发布淮南经开区企业生产废水排放限值的通知》（2021年1月19日）。</w:t>
                  </w:r>
                </w:p>
              </w:tc>
            </w:tr>
            <w:tr w14:paraId="4597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5326AF4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6.5~9.5</w:t>
                  </w:r>
                </w:p>
              </w:tc>
              <w:tc>
                <w:tcPr>
                  <w:tcW w:w="557" w:type="pct"/>
                  <w:vAlign w:val="center"/>
                </w:tcPr>
                <w:p w14:paraId="0E1E4FF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500</w:t>
                  </w:r>
                </w:p>
              </w:tc>
              <w:tc>
                <w:tcPr>
                  <w:tcW w:w="455" w:type="pct"/>
                  <w:vAlign w:val="center"/>
                </w:tcPr>
                <w:p w14:paraId="3BEF950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350</w:t>
                  </w:r>
                </w:p>
              </w:tc>
              <w:tc>
                <w:tcPr>
                  <w:tcW w:w="445" w:type="pct"/>
                  <w:vAlign w:val="center"/>
                </w:tcPr>
                <w:p w14:paraId="7134C12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400</w:t>
                  </w:r>
                </w:p>
              </w:tc>
              <w:tc>
                <w:tcPr>
                  <w:tcW w:w="492" w:type="pct"/>
                  <w:vAlign w:val="center"/>
                </w:tcPr>
                <w:p w14:paraId="0FE3A57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w:t>
                  </w:r>
                </w:p>
              </w:tc>
              <w:tc>
                <w:tcPr>
                  <w:tcW w:w="506" w:type="pct"/>
                  <w:vAlign w:val="center"/>
                </w:tcPr>
                <w:p w14:paraId="2B4F1F5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70</w:t>
                  </w:r>
                </w:p>
              </w:tc>
              <w:tc>
                <w:tcPr>
                  <w:tcW w:w="451" w:type="pct"/>
                  <w:vAlign w:val="center"/>
                </w:tcPr>
                <w:p w14:paraId="1572426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w:t>
                  </w:r>
                </w:p>
              </w:tc>
              <w:tc>
                <w:tcPr>
                  <w:tcW w:w="407" w:type="pct"/>
                  <w:vAlign w:val="center"/>
                </w:tcPr>
                <w:p w14:paraId="5B69E4D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1269" w:type="pct"/>
                  <w:vAlign w:val="center"/>
                </w:tcPr>
                <w:p w14:paraId="087D2F9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《污水排入城镇下水道水质标准》（GB/T 31962-2015）</w:t>
                  </w:r>
                </w:p>
              </w:tc>
            </w:tr>
            <w:tr w14:paraId="1CC0C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9"/>
                  <w:vAlign w:val="center"/>
                </w:tcPr>
                <w:p w14:paraId="6F975C6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企业污水纳管口废水排放执行标准</w:t>
                  </w:r>
                </w:p>
              </w:tc>
            </w:tr>
            <w:tr w14:paraId="51E24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29AB631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6~9</w:t>
                  </w:r>
                </w:p>
              </w:tc>
              <w:tc>
                <w:tcPr>
                  <w:tcW w:w="557" w:type="pct"/>
                  <w:vAlign w:val="center"/>
                </w:tcPr>
                <w:p w14:paraId="2F0456F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60</w:t>
                  </w:r>
                </w:p>
              </w:tc>
              <w:tc>
                <w:tcPr>
                  <w:tcW w:w="455" w:type="pct"/>
                  <w:vAlign w:val="center"/>
                </w:tcPr>
                <w:p w14:paraId="54885E99">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80</w:t>
                  </w:r>
                </w:p>
              </w:tc>
              <w:tc>
                <w:tcPr>
                  <w:tcW w:w="445" w:type="pct"/>
                  <w:vAlign w:val="center"/>
                </w:tcPr>
                <w:p w14:paraId="0EA207E0">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200</w:t>
                  </w:r>
                </w:p>
              </w:tc>
              <w:tc>
                <w:tcPr>
                  <w:tcW w:w="492" w:type="pct"/>
                  <w:vAlign w:val="center"/>
                </w:tcPr>
                <w:p w14:paraId="7914CC40">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35</w:t>
                  </w:r>
                </w:p>
              </w:tc>
              <w:tc>
                <w:tcPr>
                  <w:tcW w:w="506" w:type="pct"/>
                  <w:vAlign w:val="center"/>
                </w:tcPr>
                <w:p w14:paraId="2DECB614">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50</w:t>
                  </w:r>
                </w:p>
              </w:tc>
              <w:tc>
                <w:tcPr>
                  <w:tcW w:w="451" w:type="pct"/>
                  <w:vAlign w:val="center"/>
                </w:tcPr>
                <w:p w14:paraId="6D11D66F">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4.5</w:t>
                  </w:r>
                </w:p>
              </w:tc>
              <w:tc>
                <w:tcPr>
                  <w:tcW w:w="407" w:type="pct"/>
                  <w:vAlign w:val="center"/>
                </w:tcPr>
                <w:p w14:paraId="605C50D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1269" w:type="pct"/>
                  <w:vAlign w:val="center"/>
                </w:tcPr>
                <w:p w14:paraId="509727E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以上标准从严执行</w:t>
                  </w:r>
                </w:p>
              </w:tc>
            </w:tr>
            <w:tr w14:paraId="103E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9"/>
                  <w:vAlign w:val="center"/>
                </w:tcPr>
                <w:p w14:paraId="71E8EFA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项目废水外排环境执行标准</w:t>
                  </w:r>
                </w:p>
              </w:tc>
            </w:tr>
            <w:tr w14:paraId="1F48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4" w:type="pct"/>
                  <w:vAlign w:val="center"/>
                </w:tcPr>
                <w:p w14:paraId="3E4B854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6~9</w:t>
                  </w:r>
                </w:p>
              </w:tc>
              <w:tc>
                <w:tcPr>
                  <w:tcW w:w="557" w:type="pct"/>
                  <w:vAlign w:val="center"/>
                </w:tcPr>
                <w:p w14:paraId="7244CAF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50</w:t>
                  </w:r>
                </w:p>
              </w:tc>
              <w:tc>
                <w:tcPr>
                  <w:tcW w:w="455" w:type="pct"/>
                  <w:vAlign w:val="center"/>
                </w:tcPr>
                <w:p w14:paraId="542B14D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445" w:type="pct"/>
                  <w:vAlign w:val="center"/>
                </w:tcPr>
                <w:p w14:paraId="13CC1F8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492" w:type="pct"/>
                  <w:vAlign w:val="center"/>
                </w:tcPr>
                <w:p w14:paraId="18E15AB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5（8）</w:t>
                  </w:r>
                </w:p>
              </w:tc>
              <w:tc>
                <w:tcPr>
                  <w:tcW w:w="506" w:type="pct"/>
                  <w:vAlign w:val="center"/>
                </w:tcPr>
                <w:p w14:paraId="18615FC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15</w:t>
                  </w:r>
                </w:p>
              </w:tc>
              <w:tc>
                <w:tcPr>
                  <w:tcW w:w="451" w:type="pct"/>
                  <w:vAlign w:val="center"/>
                </w:tcPr>
                <w:p w14:paraId="6AA3BAC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0.5</w:t>
                  </w:r>
                </w:p>
              </w:tc>
              <w:tc>
                <w:tcPr>
                  <w:tcW w:w="407" w:type="pct"/>
                  <w:vAlign w:val="center"/>
                </w:tcPr>
                <w:p w14:paraId="2640E5D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w:t>
                  </w:r>
                </w:p>
              </w:tc>
              <w:tc>
                <w:tcPr>
                  <w:tcW w:w="1269" w:type="pct"/>
                  <w:vAlign w:val="center"/>
                </w:tcPr>
                <w:p w14:paraId="22BF485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《城镇污水处理厂污染物排放标准》（GB18918-2002）一级标准中的A标准</w:t>
                  </w:r>
                </w:p>
              </w:tc>
            </w:tr>
            <w:tr w14:paraId="20B8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9"/>
                  <w:vAlign w:val="center"/>
                </w:tcPr>
                <w:p w14:paraId="2EDAF36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注:括号外数值为水温&gt;12</w:t>
                  </w:r>
                  <w:r>
                    <w:rPr>
                      <w:rFonts w:ascii="Times New Roman" w:hAnsi="Times New Roman" w:eastAsia="微软雅黑"/>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时的控制指标，括号内数值为水温≤12</w:t>
                  </w:r>
                  <w:r>
                    <w:rPr>
                      <w:rFonts w:ascii="Times New Roman" w:hAnsi="Times New Roman" w:eastAsia="微软雅黑"/>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的控制指标。</w:t>
                  </w:r>
                </w:p>
              </w:tc>
            </w:tr>
          </w:tbl>
          <w:p w14:paraId="67EF92B1">
            <w:p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3.3.2废气</w:t>
            </w:r>
          </w:p>
          <w:p w14:paraId="6CDB839D">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项目施工期满足安徽省《施工场地颗粒物排放标准》（DB34/4811-2024）要求。项目运营期产生的非甲烷总烃排放从严执行《合成树脂工业污染物排放标准》（GB 31572-2015，含2024年修改单）、《固定源挥发性有机物综合排放标准 第6部分 其他行业》（DB34-4812.6-2024）；产生的氯化氢参照执行《大气污染物综合排放标准》（GB16297-1996）中表2大气污染物排放限值要求。产生的颗粒物参照执行《合成树脂工业污染物排放标准》（GB 31572-2015，含2024年修改单）排放限值要求。具体标准值见表3.3.2-1。</w:t>
            </w:r>
          </w:p>
          <w:p w14:paraId="3C550CC8">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大气污染物排放标准</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7"/>
              <w:gridCol w:w="1485"/>
              <w:gridCol w:w="1507"/>
              <w:gridCol w:w="1462"/>
              <w:gridCol w:w="2436"/>
            </w:tblGrid>
            <w:tr w14:paraId="6D05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14:paraId="25D81A1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污染物</w:t>
                  </w:r>
                </w:p>
              </w:tc>
              <w:tc>
                <w:tcPr>
                  <w:tcW w:w="921" w:type="pct"/>
                  <w:vAlign w:val="center"/>
                </w:tcPr>
                <w:p w14:paraId="6E6EB2F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最高允许排放浓度mg/m</w:t>
                  </w:r>
                  <w:r>
                    <w:rPr>
                      <w:rFonts w:hint="eastAsia" w:ascii="Times New Roman" w:hAnsi="Times New Roman"/>
                      <w:color w:val="000000" w:themeColor="text1"/>
                      <w:sz w:val="21"/>
                      <w:szCs w:val="21"/>
                      <w:vertAlign w:val="superscript"/>
                      <w14:textFill>
                        <w14:solidFill>
                          <w14:schemeClr w14:val="tx1"/>
                        </w14:solidFill>
                      </w14:textFill>
                    </w:rPr>
                    <w:t>3</w:t>
                  </w:r>
                </w:p>
              </w:tc>
              <w:tc>
                <w:tcPr>
                  <w:tcW w:w="935" w:type="pct"/>
                  <w:vAlign w:val="center"/>
                </w:tcPr>
                <w:p w14:paraId="27D54F5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最高允许排放速率kg/h</w:t>
                  </w:r>
                </w:p>
              </w:tc>
              <w:tc>
                <w:tcPr>
                  <w:tcW w:w="907" w:type="pct"/>
                  <w:vAlign w:val="center"/>
                </w:tcPr>
                <w:p w14:paraId="158B0044">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排气筒高度m</w:t>
                  </w:r>
                </w:p>
              </w:tc>
              <w:tc>
                <w:tcPr>
                  <w:tcW w:w="1511" w:type="pct"/>
                  <w:vAlign w:val="center"/>
                </w:tcPr>
                <w:p w14:paraId="3D51250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标准来源</w:t>
                  </w:r>
                </w:p>
              </w:tc>
            </w:tr>
            <w:tr w14:paraId="0ED5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14:paraId="039597E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氯化氢</w:t>
                  </w:r>
                </w:p>
              </w:tc>
              <w:tc>
                <w:tcPr>
                  <w:tcW w:w="921" w:type="pct"/>
                  <w:vAlign w:val="center"/>
                </w:tcPr>
                <w:p w14:paraId="1CF1E8E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w:t>
                  </w:r>
                </w:p>
              </w:tc>
              <w:tc>
                <w:tcPr>
                  <w:tcW w:w="935" w:type="pct"/>
                  <w:vAlign w:val="center"/>
                </w:tcPr>
                <w:p w14:paraId="07812AFC">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0.26</w:t>
                  </w:r>
                </w:p>
              </w:tc>
              <w:tc>
                <w:tcPr>
                  <w:tcW w:w="907" w:type="pct"/>
                  <w:vAlign w:val="center"/>
                </w:tcPr>
                <w:p w14:paraId="67AA4C45">
                  <w:pPr>
                    <w:pStyle w:val="13"/>
                    <w:spacing w:before="0" w:beforeAutospacing="0" w:after="0" w:afterAutospacing="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15</w:t>
                  </w:r>
                </w:p>
              </w:tc>
              <w:tc>
                <w:tcPr>
                  <w:tcW w:w="1511" w:type="pct"/>
                  <w:vAlign w:val="center"/>
                </w:tcPr>
                <w:p w14:paraId="015AAE1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《大气污染物综合排放标准》（GB16297-1996）</w:t>
                  </w:r>
                </w:p>
              </w:tc>
            </w:tr>
            <w:tr w14:paraId="748E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14:paraId="25FADC8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非甲烷总烃</w:t>
                  </w:r>
                </w:p>
              </w:tc>
              <w:tc>
                <w:tcPr>
                  <w:tcW w:w="921" w:type="pct"/>
                  <w:vAlign w:val="center"/>
                </w:tcPr>
                <w:p w14:paraId="23EBD69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40</w:t>
                  </w:r>
                </w:p>
              </w:tc>
              <w:tc>
                <w:tcPr>
                  <w:tcW w:w="935" w:type="pct"/>
                  <w:vAlign w:val="center"/>
                </w:tcPr>
                <w:p w14:paraId="29952EE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1.6</w:t>
                  </w:r>
                </w:p>
              </w:tc>
              <w:tc>
                <w:tcPr>
                  <w:tcW w:w="907" w:type="pct"/>
                  <w:vAlign w:val="center"/>
                </w:tcPr>
                <w:p w14:paraId="742670F4">
                  <w:pPr>
                    <w:pStyle w:val="13"/>
                    <w:spacing w:before="0" w:beforeAutospacing="0" w:after="0" w:afterAutospacing="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511" w:type="pct"/>
                  <w:vAlign w:val="center"/>
                </w:tcPr>
                <w:p w14:paraId="5B33FD6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从严执行《合成树脂工业污染物排放标准》（GB 31572-2015，含2024年修改单）、《固定源挥发性有机物综合排放标准 第6部分 其他行业》（DB34-4812.6-2024）；</w:t>
                  </w:r>
                </w:p>
              </w:tc>
            </w:tr>
            <w:tr w14:paraId="7495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24" w:type="pct"/>
                  <w:vAlign w:val="center"/>
                </w:tcPr>
                <w:p w14:paraId="18FAB94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921" w:type="pct"/>
                  <w:vAlign w:val="center"/>
                </w:tcPr>
                <w:p w14:paraId="65A3B0C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c>
                <w:tcPr>
                  <w:tcW w:w="935" w:type="pct"/>
                  <w:vAlign w:val="center"/>
                </w:tcPr>
                <w:p w14:paraId="53C20BD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p>
              </w:tc>
              <w:tc>
                <w:tcPr>
                  <w:tcW w:w="907" w:type="pct"/>
                  <w:vAlign w:val="center"/>
                </w:tcPr>
                <w:p w14:paraId="3C1E2CBF">
                  <w:pPr>
                    <w:pStyle w:val="13"/>
                    <w:spacing w:before="0" w:beforeAutospacing="0" w:after="0" w:afterAutospacing="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color w:val="000000" w:themeColor="text1"/>
                      <w:sz w:val="21"/>
                      <w:szCs w:val="21"/>
                      <w:lang w:val="en-US" w:eastAsia="zh-CN"/>
                      <w14:textFill>
                        <w14:solidFill>
                          <w14:schemeClr w14:val="tx1"/>
                        </w14:solidFill>
                      </w14:textFill>
                    </w:rPr>
                    <w:t>/</w:t>
                  </w:r>
                </w:p>
              </w:tc>
              <w:tc>
                <w:tcPr>
                  <w:tcW w:w="1511" w:type="pct"/>
                  <w:vAlign w:val="center"/>
                </w:tcPr>
                <w:p w14:paraId="564D753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《合成树脂工业污染物排放标准》（GB 31572-2015，含2024年修改单）</w:t>
                  </w:r>
                </w:p>
              </w:tc>
            </w:tr>
          </w:tbl>
          <w:p w14:paraId="386CF69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本项目厂界非甲烷总烃从严执行：《合成树脂工业污染物排放标准》（GB 31572-2015，含2024年修改单）、《固定源挥发性有机物综合排放标准第6部分 其他行业》（DB34-4812.6-2024），氯化氢、颗粒物排放参照执行《合成树脂工业污染物排放标准》（GB31572-2015）中表9企业边界大气污染物浓度限值。具体标准值见表3.3.2-2。</w:t>
            </w:r>
          </w:p>
          <w:p w14:paraId="473CCFB4">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无组织排放监控浓度限值</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89"/>
              <w:gridCol w:w="3434"/>
              <w:gridCol w:w="2534"/>
            </w:tblGrid>
            <w:tr w14:paraId="480BF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pct"/>
                  <w:vAlign w:val="center"/>
                </w:tcPr>
                <w:p w14:paraId="02F905D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污染物</w:t>
                  </w:r>
                </w:p>
              </w:tc>
              <w:tc>
                <w:tcPr>
                  <w:tcW w:w="2130" w:type="pct"/>
                  <w:vAlign w:val="center"/>
                </w:tcPr>
                <w:p w14:paraId="266277C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无组织排放监控浓度限值</w:t>
                  </w:r>
                </w:p>
              </w:tc>
              <w:tc>
                <w:tcPr>
                  <w:tcW w:w="1572" w:type="pct"/>
                  <w:vAlign w:val="center"/>
                </w:tcPr>
                <w:p w14:paraId="2A98EEC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监控位置</w:t>
                  </w:r>
                </w:p>
              </w:tc>
            </w:tr>
            <w:tr w14:paraId="7D5D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pct"/>
                  <w:vAlign w:val="center"/>
                </w:tcPr>
                <w:p w14:paraId="0E52655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氯化氢</w:t>
                  </w:r>
                </w:p>
              </w:tc>
              <w:tc>
                <w:tcPr>
                  <w:tcW w:w="2130" w:type="pct"/>
                  <w:vAlign w:val="center"/>
                </w:tcPr>
                <w:p w14:paraId="0A05BB8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周界外浓度最高点0.2mg/m</w:t>
                  </w:r>
                  <w:r>
                    <w:rPr>
                      <w:rFonts w:hint="eastAsia" w:ascii="Times New Roman" w:hAnsi="Times New Roman"/>
                      <w:color w:val="000000" w:themeColor="text1"/>
                      <w:sz w:val="21"/>
                      <w:szCs w:val="21"/>
                      <w:vertAlign w:val="superscript"/>
                      <w14:textFill>
                        <w14:solidFill>
                          <w14:schemeClr w14:val="tx1"/>
                        </w14:solidFill>
                      </w14:textFill>
                    </w:rPr>
                    <w:t>3</w:t>
                  </w:r>
                </w:p>
              </w:tc>
              <w:tc>
                <w:tcPr>
                  <w:tcW w:w="1572" w:type="pct"/>
                  <w:vAlign w:val="center"/>
                </w:tcPr>
                <w:p w14:paraId="18F8017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w:t>
                  </w:r>
                </w:p>
              </w:tc>
            </w:tr>
            <w:tr w14:paraId="04EB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pct"/>
                  <w:vAlign w:val="center"/>
                </w:tcPr>
                <w:p w14:paraId="123E36D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非甲烷总烃</w:t>
                  </w:r>
                </w:p>
              </w:tc>
              <w:tc>
                <w:tcPr>
                  <w:tcW w:w="2130" w:type="pct"/>
                  <w:vAlign w:val="center"/>
                </w:tcPr>
                <w:p w14:paraId="77C9D89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周界外浓度最高点</w:t>
                  </w:r>
                  <w:r>
                    <w:rPr>
                      <w:rFonts w:hint="eastAsia" w:ascii="Times New Roman" w:hAnsi="Times New Roman"/>
                      <w:color w:val="000000" w:themeColor="text1"/>
                      <w:sz w:val="21"/>
                      <w:szCs w:val="21"/>
                      <w14:textFill>
                        <w14:solidFill>
                          <w14:schemeClr w14:val="tx1"/>
                        </w14:solidFill>
                      </w14:textFill>
                    </w:rPr>
                    <w:t>4.0</w:t>
                  </w:r>
                  <w:r>
                    <w:rPr>
                      <w:rFonts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c>
                <w:tcPr>
                  <w:tcW w:w="1572" w:type="pct"/>
                  <w:vAlign w:val="center"/>
                </w:tcPr>
                <w:p w14:paraId="15875C4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w:t>
                  </w:r>
                </w:p>
              </w:tc>
            </w:tr>
            <w:tr w14:paraId="07579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96" w:type="pct"/>
                  <w:vAlign w:val="center"/>
                </w:tcPr>
                <w:p w14:paraId="5C51549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颗粒物</w:t>
                  </w:r>
                </w:p>
              </w:tc>
              <w:tc>
                <w:tcPr>
                  <w:tcW w:w="2130" w:type="pct"/>
                  <w:vAlign w:val="center"/>
                </w:tcPr>
                <w:p w14:paraId="372676C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周界外浓度最高点</w:t>
                  </w:r>
                  <w:r>
                    <w:rPr>
                      <w:rFonts w:hint="eastAsia" w:ascii="Times New Roman" w:hAnsi="Times New Roman"/>
                      <w:color w:val="000000" w:themeColor="text1"/>
                      <w:sz w:val="21"/>
                      <w:szCs w:val="21"/>
                      <w14:textFill>
                        <w14:solidFill>
                          <w14:schemeClr w14:val="tx1"/>
                        </w14:solidFill>
                      </w14:textFill>
                    </w:rPr>
                    <w:t>1.0</w:t>
                  </w:r>
                  <w:r>
                    <w:rPr>
                      <w:rFonts w:ascii="Times New Roman" w:hAnsi="Times New Roman"/>
                      <w:color w:val="000000" w:themeColor="text1"/>
                      <w:sz w:val="21"/>
                      <w:szCs w:val="21"/>
                      <w14:textFill>
                        <w14:solidFill>
                          <w14:schemeClr w14:val="tx1"/>
                        </w14:solidFill>
                      </w14:textFill>
                    </w:rPr>
                    <w:t>mg/m</w:t>
                  </w:r>
                  <w:r>
                    <w:rPr>
                      <w:rFonts w:hint="eastAsia" w:ascii="Times New Roman" w:hAnsi="Times New Roman"/>
                      <w:color w:val="000000" w:themeColor="text1"/>
                      <w:sz w:val="21"/>
                      <w:szCs w:val="21"/>
                      <w:vertAlign w:val="superscript"/>
                      <w14:textFill>
                        <w14:solidFill>
                          <w14:schemeClr w14:val="tx1"/>
                        </w14:solidFill>
                      </w14:textFill>
                    </w:rPr>
                    <w:t>3</w:t>
                  </w:r>
                </w:p>
              </w:tc>
              <w:tc>
                <w:tcPr>
                  <w:tcW w:w="1572" w:type="pct"/>
                  <w:vAlign w:val="center"/>
                </w:tcPr>
                <w:p w14:paraId="59A76EE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厂界</w:t>
                  </w:r>
                </w:p>
              </w:tc>
            </w:tr>
          </w:tbl>
          <w:p w14:paraId="46E0F542">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厂区内非甲烷总烃排放执行《固定源挥发性有机物综合排放标准 第6部分 其他行业》（DB34-4812.6-2024）中浓度限值要求。</w:t>
            </w:r>
          </w:p>
          <w:p w14:paraId="3F2DC4A9">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厂区内挥发性有机物无组织排放限值  单位:mg/m</w:t>
            </w:r>
            <w:r>
              <w:rPr>
                <w:rFonts w:hint="eastAsia"/>
                <w:b/>
                <w:color w:val="000000" w:themeColor="text1"/>
                <w:vertAlign w:val="superscript"/>
                <w14:textFill>
                  <w14:solidFill>
                    <w14:schemeClr w14:val="tx1"/>
                  </w14:solidFill>
                </w14:textFill>
              </w:rPr>
              <w:t>3</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90"/>
              <w:gridCol w:w="2054"/>
              <w:gridCol w:w="2485"/>
              <w:gridCol w:w="1928"/>
            </w:tblGrid>
            <w:tr w14:paraId="450D7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6" w:type="pct"/>
                  <w:vAlign w:val="center"/>
                </w:tcPr>
                <w:p w14:paraId="59DE5F8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污染物</w:t>
                  </w:r>
                </w:p>
              </w:tc>
              <w:tc>
                <w:tcPr>
                  <w:tcW w:w="1274" w:type="pct"/>
                  <w:vAlign w:val="center"/>
                </w:tcPr>
                <w:p w14:paraId="4302EF7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特别排放限值</w:t>
                  </w:r>
                </w:p>
              </w:tc>
              <w:tc>
                <w:tcPr>
                  <w:tcW w:w="1541" w:type="pct"/>
                  <w:vAlign w:val="center"/>
                </w:tcPr>
                <w:p w14:paraId="62A8AD7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限值含义</w:t>
                  </w:r>
                </w:p>
              </w:tc>
              <w:tc>
                <w:tcPr>
                  <w:tcW w:w="1196" w:type="pct"/>
                  <w:vAlign w:val="center"/>
                </w:tcPr>
                <w:p w14:paraId="7C14CD1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无组织排放监控位置</w:t>
                  </w:r>
                </w:p>
              </w:tc>
            </w:tr>
            <w:tr w14:paraId="57441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6" w:type="pct"/>
                  <w:vMerge w:val="restart"/>
                  <w:vAlign w:val="center"/>
                </w:tcPr>
                <w:p w14:paraId="313C06B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NMHC</w:t>
                  </w:r>
                </w:p>
              </w:tc>
              <w:tc>
                <w:tcPr>
                  <w:tcW w:w="1274" w:type="pct"/>
                  <w:vAlign w:val="center"/>
                </w:tcPr>
                <w:p w14:paraId="66DA038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w:t>
                  </w:r>
                </w:p>
              </w:tc>
              <w:tc>
                <w:tcPr>
                  <w:tcW w:w="1541" w:type="pct"/>
                  <w:vAlign w:val="center"/>
                </w:tcPr>
                <w:p w14:paraId="54C7221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监控点处1h平均浓度值</w:t>
                  </w:r>
                </w:p>
              </w:tc>
              <w:tc>
                <w:tcPr>
                  <w:tcW w:w="1196" w:type="pct"/>
                  <w:vMerge w:val="restart"/>
                  <w:vAlign w:val="center"/>
                </w:tcPr>
                <w:p w14:paraId="7673E5C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在厂房外设置监控点</w:t>
                  </w:r>
                </w:p>
              </w:tc>
            </w:tr>
            <w:tr w14:paraId="1A92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86" w:type="pct"/>
                  <w:vMerge w:val="continue"/>
                  <w:vAlign w:val="center"/>
                </w:tcPr>
                <w:p w14:paraId="6928216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1274" w:type="pct"/>
                  <w:vAlign w:val="center"/>
                </w:tcPr>
                <w:p w14:paraId="4395669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c>
                <w:tcPr>
                  <w:tcW w:w="1541" w:type="pct"/>
                  <w:vAlign w:val="center"/>
                </w:tcPr>
                <w:p w14:paraId="558DC5A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监控点处任意一次浓度值</w:t>
                  </w:r>
                </w:p>
              </w:tc>
              <w:tc>
                <w:tcPr>
                  <w:tcW w:w="1196" w:type="pct"/>
                  <w:vMerge w:val="continue"/>
                  <w:vAlign w:val="center"/>
                </w:tcPr>
                <w:p w14:paraId="3AE5BD1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r>
          </w:tbl>
          <w:p w14:paraId="1418FC22">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本项目食堂油烟排放执行《饮食业油烟排放标准》（试行）（GB18483-2001）中型标准的要求。详情见下表：</w:t>
            </w:r>
          </w:p>
          <w:p w14:paraId="1D8D5462">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.3.2</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4</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饮食业油烟排放标准</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34"/>
              <w:gridCol w:w="1453"/>
              <w:gridCol w:w="1647"/>
              <w:gridCol w:w="1423"/>
            </w:tblGrid>
            <w:tr w14:paraId="096D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51EAF7A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规模</w:t>
                  </w:r>
                </w:p>
              </w:tc>
              <w:tc>
                <w:tcPr>
                  <w:tcW w:w="902" w:type="pct"/>
                  <w:vAlign w:val="center"/>
                </w:tcPr>
                <w:p w14:paraId="3E2AFF5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小型</w:t>
                  </w:r>
                </w:p>
              </w:tc>
              <w:tc>
                <w:tcPr>
                  <w:tcW w:w="1022" w:type="pct"/>
                  <w:vAlign w:val="center"/>
                </w:tcPr>
                <w:p w14:paraId="1293296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中型</w:t>
                  </w:r>
                </w:p>
              </w:tc>
              <w:tc>
                <w:tcPr>
                  <w:tcW w:w="881" w:type="pct"/>
                  <w:vAlign w:val="center"/>
                </w:tcPr>
                <w:p w14:paraId="32A89BC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大型</w:t>
                  </w:r>
                </w:p>
              </w:tc>
            </w:tr>
            <w:tr w14:paraId="4CA0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596654D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基准灶头数</w:t>
                  </w:r>
                </w:p>
              </w:tc>
              <w:tc>
                <w:tcPr>
                  <w:tcW w:w="902" w:type="pct"/>
                  <w:vAlign w:val="center"/>
                </w:tcPr>
                <w:p w14:paraId="45D1BB5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≥1，&lt;3</w:t>
                  </w:r>
                </w:p>
              </w:tc>
              <w:tc>
                <w:tcPr>
                  <w:tcW w:w="1022" w:type="pct"/>
                  <w:vAlign w:val="center"/>
                </w:tcPr>
                <w:p w14:paraId="1A0C960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3</w:t>
                  </w:r>
                  <w:r>
                    <w:rPr>
                      <w:rFonts w:ascii="Times New Roman" w:hAnsi="Times New Roman"/>
                      <w:color w:val="000000" w:themeColor="text1"/>
                      <w:sz w:val="21"/>
                      <w:szCs w:val="21"/>
                      <w14:textFill>
                        <w14:solidFill>
                          <w14:schemeClr w14:val="tx1"/>
                        </w14:solidFill>
                      </w14:textFill>
                    </w:rPr>
                    <w:t>，&lt;</w:t>
                  </w:r>
                  <w:r>
                    <w:rPr>
                      <w:rFonts w:hint="eastAsia" w:ascii="Times New Roman" w:hAnsi="Times New Roman"/>
                      <w:color w:val="000000" w:themeColor="text1"/>
                      <w:sz w:val="21"/>
                      <w:szCs w:val="21"/>
                      <w14:textFill>
                        <w14:solidFill>
                          <w14:schemeClr w14:val="tx1"/>
                        </w14:solidFill>
                      </w14:textFill>
                    </w:rPr>
                    <w:t>6</w:t>
                  </w:r>
                </w:p>
              </w:tc>
              <w:tc>
                <w:tcPr>
                  <w:tcW w:w="881" w:type="pct"/>
                  <w:vAlign w:val="center"/>
                </w:tcPr>
                <w:p w14:paraId="6FE5595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6</w:t>
                  </w:r>
                </w:p>
              </w:tc>
            </w:tr>
            <w:tr w14:paraId="2035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4687E47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对应灶头总功率（108J/h）</w:t>
                  </w:r>
                </w:p>
              </w:tc>
              <w:tc>
                <w:tcPr>
                  <w:tcW w:w="902" w:type="pct"/>
                  <w:vAlign w:val="center"/>
                </w:tcPr>
                <w:p w14:paraId="6654C83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1.67，</w:t>
                  </w:r>
                  <w:r>
                    <w:rPr>
                      <w:rFonts w:ascii="Times New Roman" w:hAnsi="Times New Roman"/>
                      <w:color w:val="000000" w:themeColor="text1"/>
                      <w:sz w:val="21"/>
                      <w:szCs w:val="21"/>
                      <w14:textFill>
                        <w14:solidFill>
                          <w14:schemeClr w14:val="tx1"/>
                        </w14:solidFill>
                      </w14:textFill>
                    </w:rPr>
                    <w:t>&lt;</w:t>
                  </w:r>
                  <w:r>
                    <w:rPr>
                      <w:rFonts w:hint="eastAsia" w:ascii="Times New Roman" w:hAnsi="Times New Roman"/>
                      <w:color w:val="000000" w:themeColor="text1"/>
                      <w:sz w:val="21"/>
                      <w:szCs w:val="21"/>
                      <w14:textFill>
                        <w14:solidFill>
                          <w14:schemeClr w14:val="tx1"/>
                        </w14:solidFill>
                      </w14:textFill>
                    </w:rPr>
                    <w:t>5.00</w:t>
                  </w:r>
                </w:p>
              </w:tc>
              <w:tc>
                <w:tcPr>
                  <w:tcW w:w="1022" w:type="pct"/>
                  <w:vAlign w:val="center"/>
                </w:tcPr>
                <w:p w14:paraId="5D9243D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5.00</w:t>
                  </w:r>
                  <w:r>
                    <w:rPr>
                      <w:rFonts w:ascii="Times New Roman" w:hAnsi="Times New Roman"/>
                      <w:color w:val="000000" w:themeColor="text1"/>
                      <w:sz w:val="21"/>
                      <w:szCs w:val="21"/>
                      <w14:textFill>
                        <w14:solidFill>
                          <w14:schemeClr w14:val="tx1"/>
                        </w14:solidFill>
                      </w14:textFill>
                    </w:rPr>
                    <w:t>，&lt;</w:t>
                  </w:r>
                  <w:r>
                    <w:rPr>
                      <w:rFonts w:hint="eastAsia" w:ascii="Times New Roman" w:hAnsi="Times New Roman"/>
                      <w:color w:val="000000" w:themeColor="text1"/>
                      <w:sz w:val="21"/>
                      <w:szCs w:val="21"/>
                      <w14:textFill>
                        <w14:solidFill>
                          <w14:schemeClr w14:val="tx1"/>
                        </w14:solidFill>
                      </w14:textFill>
                    </w:rPr>
                    <w:t>10</w:t>
                  </w:r>
                </w:p>
              </w:tc>
              <w:tc>
                <w:tcPr>
                  <w:tcW w:w="881" w:type="pct"/>
                  <w:vAlign w:val="center"/>
                </w:tcPr>
                <w:p w14:paraId="4F41891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6</w:t>
                  </w:r>
                </w:p>
              </w:tc>
            </w:tr>
            <w:tr w14:paraId="2DFAE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2D380FF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对应排气罩灶面总投影面积（m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p>
              </w:tc>
              <w:tc>
                <w:tcPr>
                  <w:tcW w:w="902" w:type="pct"/>
                  <w:vAlign w:val="center"/>
                </w:tcPr>
                <w:p w14:paraId="5AC9BF5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≥1</w:t>
                  </w:r>
                  <w:r>
                    <w:rPr>
                      <w:rFonts w:hint="eastAsia" w:ascii="Times New Roman" w:hAnsi="Times New Roman"/>
                      <w:color w:val="000000" w:themeColor="text1"/>
                      <w:sz w:val="21"/>
                      <w:szCs w:val="21"/>
                      <w14:textFill>
                        <w14:solidFill>
                          <w14:schemeClr w14:val="tx1"/>
                        </w14:solidFill>
                      </w14:textFill>
                    </w:rPr>
                    <w:t>.1</w:t>
                  </w:r>
                  <w:r>
                    <w:rPr>
                      <w:rFonts w:ascii="Times New Roman" w:hAnsi="Times New Roman"/>
                      <w:color w:val="000000" w:themeColor="text1"/>
                      <w:sz w:val="21"/>
                      <w:szCs w:val="21"/>
                      <w14:textFill>
                        <w14:solidFill>
                          <w14:schemeClr w14:val="tx1"/>
                        </w14:solidFill>
                      </w14:textFill>
                    </w:rPr>
                    <w:t>，&lt;3</w:t>
                  </w:r>
                  <w:r>
                    <w:rPr>
                      <w:rFonts w:hint="eastAsia" w:ascii="Times New Roman" w:hAnsi="Times New Roman"/>
                      <w:color w:val="000000" w:themeColor="text1"/>
                      <w:sz w:val="21"/>
                      <w:szCs w:val="21"/>
                      <w14:textFill>
                        <w14:solidFill>
                          <w14:schemeClr w14:val="tx1"/>
                        </w14:solidFill>
                      </w14:textFill>
                    </w:rPr>
                    <w:t>.3</w:t>
                  </w:r>
                </w:p>
              </w:tc>
              <w:tc>
                <w:tcPr>
                  <w:tcW w:w="1022" w:type="pct"/>
                  <w:vAlign w:val="center"/>
                </w:tcPr>
                <w:p w14:paraId="08BD439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3.3</w:t>
                  </w:r>
                  <w:r>
                    <w:rPr>
                      <w:rFonts w:ascii="Times New Roman" w:hAnsi="Times New Roman"/>
                      <w:color w:val="000000" w:themeColor="text1"/>
                      <w:sz w:val="21"/>
                      <w:szCs w:val="21"/>
                      <w14:textFill>
                        <w14:solidFill>
                          <w14:schemeClr w14:val="tx1"/>
                        </w14:solidFill>
                      </w14:textFill>
                    </w:rPr>
                    <w:t>，&lt;</w:t>
                  </w:r>
                  <w:r>
                    <w:rPr>
                      <w:rFonts w:hint="eastAsia" w:ascii="Times New Roman" w:hAnsi="Times New Roman"/>
                      <w:color w:val="000000" w:themeColor="text1"/>
                      <w:sz w:val="21"/>
                      <w:szCs w:val="21"/>
                      <w14:textFill>
                        <w14:solidFill>
                          <w14:schemeClr w14:val="tx1"/>
                        </w14:solidFill>
                      </w14:textFill>
                    </w:rPr>
                    <w:t>6.6</w:t>
                  </w:r>
                </w:p>
              </w:tc>
              <w:tc>
                <w:tcPr>
                  <w:tcW w:w="881" w:type="pct"/>
                  <w:vAlign w:val="center"/>
                </w:tcPr>
                <w:p w14:paraId="5FD5F3E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6.6</w:t>
                  </w:r>
                </w:p>
              </w:tc>
            </w:tr>
            <w:tr w14:paraId="6899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0DF53F4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油烟最高允许排放浓度（mg/m</w:t>
                  </w:r>
                  <w:r>
                    <w:rPr>
                      <w:rFonts w:hint="eastAsia" w:ascii="Times New Roman" w:hAnsi="Times New Roman"/>
                      <w:color w:val="000000" w:themeColor="text1"/>
                      <w:sz w:val="21"/>
                      <w:szCs w:val="21"/>
                      <w:vertAlign w:val="superscript"/>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w:t>
                  </w:r>
                </w:p>
              </w:tc>
              <w:tc>
                <w:tcPr>
                  <w:tcW w:w="2806" w:type="pct"/>
                  <w:gridSpan w:val="3"/>
                  <w:vAlign w:val="center"/>
                </w:tcPr>
                <w:p w14:paraId="14890BE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r>
            <w:tr w14:paraId="4184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193" w:type="pct"/>
                  <w:vAlign w:val="center"/>
                </w:tcPr>
                <w:p w14:paraId="73D133B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净化设施最低去除效率（%）</w:t>
                  </w:r>
                </w:p>
              </w:tc>
              <w:tc>
                <w:tcPr>
                  <w:tcW w:w="902" w:type="pct"/>
                  <w:vAlign w:val="center"/>
                </w:tcPr>
                <w:p w14:paraId="3BBA597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60</w:t>
                  </w:r>
                </w:p>
              </w:tc>
              <w:tc>
                <w:tcPr>
                  <w:tcW w:w="1022" w:type="pct"/>
                  <w:vAlign w:val="center"/>
                </w:tcPr>
                <w:p w14:paraId="7705E2B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75</w:t>
                  </w:r>
                </w:p>
              </w:tc>
              <w:tc>
                <w:tcPr>
                  <w:tcW w:w="881" w:type="pct"/>
                  <w:vAlign w:val="center"/>
                </w:tcPr>
                <w:p w14:paraId="37D6ABA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85</w:t>
                  </w:r>
                </w:p>
              </w:tc>
            </w:tr>
            <w:tr w14:paraId="5C80D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4"/>
                  <w:vAlign w:val="center"/>
                </w:tcPr>
                <w:p w14:paraId="161270DF">
                  <w:pPr>
                    <w:pStyle w:val="13"/>
                    <w:spacing w:before="0" w:beforeAutospacing="0" w:after="0" w:afterAutospacing="0"/>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注:单个灶头基准排风量:大、中、小型均为2000m</w:t>
                  </w:r>
                  <w:r>
                    <w:rPr>
                      <w:rFonts w:hint="eastAsia" w:ascii="Times New Roman" w:hAnsi="Times New Roman"/>
                      <w:color w:val="000000" w:themeColor="text1"/>
                      <w:sz w:val="21"/>
                      <w:szCs w:val="21"/>
                      <w:vertAlign w:val="superscript"/>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/h。</w:t>
                  </w:r>
                </w:p>
              </w:tc>
            </w:tr>
          </w:tbl>
          <w:p w14:paraId="555E98FE">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3.3.3噪声排放控制标准</w:t>
            </w:r>
          </w:p>
          <w:p w14:paraId="2920397E">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根据《淮南市中心城区声环境功能区划分方案》（2021年），本项目位于声环境功能区3类区，厂界噪声排放执行《工业企业厂界环境噪声排放标准》（GB12348-2008）3类标准。具体见下表。</w:t>
            </w:r>
          </w:p>
          <w:p w14:paraId="544A5BDB">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表3</w:t>
            </w:r>
            <w:r>
              <w:rPr>
                <w:rFonts w:hint="eastAsia"/>
                <w:b/>
                <w:color w:val="000000" w:themeColor="text1"/>
                <w14:textFill>
                  <w14:solidFill>
                    <w14:schemeClr w14:val="tx1"/>
                  </w14:solidFill>
                </w14:textFill>
              </w:rPr>
              <w:t>.3.3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工业企业厂界环境噪声排放标准（dB（A））</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43"/>
              <w:gridCol w:w="1357"/>
              <w:gridCol w:w="1627"/>
              <w:gridCol w:w="3630"/>
            </w:tblGrid>
            <w:tr w14:paraId="5280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5" w:type="pct"/>
                  <w:vMerge w:val="restart"/>
                  <w:vAlign w:val="center"/>
                </w:tcPr>
                <w:p w14:paraId="43B2CC8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类别</w:t>
                  </w:r>
                </w:p>
              </w:tc>
              <w:tc>
                <w:tcPr>
                  <w:tcW w:w="1851" w:type="pct"/>
                  <w:gridSpan w:val="2"/>
                  <w:vAlign w:val="center"/>
                </w:tcPr>
                <w:p w14:paraId="3D5D4D6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标准值</w:t>
                  </w:r>
                </w:p>
              </w:tc>
              <w:tc>
                <w:tcPr>
                  <w:tcW w:w="2252" w:type="pct"/>
                  <w:vMerge w:val="restart"/>
                  <w:vAlign w:val="center"/>
                </w:tcPr>
                <w:p w14:paraId="3F704E8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标准来源</w:t>
                  </w:r>
                </w:p>
              </w:tc>
            </w:tr>
            <w:tr w14:paraId="7DFF4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5" w:type="pct"/>
                  <w:vMerge w:val="continue"/>
                  <w:vAlign w:val="center"/>
                </w:tcPr>
                <w:p w14:paraId="22091D4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842" w:type="pct"/>
                  <w:vAlign w:val="center"/>
                </w:tcPr>
                <w:p w14:paraId="52B4ACC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昼间</w:t>
                  </w:r>
                </w:p>
              </w:tc>
              <w:tc>
                <w:tcPr>
                  <w:tcW w:w="1009" w:type="pct"/>
                  <w:vAlign w:val="center"/>
                </w:tcPr>
                <w:p w14:paraId="7855C19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夜间</w:t>
                  </w:r>
                </w:p>
              </w:tc>
              <w:tc>
                <w:tcPr>
                  <w:tcW w:w="2252" w:type="pct"/>
                  <w:vMerge w:val="continue"/>
                  <w:vAlign w:val="center"/>
                </w:tcPr>
                <w:p w14:paraId="0CF0692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r>
            <w:tr w14:paraId="181B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95" w:type="pct"/>
                  <w:vAlign w:val="center"/>
                </w:tcPr>
                <w:p w14:paraId="45BEF34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项目厂界噪声</w:t>
                  </w:r>
                </w:p>
              </w:tc>
              <w:tc>
                <w:tcPr>
                  <w:tcW w:w="842" w:type="pct"/>
                  <w:vAlign w:val="center"/>
                </w:tcPr>
                <w:p w14:paraId="4987881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65</w:t>
                  </w:r>
                </w:p>
              </w:tc>
              <w:tc>
                <w:tcPr>
                  <w:tcW w:w="1009" w:type="pct"/>
                  <w:vAlign w:val="center"/>
                </w:tcPr>
                <w:p w14:paraId="6F7CB50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55</w:t>
                  </w:r>
                </w:p>
              </w:tc>
              <w:tc>
                <w:tcPr>
                  <w:tcW w:w="2252" w:type="pct"/>
                  <w:vAlign w:val="center"/>
                </w:tcPr>
                <w:p w14:paraId="1E39526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《工业企业厂界环境噪声排放标准》（GB12348-2008）</w:t>
                  </w:r>
                </w:p>
              </w:tc>
            </w:tr>
          </w:tbl>
          <w:p w14:paraId="71E422AD">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3.3.4固废排放控制标准</w:t>
            </w:r>
          </w:p>
          <w:p w14:paraId="5813347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一般工业固体废物贮存场，采用库房、包装工具（罐、桶、包装袋等）贮存一般工业固体废物过程的污染控制贮存过程满足相应防渗漏、防雨淋、防扬尘等环境保护要求，符合《一般工业固体废物贮存和填埋污染控制标准》（GB18599-2020）。</w:t>
            </w:r>
          </w:p>
          <w:p w14:paraId="73D0AF8A">
            <w:pPr>
              <w:pStyle w:val="5"/>
              <w:keepNext/>
              <w:spacing w:before="0"/>
              <w:ind w:firstLine="480" w:firstLineChars="200"/>
              <w:jc w:val="left"/>
              <w:rPr>
                <w:color w:val="000000" w:themeColor="text1"/>
                <w14:textFill>
                  <w14:solidFill>
                    <w14:schemeClr w14:val="tx1"/>
                  </w14:solidFill>
                </w14:textFill>
              </w:rPr>
            </w:pPr>
            <w:r>
              <w:rPr>
                <w:rFonts w:hint="eastAsia" w:eastAsia="宋体"/>
                <w:color w:val="000000" w:themeColor="text1"/>
                <w:szCs w:val="24"/>
                <w14:textFill>
                  <w14:solidFill>
                    <w14:schemeClr w14:val="tx1"/>
                  </w14:solidFill>
                </w14:textFill>
              </w:rPr>
              <w:t>（2）危险废物贮存、污染控制及监督管理工作符合《危险废物贮存污染控制标准》（GB18597-2023）。</w:t>
            </w:r>
          </w:p>
        </w:tc>
      </w:tr>
      <w:tr w14:paraId="33C26C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5" w:hRule="atLeast"/>
          <w:jc w:val="center"/>
        </w:trPr>
        <w:tc>
          <w:tcPr>
            <w:tcW w:w="800" w:type="dxa"/>
            <w:vAlign w:val="center"/>
          </w:tcPr>
          <w:p w14:paraId="061F7E9D">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总量控制指标</w:t>
            </w:r>
          </w:p>
        </w:tc>
        <w:tc>
          <w:tcPr>
            <w:tcW w:w="8194" w:type="dxa"/>
            <w:vAlign w:val="center"/>
          </w:tcPr>
          <w:p w14:paraId="0148F7C0">
            <w:pPr>
              <w:pStyle w:val="5"/>
              <w:keepNext/>
              <w:spacing w:before="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3.4总量控制指标</w:t>
            </w:r>
          </w:p>
          <w:p w14:paraId="6755226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3.4.1项目总量控制平衡方案</w:t>
            </w:r>
          </w:p>
          <w:p w14:paraId="48154586">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根据《建设项目主要污染物排放总量指标审核及管理暂行办法》（环发[2014]197号），用于建设项目的“可替代总量指标”不得低于建设项目所需替代的主要污染物排放总量指标。上一年度环境空气质量年平均浓度不达标的城市、水环境质量未达到要求的市县，相关污染物应按照建设项目所需替代的主要污染物排放总量指标的2倍进行削减替代（燃煤发电机组大气污染物排放浓度基本达到燃气轮机组排放限值的除外）；细颗粒物（PM</w:t>
            </w:r>
            <w:r>
              <w:rPr>
                <w:rFonts w:hint="eastAsia" w:eastAsia="宋体"/>
                <w:color w:val="000000" w:themeColor="text1"/>
                <w:szCs w:val="24"/>
                <w:vertAlign w:val="subscript"/>
                <w14:textFill>
                  <w14:solidFill>
                    <w14:schemeClr w14:val="tx1"/>
                  </w14:solidFill>
                </w14:textFill>
              </w:rPr>
              <w:t>2.5</w:t>
            </w:r>
            <w:r>
              <w:rPr>
                <w:rFonts w:hint="eastAsia" w:eastAsia="宋体"/>
                <w:color w:val="000000" w:themeColor="text1"/>
                <w:szCs w:val="24"/>
                <w14:textFill>
                  <w14:solidFill>
                    <w14:schemeClr w14:val="tx1"/>
                  </w14:solidFill>
                </w14:textFill>
              </w:rPr>
              <w:t>）年平均浓度不达标的城市，二氧化硫、氮氧化物、烟粉尘、挥发性有机物四项污染物均需进行2倍削减替代（燃煤发电机组大气污染物排放浓度基本达到燃气轮机组排放限值的除外）。地方有更严格倍量替代要求的，按照相关规定执行。</w:t>
            </w:r>
          </w:p>
          <w:p w14:paraId="7318F9E5">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3.4.2项目总量控制指标</w:t>
            </w:r>
          </w:p>
          <w:p w14:paraId="2037CCB1">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根据《安徽省环保厅关于进一步加强建设项目新增大气污染物总量指标管理工作的通知》（皖环发（2017）19号），本项目纳入总量控制指标的主要污染物为：挥发性有机物（以非甲烷总烃计）、COD、氨氮。其中，本项目所在区域为细颗粒物（PM</w:t>
            </w:r>
            <w:r>
              <w:rPr>
                <w:rFonts w:hint="eastAsia" w:eastAsia="宋体"/>
                <w:color w:val="000000" w:themeColor="text1"/>
                <w:szCs w:val="24"/>
                <w:vertAlign w:val="subscript"/>
                <w14:textFill>
                  <w14:solidFill>
                    <w14:schemeClr w14:val="tx1"/>
                  </w14:solidFill>
                </w14:textFill>
              </w:rPr>
              <w:t>2.5</w:t>
            </w:r>
            <w:r>
              <w:rPr>
                <w:rFonts w:hint="eastAsia" w:eastAsia="宋体"/>
                <w:color w:val="000000" w:themeColor="text1"/>
                <w:szCs w:val="24"/>
                <w14:textFill>
                  <w14:solidFill>
                    <w14:schemeClr w14:val="tx1"/>
                  </w14:solidFill>
                </w14:textFill>
              </w:rPr>
              <w:t>）年平均浓度不达标的城市，因此挥发性有机物应按1:2的削减比例进行替代。</w:t>
            </w:r>
          </w:p>
          <w:p w14:paraId="17B4579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1、废水污染物总量控制指标</w:t>
            </w:r>
          </w:p>
          <w:p w14:paraId="7C9081DC">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本项目外排废水处理达标后纳管，排入淮南经济技术开发区工业污水处理厂进行深度处理，处理达标的尾水排入淮河（淮南段）；本项目废水总量纳入淮南经济技术开发区工业污水处理厂总量控制指标内，故不申请总量替代指标。</w:t>
            </w:r>
          </w:p>
          <w:p w14:paraId="4ED2BE7F">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color w:val="000000" w:themeColor="text1"/>
                <w14:textFill>
                  <w14:solidFill>
                    <w14:schemeClr w14:val="tx1"/>
                  </w14:solidFill>
                </w14:textFill>
              </w:rPr>
              <w:t>2、</w:t>
            </w:r>
            <w:r>
              <w:rPr>
                <w:rFonts w:hint="eastAsia" w:eastAsia="宋体"/>
                <w:color w:val="000000" w:themeColor="text1"/>
                <w:szCs w:val="24"/>
                <w14:textFill>
                  <w14:solidFill>
                    <w14:schemeClr w14:val="tx1"/>
                  </w14:solidFill>
                </w14:textFill>
              </w:rPr>
              <w:t>废气污染物总量控制指标</w:t>
            </w:r>
          </w:p>
          <w:p w14:paraId="05E2E56F">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本项目大气污染物总量控制因子为VOCs</w:t>
            </w:r>
            <w:r>
              <w:rPr>
                <w:rFonts w:hint="eastAsia" w:eastAsia="宋体"/>
                <w:color w:val="000000" w:themeColor="text1"/>
                <w:szCs w:val="24"/>
                <w14:textFill>
                  <w14:solidFill>
                    <w14:schemeClr w14:val="tx1"/>
                  </w14:solidFill>
                </w14:textFill>
              </w:rPr>
              <w:t>、颗粒物</w:t>
            </w:r>
            <w:r>
              <w:rPr>
                <w:rFonts w:eastAsia="宋体"/>
                <w:color w:val="000000" w:themeColor="text1"/>
                <w:szCs w:val="24"/>
                <w14:textFill>
                  <w14:solidFill>
                    <w14:schemeClr w14:val="tx1"/>
                  </w14:solidFill>
                </w14:textFill>
              </w:rPr>
              <w:t>，排放量</w:t>
            </w:r>
            <w:r>
              <w:rPr>
                <w:rFonts w:hint="eastAsia" w:eastAsia="宋体"/>
                <w:color w:val="000000" w:themeColor="text1"/>
                <w:szCs w:val="24"/>
                <w14:textFill>
                  <w14:solidFill>
                    <w14:schemeClr w14:val="tx1"/>
                  </w14:solidFill>
                </w14:textFill>
              </w:rPr>
              <w:t>分别</w:t>
            </w:r>
            <w:r>
              <w:rPr>
                <w:rFonts w:eastAsia="宋体"/>
                <w:color w:val="000000" w:themeColor="text1"/>
                <w:szCs w:val="24"/>
                <w14:textFill>
                  <w14:solidFill>
                    <w14:schemeClr w14:val="tx1"/>
                  </w14:solidFill>
                </w14:textFill>
              </w:rPr>
              <w:t>为</w:t>
            </w:r>
            <w:r>
              <w:rPr>
                <w:rFonts w:hint="eastAsia" w:eastAsia="宋体"/>
                <w:color w:val="000000" w:themeColor="text1"/>
                <w:szCs w:val="24"/>
                <w14:textFill>
                  <w14:solidFill>
                    <w14:schemeClr w14:val="tx1"/>
                  </w14:solidFill>
                </w14:textFill>
              </w:rPr>
              <w:t>1.</w:t>
            </w:r>
            <w:r>
              <w:rPr>
                <w:rFonts w:hint="eastAsia" w:eastAsia="宋体"/>
                <w:color w:val="000000" w:themeColor="text1"/>
                <w:szCs w:val="24"/>
                <w:lang w:val="en-US" w:eastAsia="zh-CN"/>
                <w14:textFill>
                  <w14:solidFill>
                    <w14:schemeClr w14:val="tx1"/>
                  </w14:solidFill>
                </w14:textFill>
              </w:rPr>
              <w:t>77</w:t>
            </w:r>
            <w:r>
              <w:rPr>
                <w:rFonts w:hint="eastAsia" w:eastAsia="宋体"/>
                <w:color w:val="000000" w:themeColor="text1"/>
                <w:szCs w:val="24"/>
                <w14:textFill>
                  <w14:solidFill>
                    <w14:schemeClr w14:val="tx1"/>
                  </w14:solidFill>
                </w14:textFill>
              </w:rPr>
              <w:t>8t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、0.</w:t>
            </w:r>
            <w:r>
              <w:rPr>
                <w:rFonts w:hint="eastAsia" w:eastAsia="宋体"/>
                <w:color w:val="000000" w:themeColor="text1"/>
                <w:szCs w:val="24"/>
                <w:lang w:val="en-US" w:eastAsia="zh-CN"/>
                <w14:textFill>
                  <w14:solidFill>
                    <w14:schemeClr w14:val="tx1"/>
                  </w14:solidFill>
                </w14:textFill>
              </w:rPr>
              <w:t>378</w:t>
            </w:r>
            <w:r>
              <w:rPr>
                <w:rFonts w:hint="eastAsia" w:eastAsia="宋体"/>
                <w:color w:val="000000" w:themeColor="text1"/>
                <w:szCs w:val="24"/>
                <w14:textFill>
                  <w14:solidFill>
                    <w14:schemeClr w14:val="tx1"/>
                  </w14:solidFill>
                </w14:textFill>
              </w:rPr>
              <w:t>t</w:t>
            </w:r>
            <w:r>
              <w:rPr>
                <w:rFonts w:eastAsia="宋体"/>
                <w:color w:val="000000" w:themeColor="text1"/>
                <w:szCs w:val="24"/>
                <w14:textFill>
                  <w14:solidFill>
                    <w14:schemeClr w14:val="tx1"/>
                  </w14:solidFill>
                </w14:textFill>
              </w:rPr>
              <w:t>/a，申请总量指标。</w:t>
            </w:r>
          </w:p>
          <w:p w14:paraId="6C8877E3">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3、固体废物总量控制指标</w:t>
            </w:r>
          </w:p>
          <w:p w14:paraId="4A6C31E1">
            <w:pPr>
              <w:pStyle w:val="5"/>
              <w:keepNext/>
              <w:spacing w:before="0"/>
              <w:ind w:firstLine="480" w:firstLineChars="200"/>
              <w:jc w:val="left"/>
              <w:rPr>
                <w:color w:val="000000" w:themeColor="text1"/>
                <w14:textFill>
                  <w14:solidFill>
                    <w14:schemeClr w14:val="tx1"/>
                  </w14:solidFill>
                </w14:textFill>
              </w:rPr>
            </w:pPr>
            <w:r>
              <w:rPr>
                <w:rFonts w:eastAsia="宋体"/>
                <w:color w:val="000000" w:themeColor="text1"/>
                <w:szCs w:val="24"/>
                <w14:textFill>
                  <w14:solidFill>
                    <w14:schemeClr w14:val="tx1"/>
                  </w14:solidFill>
                </w14:textFill>
              </w:rPr>
              <w:t>本项目固体废物均按照要求进行管理，故不申请总量替代指标。</w:t>
            </w:r>
          </w:p>
        </w:tc>
      </w:tr>
    </w:tbl>
    <w:p w14:paraId="44CF8D20">
      <w:pPr>
        <w:sectPr>
          <w:pgSz w:w="11906" w:h="16838"/>
          <w:pgMar w:top="1247" w:right="1134" w:bottom="1134" w:left="1247" w:header="851" w:footer="992" w:gutter="0"/>
          <w:cols w:space="425" w:num="1"/>
          <w:docGrid w:type="lines" w:linePitch="312" w:charSpace="0"/>
        </w:sectPr>
      </w:pPr>
    </w:p>
    <w:p w14:paraId="6965D685">
      <w:pPr>
        <w:pStyle w:val="13"/>
        <w:jc w:val="center"/>
        <w:outlineLvl w:val="0"/>
        <w:rPr>
          <w:rFonts w:ascii="Times New Roman" w:hAnsi="Times New Roman" w:eastAsia="黑体"/>
          <w:snapToGrid w:val="0"/>
          <w:sz w:val="30"/>
          <w:szCs w:val="30"/>
        </w:rPr>
      </w:pPr>
      <w:bookmarkStart w:id="5" w:name="_Toc1613774965"/>
      <w:r>
        <w:rPr>
          <w:rFonts w:hint="eastAsia" w:ascii="Times New Roman" w:hAnsi="Times New Roman" w:eastAsia="黑体"/>
          <w:snapToGrid w:val="0"/>
          <w:sz w:val="30"/>
          <w:szCs w:val="30"/>
        </w:rPr>
        <w:t>四</w:t>
      </w:r>
      <w:r>
        <w:rPr>
          <w:rFonts w:ascii="Times New Roman" w:hAnsi="Times New Roman" w:eastAsia="黑体"/>
          <w:snapToGrid w:val="0"/>
          <w:sz w:val="30"/>
          <w:szCs w:val="30"/>
        </w:rPr>
        <w:t>、</w:t>
      </w:r>
      <w:r>
        <w:rPr>
          <w:rFonts w:hint="eastAsia" w:ascii="Times New Roman" w:hAnsi="Times New Roman" w:eastAsia="黑体"/>
          <w:snapToGrid w:val="0"/>
          <w:sz w:val="30"/>
          <w:szCs w:val="30"/>
        </w:rPr>
        <w:t>主要环境影响和保护措施</w:t>
      </w:r>
      <w:bookmarkEnd w:id="5"/>
    </w:p>
    <w:tbl>
      <w:tblPr>
        <w:tblStyle w:val="15"/>
        <w:tblW w:w="89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4"/>
      </w:tblGrid>
      <w:tr w14:paraId="5F0DE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14:paraId="02E39A9D">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施工期环境保护措施</w:t>
            </w:r>
          </w:p>
        </w:tc>
        <w:tc>
          <w:tcPr>
            <w:tcW w:w="8194" w:type="dxa"/>
            <w:vAlign w:val="center"/>
          </w:tcPr>
          <w:p w14:paraId="70AF3AE5">
            <w:pPr>
              <w:pStyle w:val="5"/>
              <w:keepNext/>
              <w:spacing w:before="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4.1施工期环境影响分析</w:t>
            </w:r>
          </w:p>
          <w:p w14:paraId="0D735670">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4.1.1施工期大气环境影响分析</w:t>
            </w:r>
          </w:p>
          <w:p w14:paraId="1CC7B8D1">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施工扬尘</w:t>
            </w:r>
          </w:p>
          <w:p w14:paraId="3509F142">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在整个施工期间，产生扬尘的作业主要有土地平整、打桩、开挖、回填、道路浇注、建材运输、露天堆放和装卸等过程，如遇干旱无雨季节，在大风时，施工扬尘将更严重。</w:t>
            </w:r>
          </w:p>
          <w:p w14:paraId="597947D1">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据有关调查显示，施工工地的扬尘主要是由运输车辆行驶产生，与道路路面及车辆行驶速度有关，约占扬尘总量的60%。在完全干燥情况下，可按经验公式计算</w:t>
            </w:r>
            <w:r>
              <w:rPr>
                <w:rFonts w:hint="eastAsia" w:eastAsia="宋体"/>
                <w:color w:val="000000" w:themeColor="text1"/>
                <w:szCs w:val="24"/>
                <w14:textFill>
                  <w14:solidFill>
                    <w14:schemeClr w14:val="tx1"/>
                  </w14:solidFill>
                </w14:textFill>
              </w:rPr>
              <w:t>：</w:t>
            </w:r>
          </w:p>
          <w:p w14:paraId="1CC50AC6">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085975" cy="466725"/>
                  <wp:effectExtent l="0" t="0" r="9525"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2085975" cy="466725"/>
                          </a:xfrm>
                          <a:prstGeom prst="rect">
                            <a:avLst/>
                          </a:prstGeom>
                          <a:noFill/>
                          <a:ln>
                            <a:noFill/>
                          </a:ln>
                        </pic:spPr>
                      </pic:pic>
                    </a:graphicData>
                  </a:graphic>
                </wp:inline>
              </w:drawing>
            </w:r>
          </w:p>
          <w:p w14:paraId="4E3B0C58">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式中</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Q</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汽车行驶的扬尘，kg/km</w:t>
            </w:r>
            <w:r>
              <w:rPr>
                <w:rFonts w:hint="eastAsia" w:eastAsia="宋体"/>
                <w:color w:val="000000" w:themeColor="text1"/>
                <w:szCs w:val="24"/>
                <w14:textFill>
                  <w14:solidFill>
                    <w14:schemeClr w14:val="tx1"/>
                  </w14:solidFill>
                </w14:textFill>
              </w:rPr>
              <w:t xml:space="preserve"> </w:t>
            </w:r>
            <w:r>
              <w:rPr>
                <w:rFonts w:eastAsia="宋体"/>
                <w:color w:val="000000" w:themeColor="text1"/>
                <w:szCs w:val="24"/>
                <w14:textFill>
                  <w14:solidFill>
                    <w14:schemeClr w14:val="tx1"/>
                  </w14:solidFill>
                </w14:textFill>
              </w:rPr>
              <w:t>辆</w:t>
            </w:r>
            <w:r>
              <w:rPr>
                <w:rFonts w:hint="eastAsia" w:eastAsia="宋体"/>
                <w:color w:val="000000" w:themeColor="text1"/>
                <w:szCs w:val="24"/>
                <w14:textFill>
                  <w14:solidFill>
                    <w14:schemeClr w14:val="tx1"/>
                  </w14:solidFill>
                </w14:textFill>
              </w:rPr>
              <w:t>；</w:t>
            </w:r>
          </w:p>
          <w:p w14:paraId="4A557192">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V</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汽车速度，km/h</w:t>
            </w:r>
            <w:r>
              <w:rPr>
                <w:rFonts w:hint="eastAsia" w:eastAsia="宋体"/>
                <w:color w:val="000000" w:themeColor="text1"/>
                <w:szCs w:val="24"/>
                <w14:textFill>
                  <w14:solidFill>
                    <w14:schemeClr w14:val="tx1"/>
                  </w14:solidFill>
                </w14:textFill>
              </w:rPr>
              <w:t>；</w:t>
            </w:r>
          </w:p>
          <w:p w14:paraId="4AF2D391">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W</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汽车载重量，t</w:t>
            </w:r>
            <w:r>
              <w:rPr>
                <w:rFonts w:hint="eastAsia" w:eastAsia="宋体"/>
                <w:color w:val="000000" w:themeColor="text1"/>
                <w:szCs w:val="24"/>
                <w14:textFill>
                  <w14:solidFill>
                    <w14:schemeClr w14:val="tx1"/>
                  </w14:solidFill>
                </w14:textFill>
              </w:rPr>
              <w:t>；</w:t>
            </w:r>
          </w:p>
          <w:p w14:paraId="60AB403C">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P</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道路表面粉尘量，kg/m</w:t>
            </w:r>
            <w:r>
              <w:rPr>
                <w:rFonts w:eastAsia="宋体"/>
                <w:color w:val="000000" w:themeColor="text1"/>
                <w:szCs w:val="24"/>
                <w:vertAlign w:val="superscript"/>
                <w14:textFill>
                  <w14:solidFill>
                    <w14:schemeClr w14:val="tx1"/>
                  </w14:solidFill>
                </w14:textFill>
              </w:rPr>
              <w:t>2</w:t>
            </w:r>
            <w:r>
              <w:rPr>
                <w:rFonts w:eastAsia="宋体"/>
                <w:color w:val="000000" w:themeColor="text1"/>
                <w:szCs w:val="24"/>
                <w14:textFill>
                  <w14:solidFill>
                    <w14:schemeClr w14:val="tx1"/>
                  </w14:solidFill>
                </w14:textFill>
              </w:rPr>
              <w:t>。</w:t>
            </w:r>
          </w:p>
          <w:p w14:paraId="24CC207B">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一辆载重5t的卡车，通过一段长度为500m的路面时，不同表面清洁程度，不同行驶速度情况下产生的扬尘量如下表所示。</w:t>
            </w:r>
          </w:p>
          <w:p w14:paraId="4606CAA0">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4.1.1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不同车速和地面清洁程度时的汽车扬尘  单位:kg/km 辆</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50"/>
              <w:gridCol w:w="1121"/>
              <w:gridCol w:w="910"/>
              <w:gridCol w:w="1071"/>
              <w:gridCol w:w="1044"/>
              <w:gridCol w:w="1146"/>
              <w:gridCol w:w="923"/>
            </w:tblGrid>
            <w:tr w14:paraId="2AC8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tcBorders>
                    <w:tl2br w:val="single" w:color="auto" w:sz="4" w:space="0"/>
                  </w:tcBorders>
                  <w:vAlign w:val="center"/>
                </w:tcPr>
                <w:p w14:paraId="0D9841F5">
                  <w:pPr>
                    <w:pStyle w:val="13"/>
                    <w:spacing w:before="0" w:beforeAutospacing="0" w:after="0" w:afterAutospacing="0"/>
                    <w:jc w:val="right"/>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P（kg/m</w:t>
                  </w:r>
                  <w:r>
                    <w:rPr>
                      <w:rFonts w:hint="eastAsia" w:ascii="Times New Roman" w:hAnsi="Times New Roman"/>
                      <w:color w:val="000000" w:themeColor="text1"/>
                      <w:sz w:val="21"/>
                      <w:szCs w:val="21"/>
                      <w:vertAlign w:val="super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p>
                <w:p w14:paraId="252701B6">
                  <w:pPr>
                    <w:pStyle w:val="13"/>
                    <w:spacing w:before="0" w:beforeAutospacing="0" w:after="0" w:afterAutospacing="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车速（km/h）</w:t>
                  </w:r>
                </w:p>
              </w:tc>
              <w:tc>
                <w:tcPr>
                  <w:tcW w:w="703" w:type="pct"/>
                  <w:vAlign w:val="center"/>
                </w:tcPr>
                <w:p w14:paraId="6479755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w:t>
                  </w:r>
                </w:p>
              </w:tc>
              <w:tc>
                <w:tcPr>
                  <w:tcW w:w="571" w:type="pct"/>
                  <w:vAlign w:val="center"/>
                </w:tcPr>
                <w:p w14:paraId="229661D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w:t>
                  </w:r>
                </w:p>
              </w:tc>
              <w:tc>
                <w:tcPr>
                  <w:tcW w:w="672" w:type="pct"/>
                  <w:vAlign w:val="center"/>
                </w:tcPr>
                <w:p w14:paraId="7E35596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w:t>
                  </w:r>
                </w:p>
              </w:tc>
              <w:tc>
                <w:tcPr>
                  <w:tcW w:w="655" w:type="pct"/>
                  <w:vAlign w:val="center"/>
                </w:tcPr>
                <w:p w14:paraId="5FB31FB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0.4</w:t>
                  </w:r>
                </w:p>
              </w:tc>
              <w:tc>
                <w:tcPr>
                  <w:tcW w:w="719" w:type="pct"/>
                  <w:vAlign w:val="center"/>
                </w:tcPr>
                <w:p w14:paraId="75D4163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0.5</w:t>
                  </w:r>
                </w:p>
              </w:tc>
              <w:tc>
                <w:tcPr>
                  <w:tcW w:w="579" w:type="pct"/>
                  <w:vAlign w:val="center"/>
                </w:tcPr>
                <w:p w14:paraId="6465A71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r>
            <w:tr w14:paraId="6183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vAlign w:val="center"/>
                </w:tcPr>
                <w:p w14:paraId="6B56827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w:t>
                  </w:r>
                </w:p>
              </w:tc>
              <w:tc>
                <w:tcPr>
                  <w:tcW w:w="703" w:type="pct"/>
                  <w:vAlign w:val="center"/>
                </w:tcPr>
                <w:p w14:paraId="70D905A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0.0283</w:t>
                  </w:r>
                </w:p>
              </w:tc>
              <w:tc>
                <w:tcPr>
                  <w:tcW w:w="571" w:type="pct"/>
                  <w:vAlign w:val="center"/>
                </w:tcPr>
                <w:p w14:paraId="50BA7E1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0.0476</w:t>
                  </w:r>
                </w:p>
              </w:tc>
              <w:tc>
                <w:tcPr>
                  <w:tcW w:w="672" w:type="pct"/>
                  <w:vAlign w:val="center"/>
                </w:tcPr>
                <w:p w14:paraId="1D84B2B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0.0646</w:t>
                  </w:r>
                </w:p>
              </w:tc>
              <w:tc>
                <w:tcPr>
                  <w:tcW w:w="655" w:type="pct"/>
                  <w:vAlign w:val="center"/>
                </w:tcPr>
                <w:p w14:paraId="06C804D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0.7921</w:t>
                  </w:r>
                </w:p>
              </w:tc>
              <w:tc>
                <w:tcPr>
                  <w:tcW w:w="719" w:type="pct"/>
                  <w:vAlign w:val="center"/>
                </w:tcPr>
                <w:p w14:paraId="426DC1E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0.0947</w:t>
                  </w:r>
                </w:p>
              </w:tc>
              <w:tc>
                <w:tcPr>
                  <w:tcW w:w="579" w:type="pct"/>
                  <w:vAlign w:val="center"/>
                </w:tcPr>
                <w:p w14:paraId="07B5B8E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0.1593</w:t>
                  </w:r>
                </w:p>
              </w:tc>
            </w:tr>
            <w:tr w14:paraId="6F538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vAlign w:val="center"/>
                </w:tcPr>
                <w:p w14:paraId="059D56E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w:t>
                  </w:r>
                </w:p>
              </w:tc>
              <w:tc>
                <w:tcPr>
                  <w:tcW w:w="703" w:type="pct"/>
                  <w:vAlign w:val="center"/>
                </w:tcPr>
                <w:p w14:paraId="001B39F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0.0566</w:t>
                  </w:r>
                </w:p>
              </w:tc>
              <w:tc>
                <w:tcPr>
                  <w:tcW w:w="571" w:type="pct"/>
                  <w:vAlign w:val="center"/>
                </w:tcPr>
                <w:p w14:paraId="2F8BFAC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0.0953</w:t>
                  </w:r>
                </w:p>
              </w:tc>
              <w:tc>
                <w:tcPr>
                  <w:tcW w:w="672" w:type="pct"/>
                  <w:vAlign w:val="center"/>
                </w:tcPr>
                <w:p w14:paraId="282128D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0.1291</w:t>
                  </w:r>
                </w:p>
              </w:tc>
              <w:tc>
                <w:tcPr>
                  <w:tcW w:w="655" w:type="pct"/>
                  <w:vAlign w:val="center"/>
                </w:tcPr>
                <w:p w14:paraId="1B27D7C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0.1602</w:t>
                  </w:r>
                </w:p>
              </w:tc>
              <w:tc>
                <w:tcPr>
                  <w:tcW w:w="719" w:type="pct"/>
                  <w:vAlign w:val="center"/>
                </w:tcPr>
                <w:p w14:paraId="628ED9A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0.1894</w:t>
                  </w:r>
                </w:p>
              </w:tc>
              <w:tc>
                <w:tcPr>
                  <w:tcW w:w="579" w:type="pct"/>
                  <w:vAlign w:val="center"/>
                </w:tcPr>
                <w:p w14:paraId="1D415B2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0.3186</w:t>
                  </w:r>
                </w:p>
              </w:tc>
            </w:tr>
            <w:tr w14:paraId="44EDC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vAlign w:val="center"/>
                </w:tcPr>
                <w:p w14:paraId="73C6963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15</w:t>
                  </w:r>
                </w:p>
              </w:tc>
              <w:tc>
                <w:tcPr>
                  <w:tcW w:w="703" w:type="pct"/>
                  <w:vAlign w:val="center"/>
                </w:tcPr>
                <w:p w14:paraId="247D077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0.0850</w:t>
                  </w:r>
                </w:p>
              </w:tc>
              <w:tc>
                <w:tcPr>
                  <w:tcW w:w="571" w:type="pct"/>
                  <w:vAlign w:val="center"/>
                </w:tcPr>
                <w:p w14:paraId="6B93E0C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0.1429</w:t>
                  </w:r>
                </w:p>
              </w:tc>
              <w:tc>
                <w:tcPr>
                  <w:tcW w:w="672" w:type="pct"/>
                  <w:vAlign w:val="center"/>
                </w:tcPr>
                <w:p w14:paraId="2322305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0.1937</w:t>
                  </w:r>
                </w:p>
              </w:tc>
              <w:tc>
                <w:tcPr>
                  <w:tcW w:w="655" w:type="pct"/>
                  <w:vAlign w:val="center"/>
                </w:tcPr>
                <w:p w14:paraId="71A6617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0.2403</w:t>
                  </w:r>
                </w:p>
              </w:tc>
              <w:tc>
                <w:tcPr>
                  <w:tcW w:w="719" w:type="pct"/>
                  <w:vAlign w:val="center"/>
                </w:tcPr>
                <w:p w14:paraId="16F6BC0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0.2841</w:t>
                  </w:r>
                </w:p>
              </w:tc>
              <w:tc>
                <w:tcPr>
                  <w:tcW w:w="579" w:type="pct"/>
                  <w:vAlign w:val="center"/>
                </w:tcPr>
                <w:p w14:paraId="1296F97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0.4778</w:t>
                  </w:r>
                </w:p>
              </w:tc>
            </w:tr>
            <w:tr w14:paraId="57C5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098" w:type="pct"/>
                  <w:vAlign w:val="center"/>
                </w:tcPr>
                <w:p w14:paraId="71051E6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w:t>
                  </w:r>
                </w:p>
              </w:tc>
              <w:tc>
                <w:tcPr>
                  <w:tcW w:w="703" w:type="pct"/>
                  <w:vAlign w:val="center"/>
                </w:tcPr>
                <w:p w14:paraId="6C6C78C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0.1133</w:t>
                  </w:r>
                </w:p>
              </w:tc>
              <w:tc>
                <w:tcPr>
                  <w:tcW w:w="571" w:type="pct"/>
                  <w:vAlign w:val="center"/>
                </w:tcPr>
                <w:p w14:paraId="1861A9C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0.1905</w:t>
                  </w:r>
                </w:p>
              </w:tc>
              <w:tc>
                <w:tcPr>
                  <w:tcW w:w="672" w:type="pct"/>
                  <w:vAlign w:val="center"/>
                </w:tcPr>
                <w:p w14:paraId="75BB288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0.2583</w:t>
                  </w:r>
                </w:p>
              </w:tc>
              <w:tc>
                <w:tcPr>
                  <w:tcW w:w="655" w:type="pct"/>
                  <w:vAlign w:val="center"/>
                </w:tcPr>
                <w:p w14:paraId="280DEEA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0.3204</w:t>
                  </w:r>
                </w:p>
              </w:tc>
              <w:tc>
                <w:tcPr>
                  <w:tcW w:w="719" w:type="pct"/>
                  <w:vAlign w:val="center"/>
                </w:tcPr>
                <w:p w14:paraId="398A289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0.3788</w:t>
                  </w:r>
                </w:p>
              </w:tc>
              <w:tc>
                <w:tcPr>
                  <w:tcW w:w="579" w:type="pct"/>
                  <w:vAlign w:val="center"/>
                </w:tcPr>
                <w:p w14:paraId="0444A04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0.6371</w:t>
                  </w:r>
                </w:p>
              </w:tc>
            </w:tr>
          </w:tbl>
          <w:p w14:paraId="4675F4B2">
            <w:pPr>
              <w:pStyle w:val="5"/>
              <w:keepNext/>
              <w:spacing w:before="0"/>
              <w:ind w:firstLine="480" w:firstLineChars="200"/>
              <w:jc w:val="left"/>
              <w:rPr>
                <w:color w:val="000000" w:themeColor="text1"/>
                <w14:textFill>
                  <w14:solidFill>
                    <w14:schemeClr w14:val="tx1"/>
                  </w14:solidFill>
                </w14:textFill>
              </w:rPr>
            </w:pPr>
            <w:r>
              <w:rPr>
                <w:rFonts w:eastAsia="宋体"/>
                <w:color w:val="000000" w:themeColor="text1"/>
                <w:szCs w:val="24"/>
                <w14:textFill>
                  <w14:solidFill>
                    <w14:schemeClr w14:val="tx1"/>
                  </w14:solidFill>
                </w14:textFill>
              </w:rPr>
              <w:t>由上表可见，在同样路面清洁情况下，车速越快，扬尘量越大</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而在同样车速情况下，路面清洁度越差，则扬尘量越大。根据类比调查，一般情况下，施工场地、施工道路在自然风作用下产生的扬尘所影响的范围在100m以内。</w:t>
            </w:r>
          </w:p>
          <w:p w14:paraId="3639337F">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抑制扬尘的一个简洁有效的措施是洒水。如果在施工期内对车辆行驶的路面实施洒水抑尘，每天洒水4-5次，可使扬尘减少70%左右。上表为施工场地洒水抑尘的试验结果。由该表数据可看出对施工场地实施每天洒水4-5次进行抑尘，可有效地控制施工扬尘，并可将TSP污染距离缩小到20-50m范围。</w:t>
            </w:r>
          </w:p>
          <w:p w14:paraId="4B795904">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4.1.1</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施工场地洒水抑尘试验结果  单位:mg/m</w:t>
            </w:r>
            <w:r>
              <w:rPr>
                <w:rFonts w:hint="eastAsia"/>
                <w:b/>
                <w:color w:val="000000" w:themeColor="text1"/>
                <w:vertAlign w:val="superscript"/>
                <w14:textFill>
                  <w14:solidFill>
                    <w14:schemeClr w14:val="tx1"/>
                  </w14:solidFill>
                </w14:textFill>
              </w:rPr>
              <w:t>3</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78"/>
              <w:gridCol w:w="1272"/>
              <w:gridCol w:w="1028"/>
              <w:gridCol w:w="1211"/>
              <w:gridCol w:w="1181"/>
              <w:gridCol w:w="1295"/>
            </w:tblGrid>
            <w:tr w14:paraId="09978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039" w:type="pct"/>
                  <w:gridSpan w:val="2"/>
                  <w:vAlign w:val="center"/>
                </w:tcPr>
                <w:p w14:paraId="0958CC0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距离</w:t>
                  </w:r>
                </w:p>
              </w:tc>
              <w:tc>
                <w:tcPr>
                  <w:tcW w:w="645" w:type="pct"/>
                  <w:vAlign w:val="center"/>
                </w:tcPr>
                <w:p w14:paraId="2E98707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5m</w:t>
                  </w:r>
                </w:p>
              </w:tc>
              <w:tc>
                <w:tcPr>
                  <w:tcW w:w="760" w:type="pct"/>
                  <w:vAlign w:val="center"/>
                </w:tcPr>
                <w:p w14:paraId="291EDD4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20m</w:t>
                  </w:r>
                </w:p>
              </w:tc>
              <w:tc>
                <w:tcPr>
                  <w:tcW w:w="741" w:type="pct"/>
                  <w:vAlign w:val="center"/>
                </w:tcPr>
                <w:p w14:paraId="201C673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50m</w:t>
                  </w:r>
                </w:p>
              </w:tc>
              <w:tc>
                <w:tcPr>
                  <w:tcW w:w="812" w:type="pct"/>
                  <w:vAlign w:val="center"/>
                </w:tcPr>
                <w:p w14:paraId="7CB0116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100m</w:t>
                  </w:r>
                </w:p>
              </w:tc>
            </w:tr>
            <w:tr w14:paraId="1B0C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1" w:type="pct"/>
                  <w:vMerge w:val="restart"/>
                  <w:vAlign w:val="center"/>
                </w:tcPr>
                <w:p w14:paraId="15400F4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TSP小时平均浓度</w:t>
                  </w:r>
                </w:p>
              </w:tc>
              <w:tc>
                <w:tcPr>
                  <w:tcW w:w="797" w:type="pct"/>
                  <w:vAlign w:val="center"/>
                </w:tcPr>
                <w:p w14:paraId="559786B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不洒水</w:t>
                  </w:r>
                </w:p>
              </w:tc>
              <w:tc>
                <w:tcPr>
                  <w:tcW w:w="645" w:type="pct"/>
                  <w:vAlign w:val="center"/>
                </w:tcPr>
                <w:p w14:paraId="3117E57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10.14</w:t>
                  </w:r>
                </w:p>
              </w:tc>
              <w:tc>
                <w:tcPr>
                  <w:tcW w:w="760" w:type="pct"/>
                  <w:vAlign w:val="center"/>
                </w:tcPr>
                <w:p w14:paraId="7CCB991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2.89</w:t>
                  </w:r>
                </w:p>
              </w:tc>
              <w:tc>
                <w:tcPr>
                  <w:tcW w:w="741" w:type="pct"/>
                  <w:vAlign w:val="center"/>
                </w:tcPr>
                <w:p w14:paraId="29BC04E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1.15</w:t>
                  </w:r>
                </w:p>
              </w:tc>
              <w:tc>
                <w:tcPr>
                  <w:tcW w:w="812" w:type="pct"/>
                  <w:vAlign w:val="center"/>
                </w:tcPr>
                <w:p w14:paraId="2D15092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0.86</w:t>
                  </w:r>
                </w:p>
              </w:tc>
            </w:tr>
            <w:tr w14:paraId="31D0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1" w:type="pct"/>
                  <w:vMerge w:val="continue"/>
                  <w:vAlign w:val="center"/>
                </w:tcPr>
                <w:p w14:paraId="38E0075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p>
              </w:tc>
              <w:tc>
                <w:tcPr>
                  <w:tcW w:w="797" w:type="pct"/>
                  <w:vAlign w:val="center"/>
                </w:tcPr>
                <w:p w14:paraId="058635E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洒水</w:t>
                  </w:r>
                </w:p>
              </w:tc>
              <w:tc>
                <w:tcPr>
                  <w:tcW w:w="645" w:type="pct"/>
                  <w:vAlign w:val="center"/>
                </w:tcPr>
                <w:p w14:paraId="08CD9EB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2.01</w:t>
                  </w:r>
                </w:p>
              </w:tc>
              <w:tc>
                <w:tcPr>
                  <w:tcW w:w="760" w:type="pct"/>
                  <w:vAlign w:val="center"/>
                </w:tcPr>
                <w:p w14:paraId="534F22E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1.40</w:t>
                  </w:r>
                </w:p>
              </w:tc>
              <w:tc>
                <w:tcPr>
                  <w:tcW w:w="741" w:type="pct"/>
                  <w:vAlign w:val="center"/>
                </w:tcPr>
                <w:p w14:paraId="1DFBEAB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0.67</w:t>
                  </w:r>
                </w:p>
              </w:tc>
              <w:tc>
                <w:tcPr>
                  <w:tcW w:w="812" w:type="pct"/>
                  <w:vAlign w:val="center"/>
                </w:tcPr>
                <w:p w14:paraId="64692C2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0.60</w:t>
                  </w:r>
                </w:p>
              </w:tc>
            </w:tr>
          </w:tbl>
          <w:p w14:paraId="2AB7BCC4">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施工扬尘的另一种重要产生方式是建筑材料的露天堆放，这类扬尘的主要特点是受作业时风速大小的影响显著。因此，禁止在大风天气时进行此类作业以及减少建筑材料的露天堆放是抑制这类扬尘的一种很有效的手段。距离本项目场界最近的环境敏感点为东</w:t>
            </w:r>
            <w:r>
              <w:rPr>
                <w:rFonts w:hint="eastAsia" w:eastAsia="宋体"/>
                <w:color w:val="000000" w:themeColor="text1"/>
                <w:szCs w:val="24"/>
                <w14:textFill>
                  <w14:solidFill>
                    <w14:schemeClr w14:val="tx1"/>
                  </w14:solidFill>
                </w14:textFill>
              </w:rPr>
              <w:t>南</w:t>
            </w:r>
            <w:r>
              <w:rPr>
                <w:rFonts w:eastAsia="宋体"/>
                <w:color w:val="000000" w:themeColor="text1"/>
                <w:szCs w:val="24"/>
                <w14:textFill>
                  <w14:solidFill>
                    <w14:schemeClr w14:val="tx1"/>
                  </w14:solidFill>
                </w14:textFill>
              </w:rPr>
              <w:t>侧农场一队，其距本项目场界距离为</w:t>
            </w:r>
            <w:r>
              <w:rPr>
                <w:rFonts w:hint="eastAsia" w:eastAsia="宋体"/>
                <w:color w:val="000000" w:themeColor="text1"/>
                <w:szCs w:val="24"/>
                <w14:textFill>
                  <w14:solidFill>
                    <w14:schemeClr w14:val="tx1"/>
                  </w14:solidFill>
                </w14:textFill>
              </w:rPr>
              <w:t>136</w:t>
            </w:r>
            <w:r>
              <w:rPr>
                <w:rFonts w:eastAsia="宋体"/>
                <w:color w:val="000000" w:themeColor="text1"/>
                <w:szCs w:val="24"/>
                <w14:textFill>
                  <w14:solidFill>
                    <w14:schemeClr w14:val="tx1"/>
                  </w14:solidFill>
                </w14:textFill>
              </w:rPr>
              <w:t>米。由上表可知，只要施工场地经常采取措施，洒水抑尘，</w:t>
            </w:r>
            <w:r>
              <w:rPr>
                <w:rFonts w:hint="eastAsia" w:eastAsia="宋体"/>
                <w:color w:val="000000" w:themeColor="text1"/>
                <w:szCs w:val="24"/>
                <w14:textFill>
                  <w14:solidFill>
                    <w14:schemeClr w14:val="tx1"/>
                  </w14:solidFill>
                </w14:textFill>
              </w:rPr>
              <w:t>100</w:t>
            </w:r>
            <w:r>
              <w:rPr>
                <w:rFonts w:eastAsia="宋体"/>
                <w:color w:val="000000" w:themeColor="text1"/>
                <w:szCs w:val="24"/>
                <w14:textFill>
                  <w14:solidFill>
                    <w14:schemeClr w14:val="tx1"/>
                  </w14:solidFill>
                </w14:textFill>
              </w:rPr>
              <w:t>m外的TSP浓度为</w:t>
            </w:r>
            <w:r>
              <w:rPr>
                <w:rFonts w:hint="eastAsia" w:eastAsia="宋体"/>
                <w:color w:val="000000" w:themeColor="text1"/>
                <w:szCs w:val="24"/>
                <w14:textFill>
                  <w14:solidFill>
                    <w14:schemeClr w14:val="tx1"/>
                  </w14:solidFill>
                </w14:textFill>
              </w:rPr>
              <w:t>0.60</w:t>
            </w:r>
            <w:r>
              <w:rPr>
                <w:rFonts w:eastAsia="宋体"/>
                <w:color w:val="000000" w:themeColor="text1"/>
                <w:szCs w:val="24"/>
                <w14:textFill>
                  <w14:solidFill>
                    <w14:schemeClr w14:val="tx1"/>
                  </w14:solidFill>
                </w14:textFill>
              </w:rPr>
              <w:t>mg/m</w:t>
            </w:r>
            <w:r>
              <w:rPr>
                <w:rFonts w:hint="eastAsia"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。对照</w:t>
            </w:r>
            <w:r>
              <w:rPr>
                <w:rFonts w:hint="eastAsia" w:eastAsia="宋体"/>
                <w:color w:val="000000" w:themeColor="text1"/>
                <w:szCs w:val="24"/>
                <w14:textFill>
                  <w14:solidFill>
                    <w14:schemeClr w14:val="tx1"/>
                  </w14:solidFill>
                </w14:textFill>
              </w:rPr>
              <w:t>安徽省《施工场地颗粒物排放标准》（DB34/4811-2024）</w:t>
            </w:r>
            <w:r>
              <w:rPr>
                <w:rFonts w:eastAsia="宋体"/>
                <w:color w:val="000000" w:themeColor="text1"/>
                <w:szCs w:val="24"/>
                <w14:textFill>
                  <w14:solidFill>
                    <w14:schemeClr w14:val="tx1"/>
                  </w14:solidFill>
                </w14:textFill>
              </w:rPr>
              <w:t>中无组织排放监控浓度限值1.0mg/m</w:t>
            </w:r>
            <w:r>
              <w:rPr>
                <w:rFonts w:hint="eastAsia" w:eastAsia="宋体"/>
                <w:color w:val="000000" w:themeColor="text1"/>
                <w:szCs w:val="24"/>
                <w:vertAlign w:val="superscript"/>
                <w14:textFill>
                  <w14:solidFill>
                    <w14:schemeClr w14:val="tx1"/>
                  </w14:solidFill>
                </w14:textFill>
              </w:rPr>
              <w:t>3</w:t>
            </w:r>
            <w:r>
              <w:rPr>
                <w:rFonts w:eastAsia="宋体"/>
                <w:color w:val="000000" w:themeColor="text1"/>
                <w:szCs w:val="24"/>
                <w14:textFill>
                  <w14:solidFill>
                    <w14:schemeClr w14:val="tx1"/>
                  </w14:solidFill>
                </w14:textFill>
              </w:rPr>
              <w:t>，本项目施工对其影响不是很大，且施工期较短，环境影响较小。</w:t>
            </w:r>
          </w:p>
          <w:p w14:paraId="65D16DD0">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项日施工产生的扬尘会对周边环境造成一定程度的影响，因此施工单位需采取一系列的防护措施，严格按照</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安徽省建筑工程施工扬尘污染防治规定</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和</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淮南市扬尘污染防治管理办法</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，通过以下措施减少扬尘对</w:t>
            </w:r>
            <w:r>
              <w:rPr>
                <w:rFonts w:hint="eastAsia" w:eastAsia="宋体"/>
                <w:color w:val="000000" w:themeColor="text1"/>
                <w:szCs w:val="24"/>
                <w14:textFill>
                  <w14:solidFill>
                    <w14:schemeClr w14:val="tx1"/>
                  </w14:solidFill>
                </w14:textFill>
              </w:rPr>
              <w:t>环境的影响。</w:t>
            </w:r>
          </w:p>
          <w:p w14:paraId="2E6EB0C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2、</w:t>
            </w:r>
            <w:r>
              <w:rPr>
                <w:rFonts w:eastAsia="宋体"/>
                <w:color w:val="000000" w:themeColor="text1"/>
                <w:szCs w:val="24"/>
                <w14:textFill>
                  <w14:solidFill>
                    <w14:schemeClr w14:val="tx1"/>
                  </w14:solidFill>
                </w14:textFill>
              </w:rPr>
              <w:t>防治措施</w:t>
            </w:r>
          </w:p>
          <w:p w14:paraId="677FE76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w:t>
            </w:r>
            <w:r>
              <w:rPr>
                <w:rFonts w:eastAsia="宋体"/>
                <w:color w:val="000000" w:themeColor="text1"/>
                <w:szCs w:val="24"/>
                <w14:textFill>
                  <w14:solidFill>
                    <w14:schemeClr w14:val="tx1"/>
                  </w14:solidFill>
                </w14:textFill>
              </w:rPr>
              <w:t>建设单位是建筑工程施工扬尘污染防治的责任人，明确扬尘污染防治责任并监督落实</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将扬尘污染防治费用列入工程安全文明施工措施费，作为不可竞争费用列入工程成本，并在开工前及时足额支付给施工单位。</w:t>
            </w:r>
          </w:p>
          <w:p w14:paraId="30DD4DF5">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w:t>
            </w:r>
            <w:r>
              <w:rPr>
                <w:rFonts w:eastAsia="宋体"/>
                <w:color w:val="000000" w:themeColor="text1"/>
                <w:szCs w:val="24"/>
                <w14:textFill>
                  <w14:solidFill>
                    <w14:schemeClr w14:val="tx1"/>
                  </w14:solidFill>
                </w14:textFill>
              </w:rPr>
              <w:t>施工单位依照合同约定，具体承担建筑工程施工扬尘的污染防治工作，施工总承包单位对分包单位的扬尘污染防治负总责。</w:t>
            </w:r>
          </w:p>
          <w:p w14:paraId="35048D4A">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③</w:t>
            </w:r>
            <w:r>
              <w:rPr>
                <w:rFonts w:eastAsia="宋体"/>
                <w:color w:val="000000" w:themeColor="text1"/>
                <w:szCs w:val="24"/>
                <w14:textFill>
                  <w14:solidFill>
                    <w14:schemeClr w14:val="tx1"/>
                  </w14:solidFill>
                </w14:textFill>
              </w:rPr>
              <w:t>按照</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淮南市扬尘污染防治管理办法</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淮南市建设工程文明施工管理办法</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要求做好扬尘防治措施。</w:t>
            </w:r>
          </w:p>
          <w:p w14:paraId="0AAD2F32">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④</w:t>
            </w:r>
            <w:r>
              <w:rPr>
                <w:rFonts w:eastAsia="宋体"/>
                <w:color w:val="000000" w:themeColor="text1"/>
                <w:szCs w:val="24"/>
                <w14:textFill>
                  <w14:solidFill>
                    <w14:schemeClr w14:val="tx1"/>
                  </w14:solidFill>
                </w14:textFill>
              </w:rPr>
              <w:t>施工现场实行围挡封闭。主要路段施工现场围挡高度不得低于2.5m，一般路段施工现场围挡高度不得低于1.8m。围档底边应当封闭并设置防溢沉淀井，不得有泥浆外漏。</w:t>
            </w:r>
          </w:p>
          <w:p w14:paraId="30F84670">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⑤</w:t>
            </w:r>
            <w:r>
              <w:rPr>
                <w:rFonts w:eastAsia="宋体"/>
                <w:color w:val="000000" w:themeColor="text1"/>
                <w:szCs w:val="24"/>
                <w14:textFill>
                  <w14:solidFill>
                    <w14:schemeClr w14:val="tx1"/>
                  </w14:solidFill>
                </w14:textFill>
              </w:rPr>
              <w:t>施工现场出入口道路实施混凝土硬化并配备车辆冲洗设施。对驶出施工现场的机动车辆冲洗干净，方可上路。</w:t>
            </w:r>
          </w:p>
          <w:p w14:paraId="3FB31626">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⑥</w:t>
            </w:r>
            <w:r>
              <w:rPr>
                <w:rFonts w:eastAsia="宋体"/>
                <w:color w:val="000000" w:themeColor="text1"/>
                <w:szCs w:val="24"/>
                <w14:textFill>
                  <w14:solidFill>
                    <w14:schemeClr w14:val="tx1"/>
                  </w14:solidFill>
                </w14:textFill>
              </w:rPr>
              <w:t>施工现场内道路、加工区实施混凝土硬化。硬化后的地面，不得有浮土、积土，裸露场地应当采取覆盖或绿化措施。</w:t>
            </w:r>
          </w:p>
          <w:p w14:paraId="5465730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⑦</w:t>
            </w:r>
            <w:r>
              <w:rPr>
                <w:rFonts w:eastAsia="宋体"/>
                <w:color w:val="000000" w:themeColor="text1"/>
                <w:szCs w:val="24"/>
                <w14:textFill>
                  <w14:solidFill>
                    <w14:schemeClr w14:val="tx1"/>
                  </w14:solidFill>
                </w14:textFill>
              </w:rPr>
              <w:t>施工现场设置洒水降尘设施，安排专人定时洒水降尘。</w:t>
            </w:r>
          </w:p>
          <w:p w14:paraId="52FA37AB">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⑧</w:t>
            </w:r>
            <w:r>
              <w:rPr>
                <w:rFonts w:eastAsia="宋体"/>
                <w:color w:val="000000" w:themeColor="text1"/>
                <w:szCs w:val="24"/>
                <w14:textFill>
                  <w14:solidFill>
                    <w14:schemeClr w14:val="tx1"/>
                  </w14:solidFill>
                </w14:textFill>
              </w:rPr>
              <w:t>施工现场土方开挖后尽快完成回填，不能及时回填的场地，采取覆盖等防尘措施</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砂石等散体材料集中堆放并覆盖。</w:t>
            </w:r>
          </w:p>
          <w:p w14:paraId="64368571">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⑨</w:t>
            </w:r>
            <w:r>
              <w:rPr>
                <w:rFonts w:eastAsia="宋体"/>
                <w:color w:val="000000" w:themeColor="text1"/>
                <w:szCs w:val="24"/>
                <w14:textFill>
                  <w14:solidFill>
                    <w14:schemeClr w14:val="tx1"/>
                  </w14:solidFill>
                </w14:textFill>
              </w:rPr>
              <w:t>渣土等建筑垃圾集中、分类堆放，严密遮盖，采用封闭式管道或装袋清运，严禁高处抛洒。需要运输、处理的，按照市、县</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区</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政府市容环境卫生行政主管部门规定的时间、线路和要求，清运到指定的场所处理。</w:t>
            </w:r>
          </w:p>
          <w:p w14:paraId="1AAA369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⑩</w:t>
            </w:r>
            <w:r>
              <w:rPr>
                <w:rFonts w:eastAsia="宋体"/>
                <w:color w:val="000000" w:themeColor="text1"/>
                <w:szCs w:val="24"/>
                <w14:textFill>
                  <w14:solidFill>
                    <w14:schemeClr w14:val="tx1"/>
                  </w14:solidFill>
                </w14:textFill>
              </w:rPr>
              <w:t>外脚手架应当设置悬挂密目式安全网封闭，并保持严密整洁。</w:t>
            </w:r>
          </w:p>
          <w:p w14:paraId="0EFCFFF9">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⑪</w:t>
            </w:r>
            <w:r>
              <w:rPr>
                <w:rFonts w:eastAsia="宋体"/>
                <w:color w:val="000000" w:themeColor="text1"/>
                <w:szCs w:val="24"/>
                <w14:textFill>
                  <w14:solidFill>
                    <w14:schemeClr w14:val="tx1"/>
                  </w14:solidFill>
                </w14:textFill>
              </w:rPr>
              <w:t>施工现场禁止焚烧沥青、油毡、橡胶、塑料、皮革、垃圾以及其他产生有毒有害烟尘和恶臭气体的物质。</w:t>
            </w:r>
          </w:p>
          <w:p w14:paraId="1AF4A10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⑫</w:t>
            </w:r>
            <w:r>
              <w:rPr>
                <w:rFonts w:eastAsia="宋体"/>
                <w:color w:val="000000" w:themeColor="text1"/>
                <w:szCs w:val="24"/>
                <w14:textFill>
                  <w14:solidFill>
                    <w14:schemeClr w14:val="tx1"/>
                  </w14:solidFill>
                </w14:textFill>
              </w:rPr>
              <w:t>施工现场使用商品混凝土和预拌砂浆，搅拌混凝土和砂浆采取封闭、降尘措施。</w:t>
            </w:r>
          </w:p>
          <w:p w14:paraId="35D1DAB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⑬</w:t>
            </w:r>
            <w:r>
              <w:rPr>
                <w:rFonts w:eastAsia="宋体"/>
                <w:color w:val="000000" w:themeColor="text1"/>
                <w:szCs w:val="24"/>
                <w14:textFill>
                  <w14:solidFill>
                    <w14:schemeClr w14:val="tx1"/>
                  </w14:solidFill>
                </w14:textFill>
              </w:rPr>
              <w:t>运进或运出工地的土方、砂石、建筑垃圾等易产生扬尘的材料，应采取封闭运输。</w:t>
            </w:r>
          </w:p>
          <w:p w14:paraId="4EC0642A">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⑭</w:t>
            </w:r>
            <w:r>
              <w:rPr>
                <w:rFonts w:eastAsia="宋体"/>
                <w:color w:val="000000" w:themeColor="text1"/>
                <w:szCs w:val="24"/>
                <w14:textFill>
                  <w14:solidFill>
                    <w14:schemeClr w14:val="tx1"/>
                  </w14:solidFill>
                </w14:textFill>
              </w:rPr>
              <w:t>根据</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安徽省重污染天气应急预案</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启动III级(黄色)预警以上或气象预报风速达到五级以上时，不得进行土方挖填和转运、拆除、道路路面鼓风机吹灰等易产生扬尘的作业。</w:t>
            </w:r>
          </w:p>
          <w:p w14:paraId="45CF7640">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综上，当采取以上措施后，施工期废气对周边环境影响较少。</w:t>
            </w:r>
          </w:p>
          <w:p w14:paraId="42F84AAB">
            <w:pPr>
              <w:pStyle w:val="5"/>
              <w:keepNext/>
              <w:spacing w:before="0"/>
              <w:ind w:firstLine="482" w:firstLineChars="20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4.1.2</w:t>
            </w:r>
            <w:r>
              <w:rPr>
                <w:rFonts w:eastAsia="宋体"/>
                <w:b/>
                <w:bCs/>
                <w:color w:val="000000" w:themeColor="text1"/>
                <w:szCs w:val="24"/>
                <w14:textFill>
                  <w14:solidFill>
                    <w14:schemeClr w14:val="tx1"/>
                  </w14:solidFill>
                </w14:textFill>
              </w:rPr>
              <w:t>施工期水环境影响分析</w:t>
            </w:r>
          </w:p>
          <w:p w14:paraId="4A555EA8">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施工期会产生少量施工废水和生活污水，施工废水一般不含有毒有害污染物质，其主要含有较多的泥土、砂石以及油污，在经集水池、沉砂池、隔油池处理达标后回用。由于施工期废水排放总量较小，预计不会对区域水环境造成明显影响。施工期的生活污水经化粪池处理后通过市政污水管网排入</w:t>
            </w:r>
            <w:r>
              <w:rPr>
                <w:rFonts w:hint="eastAsia" w:eastAsia="宋体"/>
                <w:color w:val="000000" w:themeColor="text1"/>
                <w:szCs w:val="24"/>
                <w14:textFill>
                  <w14:solidFill>
                    <w14:schemeClr w14:val="tx1"/>
                  </w14:solidFill>
                </w14:textFill>
              </w:rPr>
              <w:t>淮南经济技术开发区工业污水处理厂</w:t>
            </w:r>
            <w:r>
              <w:rPr>
                <w:rFonts w:eastAsia="宋体"/>
                <w:color w:val="000000" w:themeColor="text1"/>
                <w:szCs w:val="24"/>
                <w14:textFill>
                  <w14:solidFill>
                    <w14:schemeClr w14:val="tx1"/>
                  </w14:solidFill>
                </w14:textFill>
              </w:rPr>
              <w:t>，对外环境影响较小。</w:t>
            </w:r>
          </w:p>
          <w:p w14:paraId="481D3962">
            <w:pPr>
              <w:pStyle w:val="5"/>
              <w:keepNext/>
              <w:spacing w:before="0"/>
              <w:ind w:firstLine="482" w:firstLineChars="20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4.1.3</w:t>
            </w:r>
            <w:r>
              <w:rPr>
                <w:rFonts w:eastAsia="宋体"/>
                <w:b/>
                <w:bCs/>
                <w:color w:val="000000" w:themeColor="text1"/>
                <w:szCs w:val="24"/>
                <w14:textFill>
                  <w14:solidFill>
                    <w14:schemeClr w14:val="tx1"/>
                  </w14:solidFill>
                </w14:textFill>
              </w:rPr>
              <w:t>施工期声环境影响分析</w:t>
            </w:r>
          </w:p>
          <w:p w14:paraId="242F4317">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建筑施工期的噪声源主要为施工机械和车辆，其特点是间歇或阵发性的，并具备流动性、噪声较高</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5m处噪声值在80~90dB</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的特征。因此，在考虑本工程噪声源对环境的影响时，仅考虑点声源到不同距离处经距离衰减后的噪声。各类施工机械声级采用类比调查法获取，具体的噪声源强见下表。</w:t>
            </w:r>
          </w:p>
          <w:p w14:paraId="442D7EB4">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4.1.3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主要施工机械噪声源强</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59"/>
              <w:gridCol w:w="1606"/>
              <w:gridCol w:w="1370"/>
              <w:gridCol w:w="2259"/>
              <w:gridCol w:w="1371"/>
            </w:tblGrid>
            <w:tr w14:paraId="6561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2062A5D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序号</w:t>
                  </w:r>
                </w:p>
              </w:tc>
              <w:tc>
                <w:tcPr>
                  <w:tcW w:w="1008" w:type="pct"/>
                  <w:vAlign w:val="center"/>
                </w:tcPr>
                <w:p w14:paraId="0380286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施工阶段</w:t>
                  </w:r>
                </w:p>
              </w:tc>
              <w:tc>
                <w:tcPr>
                  <w:tcW w:w="860" w:type="pct"/>
                  <w:vAlign w:val="center"/>
                </w:tcPr>
                <w:p w14:paraId="6699E8D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设备</w:t>
                  </w:r>
                </w:p>
              </w:tc>
              <w:tc>
                <w:tcPr>
                  <w:tcW w:w="1417" w:type="pct"/>
                  <w:vAlign w:val="center"/>
                </w:tcPr>
                <w:p w14:paraId="3985F3D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单机最大噪声值dB（A）</w:t>
                  </w:r>
                </w:p>
              </w:tc>
              <w:tc>
                <w:tcPr>
                  <w:tcW w:w="860" w:type="pct"/>
                  <w:vAlign w:val="center"/>
                </w:tcPr>
                <w:p w14:paraId="62E77AD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噪声测距</w:t>
                  </w:r>
                </w:p>
              </w:tc>
            </w:tr>
            <w:tr w14:paraId="53F4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573908F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w:t>
                  </w:r>
                </w:p>
              </w:tc>
              <w:tc>
                <w:tcPr>
                  <w:tcW w:w="1008" w:type="pct"/>
                  <w:vAlign w:val="center"/>
                </w:tcPr>
                <w:p w14:paraId="42196F5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土方</w:t>
                  </w:r>
                </w:p>
              </w:tc>
              <w:tc>
                <w:tcPr>
                  <w:tcW w:w="860" w:type="pct"/>
                  <w:vAlign w:val="center"/>
                </w:tcPr>
                <w:p w14:paraId="64D0B890">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推土机</w:t>
                  </w:r>
                </w:p>
              </w:tc>
              <w:tc>
                <w:tcPr>
                  <w:tcW w:w="1417" w:type="pct"/>
                  <w:vAlign w:val="center"/>
                </w:tcPr>
                <w:p w14:paraId="36455E5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83-88</w:t>
                  </w:r>
                </w:p>
              </w:tc>
              <w:tc>
                <w:tcPr>
                  <w:tcW w:w="860" w:type="pct"/>
                  <w:vAlign w:val="center"/>
                </w:tcPr>
                <w:p w14:paraId="1E418E1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5m</w:t>
                  </w:r>
                </w:p>
              </w:tc>
            </w:tr>
            <w:tr w14:paraId="5C91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53C443D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w:t>
                  </w:r>
                </w:p>
              </w:tc>
              <w:tc>
                <w:tcPr>
                  <w:tcW w:w="1008" w:type="pct"/>
                  <w:vAlign w:val="center"/>
                </w:tcPr>
                <w:p w14:paraId="2B6C01B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土方</w:t>
                  </w:r>
                </w:p>
              </w:tc>
              <w:tc>
                <w:tcPr>
                  <w:tcW w:w="860" w:type="pct"/>
                  <w:vAlign w:val="center"/>
                </w:tcPr>
                <w:p w14:paraId="698AF5E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装卸机</w:t>
                  </w:r>
                </w:p>
              </w:tc>
              <w:tc>
                <w:tcPr>
                  <w:tcW w:w="1417" w:type="pct"/>
                  <w:vAlign w:val="center"/>
                </w:tcPr>
                <w:p w14:paraId="130803F2">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90-95</w:t>
                  </w:r>
                </w:p>
              </w:tc>
              <w:tc>
                <w:tcPr>
                  <w:tcW w:w="860" w:type="pct"/>
                  <w:vAlign w:val="center"/>
                </w:tcPr>
                <w:p w14:paraId="358C25C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5m</w:t>
                  </w:r>
                </w:p>
              </w:tc>
            </w:tr>
            <w:tr w14:paraId="27F8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5DD8BB4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w:t>
                  </w:r>
                </w:p>
              </w:tc>
              <w:tc>
                <w:tcPr>
                  <w:tcW w:w="1008" w:type="pct"/>
                  <w:vAlign w:val="center"/>
                </w:tcPr>
                <w:p w14:paraId="5E9562D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土方</w:t>
                  </w:r>
                </w:p>
              </w:tc>
              <w:tc>
                <w:tcPr>
                  <w:tcW w:w="860" w:type="pct"/>
                  <w:vAlign w:val="center"/>
                </w:tcPr>
                <w:p w14:paraId="23FCC57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挖掘机</w:t>
                  </w:r>
                </w:p>
              </w:tc>
              <w:tc>
                <w:tcPr>
                  <w:tcW w:w="1417" w:type="pct"/>
                  <w:vAlign w:val="center"/>
                </w:tcPr>
                <w:p w14:paraId="3330426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82-90</w:t>
                  </w:r>
                </w:p>
              </w:tc>
              <w:tc>
                <w:tcPr>
                  <w:tcW w:w="860" w:type="pct"/>
                  <w:vAlign w:val="center"/>
                </w:tcPr>
                <w:p w14:paraId="5D6FE03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5m</w:t>
                  </w:r>
                </w:p>
              </w:tc>
            </w:tr>
            <w:tr w14:paraId="3CF4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1540423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w:t>
                  </w:r>
                </w:p>
              </w:tc>
              <w:tc>
                <w:tcPr>
                  <w:tcW w:w="1008" w:type="pct"/>
                  <w:vAlign w:val="center"/>
                </w:tcPr>
                <w:p w14:paraId="5D39EFD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结构</w:t>
                  </w:r>
                </w:p>
              </w:tc>
              <w:tc>
                <w:tcPr>
                  <w:tcW w:w="860" w:type="pct"/>
                  <w:vAlign w:val="center"/>
                </w:tcPr>
                <w:p w14:paraId="12B297C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振捣机</w:t>
                  </w:r>
                </w:p>
              </w:tc>
              <w:tc>
                <w:tcPr>
                  <w:tcW w:w="1417" w:type="pct"/>
                  <w:vAlign w:val="center"/>
                </w:tcPr>
                <w:p w14:paraId="68752EC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85-90</w:t>
                  </w:r>
                </w:p>
              </w:tc>
              <w:tc>
                <w:tcPr>
                  <w:tcW w:w="860" w:type="pct"/>
                  <w:vAlign w:val="center"/>
                </w:tcPr>
                <w:p w14:paraId="7290ED7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5m</w:t>
                  </w:r>
                </w:p>
              </w:tc>
            </w:tr>
            <w:tr w14:paraId="465A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853" w:type="pct"/>
                  <w:vAlign w:val="center"/>
                </w:tcPr>
                <w:p w14:paraId="7A9C105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w:t>
                  </w:r>
                </w:p>
              </w:tc>
              <w:tc>
                <w:tcPr>
                  <w:tcW w:w="1008" w:type="pct"/>
                  <w:vAlign w:val="center"/>
                </w:tcPr>
                <w:p w14:paraId="502C2F2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各阶段</w:t>
                  </w:r>
                </w:p>
              </w:tc>
              <w:tc>
                <w:tcPr>
                  <w:tcW w:w="860" w:type="pct"/>
                  <w:vAlign w:val="center"/>
                </w:tcPr>
                <w:p w14:paraId="4A19B8B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运输车辆</w:t>
                  </w:r>
                </w:p>
              </w:tc>
              <w:tc>
                <w:tcPr>
                  <w:tcW w:w="1417" w:type="pct"/>
                  <w:vAlign w:val="center"/>
                </w:tcPr>
                <w:p w14:paraId="57D0449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82-90</w:t>
                  </w:r>
                </w:p>
              </w:tc>
              <w:tc>
                <w:tcPr>
                  <w:tcW w:w="860" w:type="pct"/>
                  <w:vAlign w:val="center"/>
                </w:tcPr>
                <w:p w14:paraId="6BE4DF5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5m</w:t>
                  </w:r>
                </w:p>
              </w:tc>
            </w:tr>
          </w:tbl>
          <w:p w14:paraId="0FD7FAD2">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噪声值计算</w:t>
            </w:r>
          </w:p>
          <w:p w14:paraId="6BBDF333">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在考虑本工程噪声源对环境影响的同时，仅考虑点声源到不同距离处经距离衰减后的噪声，计算出声源对附近敏感点的贡献值，并对声源的贡献值进行分析。噪声值计算模式为</w:t>
            </w:r>
            <w:r>
              <w:rPr>
                <w:rFonts w:hint="eastAsia" w:eastAsia="宋体"/>
                <w:color w:val="000000" w:themeColor="text1"/>
                <w:szCs w:val="24"/>
                <w14:textFill>
                  <w14:solidFill>
                    <w14:schemeClr w14:val="tx1"/>
                  </w14:solidFill>
                </w14:textFill>
              </w:rPr>
              <w:t>：</w:t>
            </w:r>
          </w:p>
          <w:p w14:paraId="7127CC1B">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676525" cy="228600"/>
                  <wp:effectExtent l="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3"/>
                          <a:stretch>
                            <a:fillRect/>
                          </a:stretch>
                        </pic:blipFill>
                        <pic:spPr>
                          <a:xfrm>
                            <a:off x="0" y="0"/>
                            <a:ext cx="2676525" cy="228600"/>
                          </a:xfrm>
                          <a:prstGeom prst="rect">
                            <a:avLst/>
                          </a:prstGeom>
                          <a:noFill/>
                          <a:ln>
                            <a:noFill/>
                          </a:ln>
                        </pic:spPr>
                      </pic:pic>
                    </a:graphicData>
                  </a:graphic>
                </wp:inline>
              </w:drawing>
            </w:r>
          </w:p>
          <w:p w14:paraId="1ECE2D42">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式中</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L</w:t>
            </w:r>
            <w:r>
              <w:rPr>
                <w:rFonts w:eastAsia="宋体"/>
                <w:color w:val="000000" w:themeColor="text1"/>
                <w:szCs w:val="24"/>
                <w:vertAlign w:val="subscript"/>
                <w14:textFill>
                  <w14:solidFill>
                    <w14:schemeClr w14:val="tx1"/>
                  </w14:solidFill>
                </w14:textFill>
              </w:rPr>
              <w:t>A</w:t>
            </w:r>
            <w:r>
              <w:rPr>
                <w:rFonts w:eastAsia="宋体"/>
                <w:color w:val="000000" w:themeColor="text1"/>
                <w:szCs w:val="24"/>
                <w14:textFill>
                  <w14:solidFill>
                    <w14:schemeClr w14:val="tx1"/>
                  </w14:solidFill>
                </w14:textFill>
              </w:rPr>
              <w:t>(r)</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距声源r处的A声级，dB</w:t>
            </w:r>
            <w:r>
              <w:rPr>
                <w:rFonts w:hint="eastAsia" w:eastAsia="宋体"/>
                <w:color w:val="000000" w:themeColor="text1"/>
                <w:szCs w:val="24"/>
                <w14:textFill>
                  <w14:solidFill>
                    <w14:schemeClr w14:val="tx1"/>
                  </w14:solidFill>
                </w14:textFill>
              </w:rPr>
              <w:t>；</w:t>
            </w:r>
          </w:p>
          <w:p w14:paraId="66AB03C8">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L</w:t>
            </w:r>
            <w:r>
              <w:rPr>
                <w:rFonts w:eastAsia="宋体"/>
                <w:color w:val="000000" w:themeColor="text1"/>
                <w:szCs w:val="24"/>
                <w:vertAlign w:val="subscript"/>
                <w14:textFill>
                  <w14:solidFill>
                    <w14:schemeClr w14:val="tx1"/>
                  </w14:solidFill>
                </w14:textFill>
              </w:rPr>
              <w:t>Aref</w:t>
            </w:r>
            <w:r>
              <w:rPr>
                <w:rFonts w:eastAsia="宋体"/>
                <w:color w:val="000000" w:themeColor="text1"/>
                <w:szCs w:val="24"/>
                <w14:textFill>
                  <w14:solidFill>
                    <w14:schemeClr w14:val="tx1"/>
                  </w14:solidFill>
                </w14:textFill>
              </w:rPr>
              <w:t>(r</w:t>
            </w:r>
            <w:r>
              <w:rPr>
                <w:rFonts w:hint="eastAsia" w:eastAsia="宋体"/>
                <w:color w:val="000000" w:themeColor="text1"/>
                <w:szCs w:val="24"/>
                <w:vertAlign w:val="subscript"/>
                <w14:textFill>
                  <w14:solidFill>
                    <w14:schemeClr w14:val="tx1"/>
                  </w14:solidFill>
                </w14:textFill>
              </w:rPr>
              <w:t>O</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参考位置r</w:t>
            </w:r>
            <w:r>
              <w:rPr>
                <w:rFonts w:hint="eastAsia" w:eastAsia="宋体"/>
                <w:color w:val="000000" w:themeColor="text1"/>
                <w:szCs w:val="24"/>
                <w:vertAlign w:val="subscript"/>
                <w14:textFill>
                  <w14:solidFill>
                    <w14:schemeClr w14:val="tx1"/>
                  </w14:solidFill>
                </w14:textFill>
              </w:rPr>
              <w:t>O</w:t>
            </w:r>
            <w:r>
              <w:rPr>
                <w:rFonts w:eastAsia="宋体"/>
                <w:color w:val="000000" w:themeColor="text1"/>
                <w:szCs w:val="24"/>
                <w14:textFill>
                  <w14:solidFill>
                    <w14:schemeClr w14:val="tx1"/>
                  </w14:solidFill>
                </w14:textFill>
              </w:rPr>
              <w:t>处的A声级，dB</w:t>
            </w:r>
            <w:r>
              <w:rPr>
                <w:rFonts w:hint="eastAsia" w:eastAsia="宋体"/>
                <w:color w:val="000000" w:themeColor="text1"/>
                <w:szCs w:val="24"/>
                <w14:textFill>
                  <w14:solidFill>
                    <w14:schemeClr w14:val="tx1"/>
                  </w14:solidFill>
                </w14:textFill>
              </w:rPr>
              <w:t>；</w:t>
            </w:r>
          </w:p>
          <w:p w14:paraId="49BD0272">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hint="eastAsia" w:eastAsia="宋体"/>
                <w:color w:val="000000" w:themeColor="text1"/>
                <w:szCs w:val="24"/>
                <w:vertAlign w:val="subscript"/>
                <w14:textFill>
                  <w14:solidFill>
                    <w14:schemeClr w14:val="tx1"/>
                  </w14:solidFill>
                </w14:textFill>
              </w:rPr>
              <w:t>div</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声波</w:t>
            </w:r>
            <w:r>
              <w:rPr>
                <w:rFonts w:hint="eastAsia" w:eastAsia="宋体"/>
                <w:color w:val="000000" w:themeColor="text1"/>
                <w:szCs w:val="24"/>
                <w14:textFill>
                  <w14:solidFill>
                    <w14:schemeClr w14:val="tx1"/>
                  </w14:solidFill>
                </w14:textFill>
              </w:rPr>
              <w:t>几</w:t>
            </w:r>
            <w:r>
              <w:rPr>
                <w:rFonts w:eastAsia="宋体"/>
                <w:color w:val="000000" w:themeColor="text1"/>
                <w:szCs w:val="24"/>
                <w14:textFill>
                  <w14:solidFill>
                    <w14:schemeClr w14:val="tx1"/>
                  </w14:solidFill>
                </w14:textFill>
              </w:rPr>
              <w:t>何发散引起的A声级衰减量dB，</w:t>
            </w:r>
          </w:p>
          <w:p w14:paraId="7313B3BE">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hint="eastAsia" w:eastAsia="宋体"/>
                <w:color w:val="000000" w:themeColor="text1"/>
                <w:szCs w:val="24"/>
                <w:vertAlign w:val="subscript"/>
                <w14:textFill>
                  <w14:solidFill>
                    <w14:schemeClr w14:val="tx1"/>
                  </w14:solidFill>
                </w14:textFill>
              </w:rPr>
              <w:t>div</w:t>
            </w:r>
            <w:r>
              <w:rPr>
                <w:rFonts w:eastAsia="宋体"/>
                <w:color w:val="000000" w:themeColor="text1"/>
                <w:szCs w:val="24"/>
                <w14:textFill>
                  <w14:solidFill>
                    <w14:schemeClr w14:val="tx1"/>
                  </w14:solidFill>
                </w14:textFill>
              </w:rPr>
              <w:t>=20</w:t>
            </w:r>
            <w:r>
              <w:rPr>
                <w:rFonts w:hint="eastAsia" w:eastAsia="宋体"/>
                <w:color w:val="000000" w:themeColor="text1"/>
                <w:szCs w:val="24"/>
                <w14:textFill>
                  <w14:solidFill>
                    <w14:schemeClr w14:val="tx1"/>
                  </w14:solidFill>
                </w14:textFill>
              </w:rPr>
              <w:t>l</w:t>
            </w:r>
            <w:r>
              <w:rPr>
                <w:rFonts w:eastAsia="宋体"/>
                <w:color w:val="000000" w:themeColor="text1"/>
                <w:szCs w:val="24"/>
                <w14:textFill>
                  <w14:solidFill>
                    <w14:schemeClr w14:val="tx1"/>
                  </w14:solidFill>
                </w14:textFill>
              </w:rPr>
              <w:t>g(r/r</w:t>
            </w:r>
            <w:r>
              <w:rPr>
                <w:rFonts w:hint="eastAsia" w:eastAsia="宋体"/>
                <w:color w:val="000000" w:themeColor="text1"/>
                <w:szCs w:val="24"/>
                <w:vertAlign w:val="subscript"/>
                <w14:textFill>
                  <w14:solidFill>
                    <w14:schemeClr w14:val="tx1"/>
                  </w14:solidFill>
                </w14:textFill>
              </w:rPr>
              <w:t>O</w:t>
            </w:r>
            <w:r>
              <w:rPr>
                <w:rFonts w:eastAsia="宋体"/>
                <w:color w:val="000000" w:themeColor="text1"/>
                <w:szCs w:val="24"/>
                <w14:textFill>
                  <w14:solidFill>
                    <w14:schemeClr w14:val="tx1"/>
                  </w14:solidFill>
                </w14:textFill>
              </w:rPr>
              <w:t>)</w:t>
            </w:r>
          </w:p>
          <w:p w14:paraId="55E3622E">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eastAsia="宋体"/>
                <w:color w:val="000000" w:themeColor="text1"/>
                <w:szCs w:val="24"/>
                <w:vertAlign w:val="subscript"/>
                <w14:textFill>
                  <w14:solidFill>
                    <w14:schemeClr w14:val="tx1"/>
                  </w14:solidFill>
                </w14:textFill>
              </w:rPr>
              <w:t>ba</w:t>
            </w:r>
            <w:r>
              <w:rPr>
                <w:rFonts w:hint="eastAsia" w:eastAsia="宋体"/>
                <w:color w:val="000000" w:themeColor="text1"/>
                <w:szCs w:val="24"/>
                <w:vertAlign w:val="subscript"/>
                <w14:textFill>
                  <w14:solidFill>
                    <w14:schemeClr w14:val="tx1"/>
                  </w14:solidFill>
                </w14:textFill>
              </w:rPr>
              <w:t>r</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遮挡物引起的A声级衰减量dB，在此取值为0</w:t>
            </w:r>
            <w:r>
              <w:rPr>
                <w:rFonts w:hint="eastAsia" w:eastAsia="宋体"/>
                <w:color w:val="000000" w:themeColor="text1"/>
                <w:szCs w:val="24"/>
                <w14:textFill>
                  <w14:solidFill>
                    <w14:schemeClr w14:val="tx1"/>
                  </w14:solidFill>
                </w14:textFill>
              </w:rPr>
              <w:t>；</w:t>
            </w:r>
          </w:p>
          <w:p w14:paraId="0F3A56C1">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eastAsia="宋体"/>
                <w:color w:val="000000" w:themeColor="text1"/>
                <w:szCs w:val="24"/>
                <w:vertAlign w:val="subscript"/>
                <w14:textFill>
                  <w14:solidFill>
                    <w14:schemeClr w14:val="tx1"/>
                  </w14:solidFill>
                </w14:textFill>
              </w:rPr>
              <w:t>atm</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空气吸收引起的A声级衰减量dB，</w:t>
            </w:r>
          </w:p>
          <w:p w14:paraId="4C1EEDFF">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eastAsia="宋体"/>
                <w:color w:val="000000" w:themeColor="text1"/>
                <w:szCs w:val="24"/>
                <w:vertAlign w:val="subscript"/>
                <w14:textFill>
                  <w14:solidFill>
                    <w14:schemeClr w14:val="tx1"/>
                  </w14:solidFill>
                </w14:textFill>
              </w:rPr>
              <w:t>atm</w:t>
            </w:r>
            <w:r>
              <w:rPr>
                <w:rFonts w:eastAsia="宋体"/>
                <w:color w:val="000000" w:themeColor="text1"/>
                <w:szCs w:val="24"/>
                <w14:textFill>
                  <w14:solidFill>
                    <w14:schemeClr w14:val="tx1"/>
                  </w14:solidFill>
                </w14:textFill>
              </w:rPr>
              <w:t>=</w:t>
            </w:r>
            <w:r>
              <w:rPr>
                <w:rFonts w:ascii="Arial" w:hAnsi="Arial" w:eastAsia="宋体" w:cs="Arial"/>
                <w:color w:val="000000" w:themeColor="text1"/>
                <w:szCs w:val="24"/>
                <w14:textFill>
                  <w14:solidFill>
                    <w14:schemeClr w14:val="tx1"/>
                  </w14:solidFill>
                </w14:textFill>
              </w:rPr>
              <w:t>α</w:t>
            </w:r>
            <w:r>
              <w:rPr>
                <w:rFonts w:hint="eastAsia" w:eastAsia="宋体"/>
                <w:color w:val="000000" w:themeColor="text1"/>
                <w:szCs w:val="24"/>
                <w14:textFill>
                  <w14:solidFill>
                    <w14:schemeClr w14:val="tx1"/>
                  </w14:solidFill>
                </w14:textFill>
              </w:rPr>
              <w:t>（r/</w:t>
            </w:r>
            <w:r>
              <w:rPr>
                <w:rFonts w:eastAsia="宋体"/>
                <w:color w:val="000000" w:themeColor="text1"/>
                <w:szCs w:val="24"/>
                <w14:textFill>
                  <w14:solidFill>
                    <w14:schemeClr w14:val="tx1"/>
                  </w14:solidFill>
                </w14:textFill>
              </w:rPr>
              <w:t>r</w:t>
            </w:r>
            <w:r>
              <w:rPr>
                <w:rFonts w:hint="eastAsia" w:eastAsia="宋体"/>
                <w:color w:val="000000" w:themeColor="text1"/>
                <w:szCs w:val="24"/>
                <w:vertAlign w:val="subscript"/>
                <w14:textFill>
                  <w14:solidFill>
                    <w14:schemeClr w14:val="tx1"/>
                  </w14:solidFill>
                </w14:textFill>
              </w:rPr>
              <w:t>O</w:t>
            </w:r>
            <w:r>
              <w:rPr>
                <w:rFonts w:hint="eastAsia" w:eastAsia="宋体"/>
                <w:color w:val="000000" w:themeColor="text1"/>
                <w:szCs w:val="24"/>
                <w14:textFill>
                  <w14:solidFill>
                    <w14:schemeClr w14:val="tx1"/>
                  </w14:solidFill>
                </w14:textFill>
              </w:rPr>
              <w:t>）/100</w:t>
            </w:r>
            <w:r>
              <w:rPr>
                <w:rFonts w:eastAsia="宋体"/>
                <w:color w:val="000000" w:themeColor="text1"/>
                <w:szCs w:val="24"/>
                <w14:textFill>
                  <w14:solidFill>
                    <w14:schemeClr w14:val="tx1"/>
                  </w14:solidFill>
                </w14:textFill>
              </w:rPr>
              <w:t>，</w:t>
            </w:r>
            <w:r>
              <w:rPr>
                <w:rFonts w:hint="eastAsia" w:eastAsia="宋体"/>
                <w:color w:val="000000" w:themeColor="text1"/>
                <w:szCs w:val="24"/>
                <w14:textFill>
                  <w14:solidFill>
                    <w14:schemeClr w14:val="tx1"/>
                  </w14:solidFill>
                </w14:textFill>
              </w:rPr>
              <w:t>查</w:t>
            </w:r>
            <w:r>
              <w:rPr>
                <w:rFonts w:eastAsia="宋体"/>
                <w:color w:val="000000" w:themeColor="text1"/>
                <w:szCs w:val="24"/>
                <w14:textFill>
                  <w14:solidFill>
                    <w14:schemeClr w14:val="tx1"/>
                  </w14:solidFill>
                </w14:textFill>
              </w:rPr>
              <w:t>表取</w:t>
            </w:r>
            <w:r>
              <w:rPr>
                <w:rFonts w:ascii="Arial" w:hAnsi="Arial" w:eastAsia="宋体" w:cs="Arial"/>
                <w:color w:val="000000" w:themeColor="text1"/>
                <w:szCs w:val="24"/>
                <w14:textFill>
                  <w14:solidFill>
                    <w14:schemeClr w14:val="tx1"/>
                  </w14:solidFill>
                </w14:textFill>
              </w:rPr>
              <w:t>α</w:t>
            </w:r>
            <w:r>
              <w:rPr>
                <w:rFonts w:hint="eastAsia" w:ascii="Arial" w:hAnsi="Arial" w:eastAsia="宋体" w:cs="Arial"/>
                <w:color w:val="000000" w:themeColor="text1"/>
                <w:szCs w:val="24"/>
                <w14:textFill>
                  <w14:solidFill>
                    <w14:schemeClr w14:val="tx1"/>
                  </w14:solidFill>
                </w14:textFill>
              </w:rPr>
              <w:t>为</w:t>
            </w:r>
            <w:r>
              <w:rPr>
                <w:rFonts w:eastAsia="宋体"/>
                <w:color w:val="000000" w:themeColor="text1"/>
                <w:szCs w:val="24"/>
                <w14:textFill>
                  <w14:solidFill>
                    <w14:schemeClr w14:val="tx1"/>
                  </w14:solidFill>
                </w14:textFill>
              </w:rPr>
              <w:t>1.142</w:t>
            </w:r>
            <w:r>
              <w:rPr>
                <w:rFonts w:hint="eastAsia" w:eastAsia="宋体"/>
                <w:color w:val="000000" w:themeColor="text1"/>
                <w:szCs w:val="24"/>
                <w14:textFill>
                  <w14:solidFill>
                    <w14:schemeClr w14:val="tx1"/>
                  </w14:solidFill>
                </w14:textFill>
              </w:rPr>
              <w:t>；</w:t>
            </w:r>
          </w:p>
          <w:p w14:paraId="599D3F34">
            <w:pPr>
              <w:pStyle w:val="5"/>
              <w:keepNext/>
              <w:spacing w:before="0"/>
              <w:ind w:firstLine="1200" w:firstLineChars="5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A</w:t>
            </w:r>
            <w:r>
              <w:rPr>
                <w:rFonts w:eastAsia="宋体"/>
                <w:color w:val="000000" w:themeColor="text1"/>
                <w:szCs w:val="24"/>
                <w:vertAlign w:val="subscript"/>
                <w14:textFill>
                  <w14:solidFill>
                    <w14:schemeClr w14:val="tx1"/>
                  </w14:solidFill>
                </w14:textFill>
              </w:rPr>
              <w:t>ex</w:t>
            </w:r>
            <w:r>
              <w:rPr>
                <w:rFonts w:hint="eastAsia" w:eastAsia="宋体"/>
                <w:color w:val="000000" w:themeColor="text1"/>
                <w:szCs w:val="24"/>
                <w:vertAlign w:val="subscript"/>
                <w14:textFill>
                  <w14:solidFill>
                    <w14:schemeClr w14:val="tx1"/>
                  </w14:solidFill>
                </w14:textFill>
              </w:rPr>
              <w:t>c</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附加A声级衰减量dB</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eastAsia="宋体"/>
                <w:color w:val="000000" w:themeColor="text1"/>
                <w:szCs w:val="24"/>
                <w:vertAlign w:val="subscript"/>
                <w14:textFill>
                  <w14:solidFill>
                    <w14:schemeClr w14:val="tx1"/>
                  </w14:solidFill>
                </w14:textFill>
              </w:rPr>
              <w:t>ex</w:t>
            </w:r>
            <w:r>
              <w:rPr>
                <w:rFonts w:hint="eastAsia" w:eastAsia="宋体"/>
                <w:color w:val="000000" w:themeColor="text1"/>
                <w:szCs w:val="24"/>
                <w:vertAlign w:val="subscript"/>
                <w14:textFill>
                  <w14:solidFill>
                    <w14:schemeClr w14:val="tx1"/>
                  </w14:solidFill>
                </w14:textFill>
              </w:rPr>
              <w:t>c</w:t>
            </w:r>
            <w:r>
              <w:rPr>
                <w:rFonts w:eastAsia="宋体"/>
                <w:color w:val="000000" w:themeColor="text1"/>
                <w:szCs w:val="24"/>
                <w14:textFill>
                  <w14:solidFill>
                    <w14:schemeClr w14:val="tx1"/>
                  </w14:solidFill>
                </w14:textFill>
              </w:rPr>
              <w:t>=5lg</w:t>
            </w:r>
            <w:r>
              <w:rPr>
                <w:rFonts w:hint="eastAsia" w:eastAsia="宋体"/>
                <w:color w:val="000000" w:themeColor="text1"/>
                <w:szCs w:val="24"/>
                <w14:textFill>
                  <w14:solidFill>
                    <w14:schemeClr w14:val="tx1"/>
                  </w14:solidFill>
                </w14:textFill>
              </w:rPr>
              <w:t>（r/</w:t>
            </w:r>
            <w:r>
              <w:rPr>
                <w:rFonts w:eastAsia="宋体"/>
                <w:color w:val="000000" w:themeColor="text1"/>
                <w:szCs w:val="24"/>
                <w14:textFill>
                  <w14:solidFill>
                    <w14:schemeClr w14:val="tx1"/>
                  </w14:solidFill>
                </w14:textFill>
              </w:rPr>
              <w:t>r</w:t>
            </w:r>
            <w:r>
              <w:rPr>
                <w:rFonts w:hint="eastAsia" w:eastAsia="宋体"/>
                <w:color w:val="000000" w:themeColor="text1"/>
                <w:szCs w:val="24"/>
                <w:vertAlign w:val="subscript"/>
                <w14:textFill>
                  <w14:solidFill>
                    <w14:schemeClr w14:val="tx1"/>
                  </w14:solidFill>
                </w14:textFill>
              </w:rPr>
              <w:t>O</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w:t>
            </w:r>
          </w:p>
          <w:p w14:paraId="008E997E">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施工场地噪声预测结果见下表。</w:t>
            </w:r>
          </w:p>
          <w:p w14:paraId="79A323F4">
            <w:pPr>
              <w:spacing w:line="360" w:lineRule="auto"/>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4.1.3</w:t>
            </w: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2</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距声源不同距离出的噪声值dB（A）</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39"/>
              <w:gridCol w:w="908"/>
              <w:gridCol w:w="727"/>
              <w:gridCol w:w="790"/>
              <w:gridCol w:w="825"/>
              <w:gridCol w:w="736"/>
              <w:gridCol w:w="827"/>
              <w:gridCol w:w="736"/>
              <w:gridCol w:w="737"/>
              <w:gridCol w:w="737"/>
            </w:tblGrid>
            <w:tr w14:paraId="5E2A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89" w:type="pct"/>
                  <w:vAlign w:val="center"/>
                </w:tcPr>
                <w:p w14:paraId="02A735C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设备名称</w:t>
                  </w:r>
                </w:p>
              </w:tc>
              <w:tc>
                <w:tcPr>
                  <w:tcW w:w="570" w:type="pct"/>
                  <w:vAlign w:val="center"/>
                </w:tcPr>
                <w:p w14:paraId="63C745D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5m</w:t>
                  </w:r>
                </w:p>
              </w:tc>
              <w:tc>
                <w:tcPr>
                  <w:tcW w:w="456" w:type="pct"/>
                  <w:vAlign w:val="center"/>
                </w:tcPr>
                <w:p w14:paraId="6ECF69E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10m</w:t>
                  </w:r>
                </w:p>
              </w:tc>
              <w:tc>
                <w:tcPr>
                  <w:tcW w:w="496" w:type="pct"/>
                  <w:vAlign w:val="center"/>
                </w:tcPr>
                <w:p w14:paraId="261EAC1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20m</w:t>
                  </w:r>
                </w:p>
              </w:tc>
              <w:tc>
                <w:tcPr>
                  <w:tcW w:w="518" w:type="pct"/>
                  <w:vAlign w:val="center"/>
                </w:tcPr>
                <w:p w14:paraId="01BDD5A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40m</w:t>
                  </w:r>
                </w:p>
              </w:tc>
              <w:tc>
                <w:tcPr>
                  <w:tcW w:w="462" w:type="pct"/>
                  <w:vAlign w:val="center"/>
                </w:tcPr>
                <w:p w14:paraId="6AB9A6C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50m</w:t>
                  </w:r>
                </w:p>
              </w:tc>
              <w:tc>
                <w:tcPr>
                  <w:tcW w:w="519" w:type="pct"/>
                  <w:vAlign w:val="center"/>
                </w:tcPr>
                <w:p w14:paraId="6F4014F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100m</w:t>
                  </w:r>
                </w:p>
              </w:tc>
              <w:tc>
                <w:tcPr>
                  <w:tcW w:w="462" w:type="pct"/>
                  <w:vAlign w:val="center"/>
                </w:tcPr>
                <w:p w14:paraId="0870E4B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150m</w:t>
                  </w:r>
                </w:p>
              </w:tc>
              <w:tc>
                <w:tcPr>
                  <w:tcW w:w="462" w:type="pct"/>
                  <w:vAlign w:val="center"/>
                </w:tcPr>
                <w:p w14:paraId="6E0398C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200m</w:t>
                  </w:r>
                </w:p>
              </w:tc>
              <w:tc>
                <w:tcPr>
                  <w:tcW w:w="462" w:type="pct"/>
                  <w:vAlign w:val="center"/>
                </w:tcPr>
                <w:p w14:paraId="1B09B32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300m</w:t>
                  </w:r>
                </w:p>
              </w:tc>
            </w:tr>
            <w:tr w14:paraId="1C9E3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dxa"/>
                  <w:vAlign w:val="center"/>
                </w:tcPr>
                <w:p w14:paraId="3199653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推土机</w:t>
                  </w:r>
                </w:p>
              </w:tc>
              <w:tc>
                <w:tcPr>
                  <w:tcW w:w="570" w:type="pct"/>
                  <w:vAlign w:val="center"/>
                </w:tcPr>
                <w:p w14:paraId="64CCB44A">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86</w:t>
                  </w:r>
                </w:p>
              </w:tc>
              <w:tc>
                <w:tcPr>
                  <w:tcW w:w="456" w:type="pct"/>
                  <w:vAlign w:val="center"/>
                </w:tcPr>
                <w:p w14:paraId="1C2D556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78</w:t>
                  </w:r>
                </w:p>
              </w:tc>
              <w:tc>
                <w:tcPr>
                  <w:tcW w:w="496" w:type="pct"/>
                  <w:vAlign w:val="center"/>
                </w:tcPr>
                <w:p w14:paraId="1231EDB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71</w:t>
                  </w:r>
                </w:p>
              </w:tc>
              <w:tc>
                <w:tcPr>
                  <w:tcW w:w="518" w:type="pct"/>
                  <w:vAlign w:val="center"/>
                </w:tcPr>
                <w:p w14:paraId="2079602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63</w:t>
                  </w:r>
                </w:p>
              </w:tc>
              <w:tc>
                <w:tcPr>
                  <w:tcW w:w="462" w:type="pct"/>
                  <w:vAlign w:val="center"/>
                </w:tcPr>
                <w:p w14:paraId="6B6A3D09">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61</w:t>
                  </w:r>
                </w:p>
              </w:tc>
              <w:tc>
                <w:tcPr>
                  <w:tcW w:w="519" w:type="pct"/>
                  <w:vAlign w:val="center"/>
                </w:tcPr>
                <w:p w14:paraId="65B47B0D">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53</w:t>
                  </w:r>
                </w:p>
              </w:tc>
              <w:tc>
                <w:tcPr>
                  <w:tcW w:w="462" w:type="pct"/>
                  <w:vAlign w:val="center"/>
                </w:tcPr>
                <w:p w14:paraId="57E19A6E">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49</w:t>
                  </w:r>
                </w:p>
              </w:tc>
              <w:tc>
                <w:tcPr>
                  <w:tcW w:w="462" w:type="pct"/>
                  <w:vAlign w:val="center"/>
                </w:tcPr>
                <w:p w14:paraId="04EE5FB5">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45</w:t>
                  </w:r>
                </w:p>
              </w:tc>
              <w:tc>
                <w:tcPr>
                  <w:tcW w:w="462" w:type="pct"/>
                  <w:vAlign w:val="center"/>
                </w:tcPr>
                <w:p w14:paraId="47DA4BE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41</w:t>
                  </w:r>
                </w:p>
              </w:tc>
            </w:tr>
            <w:tr w14:paraId="732A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dxa"/>
                  <w:vAlign w:val="center"/>
                </w:tcPr>
                <w:p w14:paraId="7CFBBB4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装卸机</w:t>
                  </w:r>
                </w:p>
              </w:tc>
              <w:tc>
                <w:tcPr>
                  <w:tcW w:w="570" w:type="pct"/>
                  <w:vAlign w:val="center"/>
                </w:tcPr>
                <w:p w14:paraId="604CC6C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456" w:type="pct"/>
                  <w:vAlign w:val="center"/>
                </w:tcPr>
                <w:p w14:paraId="7C72591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82</w:t>
                  </w:r>
                </w:p>
              </w:tc>
              <w:tc>
                <w:tcPr>
                  <w:tcW w:w="496" w:type="pct"/>
                  <w:vAlign w:val="center"/>
                </w:tcPr>
                <w:p w14:paraId="49D0CC4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75</w:t>
                  </w:r>
                </w:p>
              </w:tc>
              <w:tc>
                <w:tcPr>
                  <w:tcW w:w="518" w:type="pct"/>
                  <w:vAlign w:val="center"/>
                </w:tcPr>
                <w:p w14:paraId="6A39A29F">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w:t>
                  </w:r>
                </w:p>
              </w:tc>
              <w:tc>
                <w:tcPr>
                  <w:tcW w:w="462" w:type="pct"/>
                  <w:vAlign w:val="center"/>
                </w:tcPr>
                <w:p w14:paraId="40209E0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519" w:type="pct"/>
                  <w:vAlign w:val="center"/>
                </w:tcPr>
                <w:p w14:paraId="3E5A69F3">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57</w:t>
                  </w:r>
                </w:p>
              </w:tc>
              <w:tc>
                <w:tcPr>
                  <w:tcW w:w="462" w:type="pct"/>
                  <w:vAlign w:val="center"/>
                </w:tcPr>
                <w:p w14:paraId="2D9F641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53</w:t>
                  </w:r>
                </w:p>
              </w:tc>
              <w:tc>
                <w:tcPr>
                  <w:tcW w:w="462" w:type="pct"/>
                  <w:vAlign w:val="center"/>
                </w:tcPr>
                <w:p w14:paraId="56CFDE3C">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462" w:type="pct"/>
                  <w:vAlign w:val="center"/>
                </w:tcPr>
                <w:p w14:paraId="7F8D84C0">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r>
            <w:tr w14:paraId="0604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dxa"/>
                  <w:vAlign w:val="center"/>
                </w:tcPr>
                <w:p w14:paraId="496BD48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挖掘机</w:t>
                  </w:r>
                </w:p>
              </w:tc>
              <w:tc>
                <w:tcPr>
                  <w:tcW w:w="570" w:type="pct"/>
                  <w:vAlign w:val="center"/>
                </w:tcPr>
                <w:p w14:paraId="48C5AAFE">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84</w:t>
                  </w:r>
                </w:p>
              </w:tc>
              <w:tc>
                <w:tcPr>
                  <w:tcW w:w="456" w:type="pct"/>
                  <w:vAlign w:val="center"/>
                </w:tcPr>
                <w:p w14:paraId="623DAB96">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76</w:t>
                  </w:r>
                </w:p>
              </w:tc>
              <w:tc>
                <w:tcPr>
                  <w:tcW w:w="496" w:type="pct"/>
                  <w:vAlign w:val="center"/>
                </w:tcPr>
                <w:p w14:paraId="72EC871C">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69</w:t>
                  </w:r>
                </w:p>
              </w:tc>
              <w:tc>
                <w:tcPr>
                  <w:tcW w:w="518" w:type="pct"/>
                  <w:vAlign w:val="center"/>
                </w:tcPr>
                <w:p w14:paraId="7708336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61</w:t>
                  </w:r>
                </w:p>
              </w:tc>
              <w:tc>
                <w:tcPr>
                  <w:tcW w:w="462" w:type="pct"/>
                  <w:vAlign w:val="center"/>
                </w:tcPr>
                <w:p w14:paraId="10A90EE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59</w:t>
                  </w:r>
                </w:p>
              </w:tc>
              <w:tc>
                <w:tcPr>
                  <w:tcW w:w="519" w:type="pct"/>
                  <w:vAlign w:val="center"/>
                </w:tcPr>
                <w:p w14:paraId="40AD599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w:t>
                  </w:r>
                </w:p>
              </w:tc>
              <w:tc>
                <w:tcPr>
                  <w:tcW w:w="462" w:type="pct"/>
                  <w:vAlign w:val="center"/>
                </w:tcPr>
                <w:p w14:paraId="5553772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w:t>
                  </w:r>
                </w:p>
              </w:tc>
              <w:tc>
                <w:tcPr>
                  <w:tcW w:w="462" w:type="pct"/>
                  <w:vAlign w:val="center"/>
                </w:tcPr>
                <w:p w14:paraId="7E0F304A">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w:t>
                  </w:r>
                </w:p>
              </w:tc>
              <w:tc>
                <w:tcPr>
                  <w:tcW w:w="462" w:type="pct"/>
                  <w:vAlign w:val="center"/>
                </w:tcPr>
                <w:p w14:paraId="27BC834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w:t>
                  </w:r>
                </w:p>
              </w:tc>
            </w:tr>
            <w:tr w14:paraId="35DF3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dxa"/>
                  <w:vAlign w:val="center"/>
                </w:tcPr>
                <w:p w14:paraId="77F8C2B8">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振捣机</w:t>
                  </w:r>
                </w:p>
              </w:tc>
              <w:tc>
                <w:tcPr>
                  <w:tcW w:w="570" w:type="pct"/>
                  <w:vAlign w:val="center"/>
                </w:tcPr>
                <w:p w14:paraId="1D5314B1">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80</w:t>
                  </w:r>
                </w:p>
              </w:tc>
              <w:tc>
                <w:tcPr>
                  <w:tcW w:w="456" w:type="pct"/>
                  <w:vAlign w:val="center"/>
                </w:tcPr>
                <w:p w14:paraId="174D89EB">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72</w:t>
                  </w:r>
                </w:p>
              </w:tc>
              <w:tc>
                <w:tcPr>
                  <w:tcW w:w="496" w:type="pct"/>
                  <w:vAlign w:val="center"/>
                </w:tcPr>
                <w:p w14:paraId="14B0B804">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65</w:t>
                  </w:r>
                </w:p>
              </w:tc>
              <w:tc>
                <w:tcPr>
                  <w:tcW w:w="518" w:type="pct"/>
                  <w:vAlign w:val="center"/>
                </w:tcPr>
                <w:p w14:paraId="5A903B68">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57</w:t>
                  </w:r>
                </w:p>
              </w:tc>
              <w:tc>
                <w:tcPr>
                  <w:tcW w:w="462" w:type="pct"/>
                  <w:vAlign w:val="center"/>
                </w:tcPr>
                <w:p w14:paraId="6A43E95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519" w:type="pct"/>
                  <w:vAlign w:val="center"/>
                </w:tcPr>
                <w:p w14:paraId="4A5B58F1">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w:t>
                  </w:r>
                </w:p>
              </w:tc>
              <w:tc>
                <w:tcPr>
                  <w:tcW w:w="462" w:type="pct"/>
                  <w:vAlign w:val="center"/>
                </w:tcPr>
                <w:p w14:paraId="2D6FE11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w:t>
                  </w:r>
                </w:p>
              </w:tc>
              <w:tc>
                <w:tcPr>
                  <w:tcW w:w="462" w:type="pct"/>
                  <w:vAlign w:val="center"/>
                </w:tcPr>
                <w:p w14:paraId="381A99B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462" w:type="pct"/>
                  <w:vAlign w:val="center"/>
                </w:tcPr>
                <w:p w14:paraId="6F875545">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r>
            <w:tr w14:paraId="7C71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39" w:type="dxa"/>
                  <w:vAlign w:val="center"/>
                </w:tcPr>
                <w:p w14:paraId="4E874BE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运输车辆</w:t>
                  </w:r>
                </w:p>
              </w:tc>
              <w:tc>
                <w:tcPr>
                  <w:tcW w:w="570" w:type="pct"/>
                  <w:vAlign w:val="center"/>
                </w:tcPr>
                <w:p w14:paraId="3778F953">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92</w:t>
                  </w:r>
                </w:p>
              </w:tc>
              <w:tc>
                <w:tcPr>
                  <w:tcW w:w="456" w:type="pct"/>
                  <w:vAlign w:val="center"/>
                </w:tcPr>
                <w:p w14:paraId="3701B567">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84</w:t>
                  </w:r>
                </w:p>
              </w:tc>
              <w:tc>
                <w:tcPr>
                  <w:tcW w:w="496" w:type="pct"/>
                  <w:vAlign w:val="center"/>
                </w:tcPr>
                <w:p w14:paraId="5798F87F">
                  <w:pPr>
                    <w:pStyle w:val="13"/>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77</w:t>
                  </w:r>
                </w:p>
              </w:tc>
              <w:tc>
                <w:tcPr>
                  <w:tcW w:w="518" w:type="pct"/>
                  <w:vAlign w:val="center"/>
                </w:tcPr>
                <w:p w14:paraId="2282164D">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462" w:type="pct"/>
                  <w:vAlign w:val="center"/>
                </w:tcPr>
                <w:p w14:paraId="739E4C9B">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w:t>
                  </w:r>
                </w:p>
              </w:tc>
              <w:tc>
                <w:tcPr>
                  <w:tcW w:w="519" w:type="pct"/>
                  <w:vAlign w:val="center"/>
                </w:tcPr>
                <w:p w14:paraId="1AEDBED6">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59</w:t>
                  </w:r>
                </w:p>
              </w:tc>
              <w:tc>
                <w:tcPr>
                  <w:tcW w:w="462" w:type="pct"/>
                  <w:vAlign w:val="center"/>
                </w:tcPr>
                <w:p w14:paraId="2DBEDA34">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462" w:type="pct"/>
                  <w:vAlign w:val="center"/>
                </w:tcPr>
                <w:p w14:paraId="0DC5DB27">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w:t>
                  </w:r>
                </w:p>
              </w:tc>
              <w:tc>
                <w:tcPr>
                  <w:tcW w:w="462" w:type="pct"/>
                  <w:vAlign w:val="center"/>
                </w:tcPr>
                <w:p w14:paraId="7A752DF9">
                  <w:pPr>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47</w:t>
                  </w:r>
                </w:p>
              </w:tc>
            </w:tr>
          </w:tbl>
          <w:p w14:paraId="2D840138">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从上表中可看出，施工机械噪声较高，昼间噪声超过</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建筑施工场界坏境噪声排放标准</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GB12523-20</w:t>
            </w:r>
            <w:r>
              <w:rPr>
                <w:rFonts w:hint="eastAsia" w:eastAsia="宋体"/>
                <w:color w:val="000000" w:themeColor="text1"/>
                <w:szCs w:val="24"/>
                <w14:textFill>
                  <w14:solidFill>
                    <w14:schemeClr w14:val="tx1"/>
                  </w14:solidFill>
                </w14:textFill>
              </w:rPr>
              <w:t>25）</w:t>
            </w:r>
            <w:r>
              <w:rPr>
                <w:rFonts w:eastAsia="宋体"/>
                <w:color w:val="000000" w:themeColor="text1"/>
                <w:szCs w:val="24"/>
                <w14:textFill>
                  <w14:solidFill>
                    <w14:schemeClr w14:val="tx1"/>
                  </w14:solidFill>
                </w14:textFill>
              </w:rPr>
              <w:t>的情况出现在距声源40m范围内，夜间施工噪声超标情况出现在200m范围内。最近的环境敏感点为东</w:t>
            </w:r>
            <w:r>
              <w:rPr>
                <w:rFonts w:hint="eastAsia" w:eastAsia="宋体"/>
                <w:color w:val="000000" w:themeColor="text1"/>
                <w:szCs w:val="24"/>
                <w14:textFill>
                  <w14:solidFill>
                    <w14:schemeClr w14:val="tx1"/>
                  </w14:solidFill>
                </w14:textFill>
              </w:rPr>
              <w:t>南</w:t>
            </w:r>
            <w:r>
              <w:rPr>
                <w:rFonts w:eastAsia="宋体"/>
                <w:color w:val="000000" w:themeColor="text1"/>
                <w:szCs w:val="24"/>
                <w14:textFill>
                  <w14:solidFill>
                    <w14:schemeClr w14:val="tx1"/>
                  </w14:solidFill>
                </w14:textFill>
              </w:rPr>
              <w:t>侧农场一队，其距本项日场界距离为</w:t>
            </w:r>
            <w:r>
              <w:rPr>
                <w:rFonts w:hint="eastAsia" w:eastAsia="宋体"/>
                <w:color w:val="000000" w:themeColor="text1"/>
                <w:szCs w:val="24"/>
                <w14:textFill>
                  <w14:solidFill>
                    <w14:schemeClr w14:val="tx1"/>
                  </w14:solidFill>
                </w14:textFill>
              </w:rPr>
              <w:t>136</w:t>
            </w:r>
            <w:r>
              <w:rPr>
                <w:rFonts w:eastAsia="宋体"/>
                <w:color w:val="000000" w:themeColor="text1"/>
                <w:szCs w:val="24"/>
                <w14:textFill>
                  <w14:solidFill>
                    <w14:schemeClr w14:val="tx1"/>
                  </w14:solidFill>
                </w14:textFill>
              </w:rPr>
              <w:t>米，可采取相应的噪声污染防治措施，如下。</w:t>
            </w:r>
          </w:p>
          <w:p w14:paraId="3C2F7D36">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a、</w:t>
            </w:r>
            <w:r>
              <w:rPr>
                <w:rFonts w:eastAsia="宋体"/>
                <w:color w:val="000000" w:themeColor="text1"/>
                <w:szCs w:val="24"/>
                <w14:textFill>
                  <w14:solidFill>
                    <w14:schemeClr w14:val="tx1"/>
                  </w14:solidFill>
                </w14:textFill>
              </w:rPr>
              <w:t>从声源上控制</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建设单位在与施工单位签订合同时，应要求其使用低噪声机械设备，例如选液压机械取代燃油机械。同时在施工过程中施工单位应设专人对设备进行定期保养和维护，并负责对现场工作人员进行培训，严格按操作规范使用各类机械。</w:t>
            </w:r>
          </w:p>
          <w:p w14:paraId="04E35F7B">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b、</w:t>
            </w:r>
            <w:r>
              <w:rPr>
                <w:rFonts w:eastAsia="宋体"/>
                <w:color w:val="000000" w:themeColor="text1"/>
                <w:szCs w:val="24"/>
                <w14:textFill>
                  <w14:solidFill>
                    <w14:schemeClr w14:val="tx1"/>
                  </w14:solidFill>
                </w14:textFill>
              </w:rPr>
              <w:t>合理安排施工</w:t>
            </w:r>
            <w:r>
              <w:rPr>
                <w:rFonts w:hint="eastAsia" w:eastAsia="宋体"/>
                <w:color w:val="000000" w:themeColor="text1"/>
                <w:szCs w:val="24"/>
                <w14:textFill>
                  <w14:solidFill>
                    <w14:schemeClr w14:val="tx1"/>
                  </w14:solidFill>
                </w14:textFill>
              </w:rPr>
              <w:t>时间：</w:t>
            </w:r>
            <w:r>
              <w:rPr>
                <w:rFonts w:eastAsia="宋体"/>
                <w:color w:val="000000" w:themeColor="text1"/>
                <w:szCs w:val="24"/>
                <w14:textFill>
                  <w14:solidFill>
                    <w14:schemeClr w14:val="tx1"/>
                  </w14:solidFill>
                </w14:textFill>
              </w:rPr>
              <w:t>施工单位应合理安排好施工时间，除工程必须，并取得环保部门批准外</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严禁在12:00-14:00、22:00-6:00期间施工。</w:t>
            </w:r>
          </w:p>
          <w:p w14:paraId="21D2A38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c、</w:t>
            </w:r>
            <w:r>
              <w:rPr>
                <w:rFonts w:eastAsia="宋体"/>
                <w:color w:val="000000" w:themeColor="text1"/>
                <w:szCs w:val="24"/>
                <w14:textFill>
                  <w14:solidFill>
                    <w14:schemeClr w14:val="tx1"/>
                  </w14:solidFill>
                </w14:textFill>
              </w:rPr>
              <w:t>采用距离防护措施</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在不影响施工情况下将噪声设备尽量不集中安排，并将其移至距离居民住宅等敏感点较远处，为保障居民区有一个良好的生活环境，强噪声设备至敏感点距离至少在100m以外，同时对固定的机械设备尽量入棚操作。</w:t>
            </w:r>
          </w:p>
          <w:p w14:paraId="28D7AA6A">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d、</w:t>
            </w:r>
            <w:r>
              <w:rPr>
                <w:rFonts w:eastAsia="宋体"/>
                <w:color w:val="000000" w:themeColor="text1"/>
                <w:szCs w:val="24"/>
                <w14:textFill>
                  <w14:solidFill>
                    <w14:schemeClr w14:val="tx1"/>
                  </w14:solidFill>
                </w14:textFill>
              </w:rPr>
              <w:t>使用商品混凝土，避免混凝土搅拌机等噪声的影响。</w:t>
            </w:r>
          </w:p>
          <w:p w14:paraId="74B16578">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e、</w:t>
            </w:r>
            <w:r>
              <w:rPr>
                <w:rFonts w:eastAsia="宋体"/>
                <w:color w:val="000000" w:themeColor="text1"/>
                <w:szCs w:val="24"/>
                <w14:textFill>
                  <w14:solidFill>
                    <w14:schemeClr w14:val="tx1"/>
                  </w14:solidFill>
                </w14:textFill>
              </w:rPr>
              <w:t>采用声屏障措施</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在施工场地周围有敏感点的地方设立临时声屏障</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在施工的结构阶段和装修阶段，对建筑物的外部也应采用围挡，以减轻设备噪声对周围环境的影响。</w:t>
            </w:r>
          </w:p>
          <w:p w14:paraId="548E98F0">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f、</w:t>
            </w:r>
            <w:r>
              <w:rPr>
                <w:rFonts w:eastAsia="宋体"/>
                <w:color w:val="000000" w:themeColor="text1"/>
                <w:szCs w:val="24"/>
                <w14:textFill>
                  <w14:solidFill>
                    <w14:schemeClr w14:val="tx1"/>
                  </w14:solidFill>
                </w14:textFill>
              </w:rPr>
              <w:t>施工场地的施工车辆出入地点应尽量远离敏感点，车辆出入现场时应低速、禁鸣。</w:t>
            </w:r>
          </w:p>
          <w:p w14:paraId="7D8E223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g、</w:t>
            </w:r>
            <w:r>
              <w:rPr>
                <w:rFonts w:eastAsia="宋体"/>
                <w:color w:val="000000" w:themeColor="text1"/>
                <w:szCs w:val="24"/>
                <w14:textFill>
                  <w14:solidFill>
                    <w14:schemeClr w14:val="tx1"/>
                  </w14:solidFill>
                </w14:textFill>
              </w:rPr>
              <w:t>建设管理部门应加强对施工场地的噪声管理，施工企业也应对施工噪声进行自律，文明施工，避免因施工噪声产生纠纷。</w:t>
            </w:r>
          </w:p>
          <w:p w14:paraId="50C2F7C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h、</w:t>
            </w:r>
            <w:r>
              <w:rPr>
                <w:rFonts w:eastAsia="宋体"/>
                <w:color w:val="000000" w:themeColor="text1"/>
                <w:szCs w:val="24"/>
                <w14:textFill>
                  <w14:solidFill>
                    <w14:schemeClr w14:val="tx1"/>
                  </w14:solidFill>
                </w14:textFill>
              </w:rPr>
              <w:t>建设与施工单位还应与施工场地周围单位、居民建立良好的关系，及时让他们了解施工进度及采取的降噪措施，并取得大家的共同理解。若因工艺或特殊需要必须连续施工，施工单位应在施工前十五日内报请市环保局批准，并向施工场地周围的居民或单位发布公告，以征得公众的理解和支持。</w:t>
            </w:r>
          </w:p>
          <w:p w14:paraId="62A7C9C8">
            <w:pPr>
              <w:pStyle w:val="5"/>
              <w:keepNext/>
              <w:spacing w:before="0"/>
              <w:ind w:firstLine="482" w:firstLineChars="20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4.1.4</w:t>
            </w:r>
            <w:r>
              <w:rPr>
                <w:rFonts w:eastAsia="宋体"/>
                <w:b/>
                <w:bCs/>
                <w:color w:val="000000" w:themeColor="text1"/>
                <w:szCs w:val="24"/>
                <w14:textFill>
                  <w14:solidFill>
                    <w14:schemeClr w14:val="tx1"/>
                  </w14:solidFill>
                </w14:textFill>
              </w:rPr>
              <w:t>施工期固废环境影响分析</w:t>
            </w:r>
          </w:p>
          <w:p w14:paraId="59F4E49B">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施工</w:t>
            </w:r>
            <w:r>
              <w:rPr>
                <w:rFonts w:hint="eastAsia" w:eastAsia="宋体"/>
                <w:color w:val="000000" w:themeColor="text1"/>
                <w:szCs w:val="24"/>
                <w14:textFill>
                  <w14:solidFill>
                    <w14:schemeClr w14:val="tx1"/>
                  </w14:solidFill>
                </w14:textFill>
              </w:rPr>
              <w:t>期间</w:t>
            </w:r>
            <w:r>
              <w:rPr>
                <w:rFonts w:eastAsia="宋体"/>
                <w:color w:val="000000" w:themeColor="text1"/>
                <w:szCs w:val="24"/>
                <w14:textFill>
                  <w14:solidFill>
                    <w14:schemeClr w14:val="tx1"/>
                  </w14:solidFill>
                </w14:textFill>
              </w:rPr>
              <w:t>的垃圾主要来自施工所产生的建筑垃圾以及施工人员涌入而产生的生活垃圾。在施工期间也有一定数量废弃的建筑材料如砂石、石灰、混凝土、木材、废砖、土石方等。</w:t>
            </w:r>
          </w:p>
          <w:p w14:paraId="22F2FE2E">
            <w:pPr>
              <w:pStyle w:val="5"/>
              <w:keepNext/>
              <w:spacing w:before="0"/>
              <w:ind w:firstLine="480" w:firstLineChars="200"/>
              <w:jc w:val="left"/>
              <w:rPr>
                <w:color w:val="000000" w:themeColor="text1"/>
                <w14:textFill>
                  <w14:solidFill>
                    <w14:schemeClr w14:val="tx1"/>
                  </w14:solidFill>
                </w14:textFill>
              </w:rPr>
            </w:pPr>
            <w:r>
              <w:rPr>
                <w:rFonts w:eastAsia="宋体"/>
                <w:color w:val="000000" w:themeColor="text1"/>
                <w:szCs w:val="24"/>
                <w14:textFill>
                  <w14:solidFill>
                    <w14:schemeClr w14:val="tx1"/>
                  </w14:solidFill>
                </w14:textFill>
              </w:rPr>
              <w:t>施工过程中建筑垃圾要及时清运，加以利用，防止其因长期堆放而产生扬尘。所产生的生活垃圾如不及时清运处理，则会腐烂变质、滋生蚊虫苍蝇，产生恶臭，传染疾病，从而对周围环境和作业人员的健康带来不利影响。因此应及时清运并加以处理。</w:t>
            </w:r>
          </w:p>
        </w:tc>
      </w:tr>
      <w:tr w14:paraId="274775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41" w:hRule="atLeast"/>
          <w:jc w:val="center"/>
        </w:trPr>
        <w:tc>
          <w:tcPr>
            <w:tcW w:w="800" w:type="dxa"/>
            <w:vAlign w:val="center"/>
          </w:tcPr>
          <w:p w14:paraId="33287C91">
            <w:pPr>
              <w:adjustRightInd w:val="0"/>
              <w:snapToGrid w:val="0"/>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运营期环境影响和保护措施</w:t>
            </w:r>
          </w:p>
        </w:tc>
        <w:tc>
          <w:tcPr>
            <w:tcW w:w="8194" w:type="dxa"/>
            <w:vAlign w:val="center"/>
          </w:tcPr>
          <w:p w14:paraId="333F8FF5">
            <w:pPr>
              <w:pStyle w:val="5"/>
              <w:keepNext/>
              <w:spacing w:before="0"/>
              <w:jc w:val="left"/>
              <w:rPr>
                <w:rFonts w:eastAsia="宋体"/>
                <w:b/>
                <w:bCs/>
                <w:color w:val="000000" w:themeColor="text1"/>
                <w:szCs w:val="24"/>
                <w14:textFill>
                  <w14:solidFill>
                    <w14:schemeClr w14:val="tx1"/>
                  </w14:solidFill>
                </w14:textFill>
              </w:rPr>
            </w:pPr>
            <w:r>
              <w:rPr>
                <w:rFonts w:hint="eastAsia" w:eastAsia="宋体"/>
                <w:b/>
                <w:bCs/>
                <w:color w:val="000000" w:themeColor="text1"/>
                <w:szCs w:val="24"/>
                <w14:textFill>
                  <w14:solidFill>
                    <w14:schemeClr w14:val="tx1"/>
                  </w14:solidFill>
                </w14:textFill>
              </w:rPr>
              <w:t>4.2运营期环境影响和保护措施</w:t>
            </w:r>
          </w:p>
          <w:p w14:paraId="28827635">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4.2.1运营期大气</w:t>
            </w:r>
            <w:r>
              <w:rPr>
                <w:rFonts w:eastAsia="宋体"/>
                <w:color w:val="000000" w:themeColor="text1"/>
                <w:szCs w:val="24"/>
                <w14:textFill>
                  <w14:solidFill>
                    <w14:schemeClr w14:val="tx1"/>
                  </w14:solidFill>
                </w14:textFill>
              </w:rPr>
              <w:t>环境影响及保护措施</w:t>
            </w:r>
          </w:p>
          <w:p w14:paraId="2FFD9EAE">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废气污染源</w:t>
            </w:r>
            <w:r>
              <w:rPr>
                <w:rFonts w:hint="eastAsia" w:eastAsia="宋体"/>
                <w:color w:val="000000" w:themeColor="text1"/>
                <w:szCs w:val="24"/>
                <w14:textFill>
                  <w14:solidFill>
                    <w14:schemeClr w14:val="tx1"/>
                  </w14:solidFill>
                </w14:textFill>
              </w:rPr>
              <w:t>源强</w:t>
            </w:r>
            <w:r>
              <w:rPr>
                <w:rFonts w:eastAsia="宋体"/>
                <w:color w:val="000000" w:themeColor="text1"/>
                <w:szCs w:val="24"/>
                <w14:textFill>
                  <w14:solidFill>
                    <w14:schemeClr w14:val="tx1"/>
                  </w14:solidFill>
                </w14:textFill>
              </w:rPr>
              <w:t>分析</w:t>
            </w:r>
          </w:p>
          <w:p w14:paraId="2FBD415E">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本项目运营期产生的废气主要为</w:t>
            </w:r>
            <w:r>
              <w:rPr>
                <w:rFonts w:hint="eastAsia" w:eastAsia="宋体"/>
                <w:color w:val="000000" w:themeColor="text1"/>
                <w:szCs w:val="24"/>
                <w14:textFill>
                  <w14:solidFill>
                    <w14:schemeClr w14:val="tx1"/>
                  </w14:solidFill>
                </w14:textFill>
              </w:rPr>
              <w:t>拔</w:t>
            </w:r>
            <w:r>
              <w:rPr>
                <w:rFonts w:eastAsia="宋体"/>
                <w:color w:val="000000" w:themeColor="text1"/>
                <w:szCs w:val="24"/>
                <w14:textFill>
                  <w14:solidFill>
                    <w14:schemeClr w14:val="tx1"/>
                  </w14:solidFill>
                </w14:textFill>
              </w:rPr>
              <w:t>丝废气、挤出废气、</w:t>
            </w:r>
            <w:r>
              <w:rPr>
                <w:rFonts w:hint="eastAsia" w:eastAsia="宋体"/>
                <w:color w:val="000000" w:themeColor="text1"/>
                <w:szCs w:val="24"/>
                <w14:textFill>
                  <w14:solidFill>
                    <w14:schemeClr w14:val="tx1"/>
                  </w14:solidFill>
                </w14:textFill>
              </w:rPr>
              <w:t>喷码</w:t>
            </w:r>
            <w:r>
              <w:rPr>
                <w:rFonts w:eastAsia="宋体"/>
                <w:color w:val="000000" w:themeColor="text1"/>
                <w:szCs w:val="24"/>
                <w14:textFill>
                  <w14:solidFill>
                    <w14:schemeClr w14:val="tx1"/>
                  </w14:solidFill>
                </w14:textFill>
              </w:rPr>
              <w:t>废气</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塑料制品生产线中产生的挤</w:t>
            </w:r>
            <w:r>
              <w:rPr>
                <w:rFonts w:hint="eastAsia" w:eastAsia="宋体"/>
                <w:color w:val="000000" w:themeColor="text1"/>
                <w:szCs w:val="24"/>
                <w14:textFill>
                  <w14:solidFill>
                    <w14:schemeClr w14:val="tx1"/>
                  </w14:solidFill>
                </w14:textFill>
              </w:rPr>
              <w:t>塑</w:t>
            </w:r>
            <w:r>
              <w:rPr>
                <w:rFonts w:eastAsia="宋体"/>
                <w:color w:val="000000" w:themeColor="text1"/>
                <w:szCs w:val="24"/>
                <w14:textFill>
                  <w14:solidFill>
                    <w14:schemeClr w14:val="tx1"/>
                  </w14:solidFill>
                </w14:textFill>
              </w:rPr>
              <w:t>废气</w:t>
            </w:r>
            <w:r>
              <w:rPr>
                <w:rFonts w:hint="eastAsia" w:eastAsia="宋体"/>
                <w:color w:val="000000" w:themeColor="text1"/>
                <w:szCs w:val="24"/>
                <w14:textFill>
                  <w14:solidFill>
                    <w14:schemeClr w14:val="tx1"/>
                  </w14:solidFill>
                </w14:textFill>
              </w:rPr>
              <w:t>等</w:t>
            </w:r>
            <w:r>
              <w:rPr>
                <w:rFonts w:eastAsia="宋体"/>
                <w:color w:val="000000" w:themeColor="text1"/>
                <w:szCs w:val="24"/>
                <w14:textFill>
                  <w14:solidFill>
                    <w14:schemeClr w14:val="tx1"/>
                  </w14:solidFill>
                </w14:textFill>
              </w:rPr>
              <w:t>。</w:t>
            </w:r>
          </w:p>
          <w:p w14:paraId="0A8189EB">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废气源强核算过程</w:t>
            </w:r>
            <w:r>
              <w:rPr>
                <w:rFonts w:hint="eastAsia" w:eastAsia="宋体"/>
                <w:color w:val="000000" w:themeColor="text1"/>
                <w:szCs w:val="24"/>
                <w14:textFill>
                  <w14:solidFill>
                    <w14:schemeClr w14:val="tx1"/>
                  </w14:solidFill>
                </w14:textFill>
              </w:rPr>
              <w:t>：</w:t>
            </w:r>
          </w:p>
          <w:p w14:paraId="2694BCE3">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（1）高压生产车间</w:t>
            </w:r>
          </w:p>
          <w:p w14:paraId="331F1301">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①G</w:t>
            </w:r>
            <w:r>
              <w:rPr>
                <w:rFonts w:eastAsia="宋体"/>
                <w:color w:val="000000" w:themeColor="text1"/>
                <w:szCs w:val="24"/>
                <w:vertAlign w:val="subscript"/>
                <w14:textFill>
                  <w14:solidFill>
                    <w14:schemeClr w14:val="tx1"/>
                  </w14:solidFill>
                </w14:textFill>
              </w:rPr>
              <w:t>1-1</w:t>
            </w:r>
            <w:r>
              <w:rPr>
                <w:rFonts w:hint="eastAsia" w:eastAsia="宋体"/>
                <w:color w:val="000000" w:themeColor="text1"/>
                <w:szCs w:val="24"/>
                <w14:textFill>
                  <w14:solidFill>
                    <w14:schemeClr w14:val="tx1"/>
                  </w14:solidFill>
                </w14:textFill>
              </w:rPr>
              <w:t>拔</w:t>
            </w:r>
            <w:r>
              <w:rPr>
                <w:rFonts w:eastAsia="宋体"/>
                <w:color w:val="000000" w:themeColor="text1"/>
                <w:szCs w:val="24"/>
                <w14:textFill>
                  <w14:solidFill>
                    <w14:schemeClr w14:val="tx1"/>
                  </w14:solidFill>
                </w14:textFill>
              </w:rPr>
              <w:t>丝废气</w:t>
            </w:r>
          </w:p>
          <w:p w14:paraId="4A28CC3A">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本项目铜杆、铝杆</w:t>
            </w:r>
            <w:r>
              <w:rPr>
                <w:rFonts w:hint="eastAsia" w:eastAsia="宋体"/>
                <w:color w:val="000000" w:themeColor="text1"/>
                <w:szCs w:val="24"/>
                <w14:textFill>
                  <w14:solidFill>
                    <w14:schemeClr w14:val="tx1"/>
                  </w14:solidFill>
                </w14:textFill>
              </w:rPr>
              <w:t>拔</w:t>
            </w:r>
            <w:r>
              <w:rPr>
                <w:rFonts w:eastAsia="宋体"/>
                <w:color w:val="000000" w:themeColor="text1"/>
                <w:szCs w:val="24"/>
                <w14:textFill>
                  <w14:solidFill>
                    <w14:schemeClr w14:val="tx1"/>
                  </w14:solidFill>
                </w14:textFill>
              </w:rPr>
              <w:t>丝过程中使用拉丝油，拉丝油在拉丝润滑过程中约有10%受热分解挥发，主要成分为油品在高温状态下分解和碳化的挥发性有机废气及细小油雾颗粒物，其中挥发性有机废气为含碳氢化合物的烷烃类物质，以非甲烷总烃计。根据企业提供的资料，本项年用拔丝油10吨，经计算，项目拉丝废气非甲烷总烃产生量为1.0t/a。</w:t>
            </w:r>
          </w:p>
          <w:p w14:paraId="1A2FB61F">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②G</w:t>
            </w:r>
            <w:r>
              <w:rPr>
                <w:rFonts w:eastAsia="宋体"/>
                <w:color w:val="000000" w:themeColor="text1"/>
                <w:szCs w:val="24"/>
                <w:vertAlign w:val="subscript"/>
                <w14:textFill>
                  <w14:solidFill>
                    <w14:schemeClr w14:val="tx1"/>
                  </w14:solidFill>
                </w14:textFill>
              </w:rPr>
              <w:t>1-</w:t>
            </w:r>
            <w:r>
              <w:rPr>
                <w:rFonts w:hint="eastAsia" w:eastAsia="宋体"/>
                <w:color w:val="000000" w:themeColor="text1"/>
                <w:szCs w:val="24"/>
                <w:vertAlign w:val="subscript"/>
                <w:lang w:val="en-US" w:eastAsia="zh-CN"/>
                <w14:textFill>
                  <w14:solidFill>
                    <w14:schemeClr w14:val="tx1"/>
                  </w14:solidFill>
                </w14:textFill>
              </w:rPr>
              <w:t>2</w:t>
            </w:r>
            <w:r>
              <w:rPr>
                <w:rFonts w:hint="eastAsia" w:eastAsia="宋体"/>
                <w:color w:val="000000" w:themeColor="text1"/>
                <w:szCs w:val="24"/>
                <w:lang w:val="en-US" w:eastAsia="zh-CN"/>
                <w14:textFill>
                  <w14:solidFill>
                    <w14:schemeClr w14:val="tx1"/>
                  </w14:solidFill>
                </w14:textFill>
              </w:rPr>
              <w:t>共</w:t>
            </w:r>
            <w:r>
              <w:rPr>
                <w:rFonts w:eastAsia="宋体"/>
                <w:color w:val="000000" w:themeColor="text1"/>
                <w:szCs w:val="24"/>
                <w14:textFill>
                  <w14:solidFill>
                    <w14:schemeClr w14:val="tx1"/>
                  </w14:solidFill>
                </w14:textFill>
              </w:rPr>
              <w:t>挤废气</w:t>
            </w:r>
          </w:p>
          <w:p w14:paraId="336A9010">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，110kv电缆</w:t>
            </w:r>
            <w:r>
              <w:rPr>
                <w:rFonts w:eastAsia="宋体"/>
                <w:color w:val="000000" w:themeColor="text1"/>
                <w:szCs w:val="24"/>
                <w14:textFill>
                  <w14:solidFill>
                    <w14:schemeClr w14:val="tx1"/>
                  </w14:solidFill>
                </w14:textFill>
              </w:rPr>
              <w:t>项目</w:t>
            </w:r>
            <w:r>
              <w:rPr>
                <w:rFonts w:hint="eastAsia" w:eastAsia="宋体"/>
                <w:color w:val="000000" w:themeColor="text1"/>
                <w:szCs w:val="24"/>
                <w14:textFill>
                  <w14:solidFill>
                    <w14:schemeClr w14:val="tx1"/>
                  </w14:solidFill>
                </w14:textFill>
              </w:rPr>
              <w:t>三层共挤</w:t>
            </w:r>
            <w:r>
              <w:rPr>
                <w:rFonts w:eastAsia="宋体"/>
                <w:color w:val="000000" w:themeColor="text1"/>
                <w:szCs w:val="24"/>
                <w14:textFill>
                  <w14:solidFill>
                    <w14:schemeClr w14:val="tx1"/>
                  </w14:solidFill>
                </w14:textFill>
              </w:rPr>
              <w:t>工序中会有挤出废气产生，挤出工序的控制温度根据塑料熔点调节，PVC、PE、XLPE绝缘料等塑料颗粒在对应温度下熔化、粘合，并使之具有塑性，远低于原料的热分解温度，因此各种原料在挤出过程中不会发生分解，仅有少量有机废气产生，挤出废气以非甲烷总烃计。</w:t>
            </w:r>
            <w:r>
              <w:rPr>
                <w:rFonts w:hint="eastAsia" w:eastAsia="宋体"/>
                <w:color w:val="000000" w:themeColor="text1"/>
                <w:szCs w:val="24"/>
                <w14:textFill>
                  <w14:solidFill>
                    <w14:schemeClr w14:val="tx1"/>
                  </w14:solidFill>
                </w14:textFill>
              </w:rPr>
              <w:t>参考《排放源统计调查产排污核算方法和系数手册》（2021年本）292塑料制品行业系数手册中2922塑料板、管、型材制造行业系数表，确定本项目挥发性有机污染物产污系数以1.5kg/t产品（原料）计，</w:t>
            </w:r>
            <w:r>
              <w:rPr>
                <w:rFonts w:eastAsia="宋体"/>
                <w:color w:val="000000" w:themeColor="text1"/>
                <w:szCs w:val="24"/>
                <w14:textFill>
                  <w14:solidFill>
                    <w14:schemeClr w14:val="tx1"/>
                  </w14:solidFill>
                </w14:textFill>
              </w:rPr>
              <w:t>根据原辅料使用一览表，本项目挤绝缘工序、挤</w:t>
            </w:r>
            <w:r>
              <w:rPr>
                <w:rFonts w:hint="eastAsia" w:eastAsia="宋体"/>
                <w:color w:val="000000" w:themeColor="text1"/>
                <w:szCs w:val="24"/>
                <w14:textFill>
                  <w14:solidFill>
                    <w14:schemeClr w14:val="tx1"/>
                  </w14:solidFill>
                </w14:textFill>
              </w:rPr>
              <w:t>出</w:t>
            </w:r>
            <w:r>
              <w:rPr>
                <w:rFonts w:eastAsia="宋体"/>
                <w:color w:val="000000" w:themeColor="text1"/>
                <w:szCs w:val="24"/>
                <w14:textFill>
                  <w14:solidFill>
                    <w14:schemeClr w14:val="tx1"/>
                  </w14:solidFill>
                </w14:textFill>
              </w:rPr>
              <w:t>护套工序使用原料主要为XLPE绝缘料</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交联聚乙烯</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、PVC绝缘料/护套料、绝缘PE，</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合计用量为</w:t>
            </w:r>
            <w:r>
              <w:rPr>
                <w:rFonts w:hint="eastAsia" w:eastAsia="宋体"/>
                <w:color w:val="000000" w:themeColor="text1"/>
                <w:szCs w:val="24"/>
                <w:lang w:val="en-US" w:eastAsia="zh-CN"/>
                <w14:textFill>
                  <w14:solidFill>
                    <w14:schemeClr w14:val="tx1"/>
                  </w14:solidFill>
                </w14:textFill>
              </w:rPr>
              <w:t>2</w:t>
            </w:r>
            <w:r>
              <w:rPr>
                <w:rFonts w:hint="eastAsia" w:eastAsia="宋体"/>
                <w:color w:val="000000" w:themeColor="text1"/>
                <w:szCs w:val="24"/>
                <w14:textFill>
                  <w14:solidFill>
                    <w14:schemeClr w14:val="tx1"/>
                  </w14:solidFill>
                </w14:textFill>
              </w:rPr>
              <w:t>500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3</w:t>
            </w:r>
            <w:r>
              <w:rPr>
                <w:rFonts w:hint="eastAsia" w:eastAsia="宋体"/>
                <w:color w:val="000000" w:themeColor="text1"/>
                <w:szCs w:val="24"/>
                <w14:textFill>
                  <w14:solidFill>
                    <w14:schemeClr w14:val="tx1"/>
                  </w14:solidFill>
                </w14:textFill>
              </w:rPr>
              <w:t>.75</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1A25969F">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，110kv电缆生产使用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5</w:t>
            </w:r>
            <w:r>
              <w:rPr>
                <w:rFonts w:hint="eastAsia" w:ascii="Times New Roman Regular" w:hAnsi="Times New Roman Regular" w:eastAsia="宋体" w:cs="Times New Roman Regular"/>
                <w:color w:val="000000" w:themeColor="text1"/>
                <w:szCs w:val="24"/>
                <w14:textFill>
                  <w14:solidFill>
                    <w14:schemeClr w14:val="tx1"/>
                  </w14:solidFill>
                </w14:textFill>
              </w:rPr>
              <w:t>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0.0075</w:t>
            </w:r>
            <w:r>
              <w:rPr>
                <w:rFonts w:ascii="Times New Roman Regular" w:hAnsi="Times New Roman Regular" w:eastAsia="宋体" w:cs="Times New Roman Regular"/>
                <w:color w:val="000000" w:themeColor="text1"/>
                <w:szCs w:val="24"/>
                <w14:textFill>
                  <w14:solidFill>
                    <w14:schemeClr w14:val="tx1"/>
                  </w14:solidFill>
                </w14:textFill>
              </w:rPr>
              <w:t>t/a。</w:t>
            </w:r>
          </w:p>
          <w:p w14:paraId="7672D5BD">
            <w:pPr>
              <w:pStyle w:val="5"/>
              <w:keepNext/>
              <w:spacing w:before="0"/>
              <w:ind w:firstLine="480" w:firstLineChars="200"/>
              <w:jc w:val="left"/>
              <w:rPr>
                <w:rFonts w:eastAsia="宋体"/>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fldChar w:fldCharType="begin"/>
            </w:r>
            <w:r>
              <w:rPr>
                <w:rFonts w:ascii="Times New Roman Regular" w:hAnsi="Times New Roman Regular" w:eastAsia="宋体" w:cs="Times New Roman Regular"/>
                <w:color w:val="000000" w:themeColor="text1"/>
                <w:szCs w:val="24"/>
                <w14:textFill>
                  <w14:solidFill>
                    <w14:schemeClr w14:val="tx1"/>
                  </w14:solidFill>
                </w14:textFill>
              </w:rPr>
              <w:instrText xml:space="preserve"> = 3 \* GB3 \* MERGEFORMAT </w:instrText>
            </w:r>
            <w:r>
              <w:rPr>
                <w:rFonts w:ascii="Times New Roman Regular" w:hAnsi="Times New Roman Regular" w:eastAsia="宋体" w:cs="Times New Roman Regular"/>
                <w:color w:val="000000" w:themeColor="text1"/>
                <w:szCs w:val="24"/>
                <w14:textFill>
                  <w14:solidFill>
                    <w14:schemeClr w14:val="tx1"/>
                  </w14:solidFill>
                </w14:textFill>
              </w:rPr>
              <w:fldChar w:fldCharType="separate"/>
            </w:r>
            <w:r>
              <w:rPr>
                <w:color w:val="000000" w:themeColor="text1"/>
                <w14:textFill>
                  <w14:solidFill>
                    <w14:schemeClr w14:val="tx1"/>
                  </w14:solidFill>
                </w14:textFill>
              </w:rPr>
              <w:t>③</w:t>
            </w:r>
            <w:r>
              <w:rPr>
                <w:rFonts w:ascii="Times New Roman Regular" w:hAnsi="Times New Roman Regular" w:eastAsia="宋体" w:cs="Times New Roman Regular"/>
                <w:color w:val="000000" w:themeColor="text1"/>
                <w:szCs w:val="24"/>
                <w14:textFill>
                  <w14:solidFill>
                    <w14:schemeClr w14:val="tx1"/>
                  </w14:solidFill>
                </w14:textFill>
              </w:rPr>
              <w:fldChar w:fldCharType="end"/>
            </w:r>
            <w:r>
              <w:rPr>
                <w:rFonts w:hint="eastAsia" w:eastAsia="宋体"/>
                <w:color w:val="000000" w:themeColor="text1"/>
                <w:szCs w:val="24"/>
                <w14:textFill>
                  <w14:solidFill>
                    <w14:schemeClr w14:val="tx1"/>
                  </w14:solidFill>
                </w14:textFill>
              </w:rPr>
              <w:t>G</w:t>
            </w:r>
            <w:r>
              <w:rPr>
                <w:rFonts w:eastAsia="宋体"/>
                <w:color w:val="000000" w:themeColor="text1"/>
                <w:szCs w:val="24"/>
                <w:vertAlign w:val="subscript"/>
                <w14:textFill>
                  <w14:solidFill>
                    <w14:schemeClr w14:val="tx1"/>
                  </w14:solidFill>
                </w14:textFill>
              </w:rPr>
              <w:t>1-</w:t>
            </w:r>
            <w:r>
              <w:rPr>
                <w:rFonts w:hint="eastAsia" w:eastAsia="宋体"/>
                <w:color w:val="000000" w:themeColor="text1"/>
                <w:szCs w:val="24"/>
                <w:vertAlign w:val="subscript"/>
                <w:lang w:val="en-US" w:eastAsia="zh-CN"/>
                <w14:textFill>
                  <w14:solidFill>
                    <w14:schemeClr w14:val="tx1"/>
                  </w14:solidFill>
                </w14:textFill>
              </w:rPr>
              <w:t>3</w:t>
            </w:r>
            <w:r>
              <w:rPr>
                <w:rFonts w:eastAsia="宋体"/>
                <w:color w:val="000000" w:themeColor="text1"/>
                <w:szCs w:val="24"/>
                <w14:textFill>
                  <w14:solidFill>
                    <w14:schemeClr w14:val="tx1"/>
                  </w14:solidFill>
                </w14:textFill>
              </w:rPr>
              <w:t>挤</w:t>
            </w:r>
            <w:r>
              <w:rPr>
                <w:rFonts w:hint="eastAsia" w:eastAsia="宋体"/>
                <w:color w:val="000000" w:themeColor="text1"/>
                <w:szCs w:val="24"/>
                <w:lang w:val="en-US" w:eastAsia="zh-CN"/>
                <w14:textFill>
                  <w14:solidFill>
                    <w14:schemeClr w14:val="tx1"/>
                  </w14:solidFill>
                </w14:textFill>
              </w:rPr>
              <w:t>出</w:t>
            </w:r>
            <w:r>
              <w:rPr>
                <w:rFonts w:eastAsia="宋体"/>
                <w:color w:val="000000" w:themeColor="text1"/>
                <w:szCs w:val="24"/>
                <w14:textFill>
                  <w14:solidFill>
                    <w14:schemeClr w14:val="tx1"/>
                  </w14:solidFill>
                </w14:textFill>
              </w:rPr>
              <w:t>废气</w:t>
            </w:r>
          </w:p>
          <w:p w14:paraId="0BBEDE87">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，110kv电缆</w:t>
            </w:r>
            <w:r>
              <w:rPr>
                <w:rFonts w:eastAsia="宋体"/>
                <w:color w:val="000000" w:themeColor="text1"/>
                <w:szCs w:val="24"/>
                <w14:textFill>
                  <w14:solidFill>
                    <w14:schemeClr w14:val="tx1"/>
                  </w14:solidFill>
                </w14:textFill>
              </w:rPr>
              <w:t>项目</w:t>
            </w:r>
            <w:r>
              <w:rPr>
                <w:rFonts w:hint="eastAsia" w:eastAsia="宋体"/>
                <w:color w:val="000000" w:themeColor="text1"/>
                <w:szCs w:val="24"/>
                <w:lang w:val="en-US" w:eastAsia="zh-CN"/>
                <w14:textFill>
                  <w14:solidFill>
                    <w14:schemeClr w14:val="tx1"/>
                  </w14:solidFill>
                </w14:textFill>
              </w:rPr>
              <w:t>挤出护套</w:t>
            </w:r>
            <w:r>
              <w:rPr>
                <w:rFonts w:eastAsia="宋体"/>
                <w:color w:val="000000" w:themeColor="text1"/>
                <w:szCs w:val="24"/>
                <w14:textFill>
                  <w14:solidFill>
                    <w14:schemeClr w14:val="tx1"/>
                  </w14:solidFill>
                </w14:textFill>
              </w:rPr>
              <w:t>工序中会有挤出废气产生，</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w:t>
            </w:r>
            <w:r>
              <w:rPr>
                <w:rFonts w:hint="eastAsia" w:eastAsia="宋体"/>
                <w:color w:val="000000" w:themeColor="text1"/>
                <w:szCs w:val="24"/>
                <w:lang w:val="en-US" w:eastAsia="zh-CN"/>
                <w14:textFill>
                  <w14:solidFill>
                    <w14:schemeClr w14:val="tx1"/>
                  </w14:solidFill>
                </w14:textFill>
              </w:rPr>
              <w:t>约</w:t>
            </w:r>
            <w:r>
              <w:rPr>
                <w:rFonts w:eastAsia="宋体"/>
                <w:color w:val="000000" w:themeColor="text1"/>
                <w:szCs w:val="24"/>
                <w14:textFill>
                  <w14:solidFill>
                    <w14:schemeClr w14:val="tx1"/>
                  </w14:solidFill>
                </w14:textFill>
              </w:rPr>
              <w:t>为</w:t>
            </w:r>
            <w:r>
              <w:rPr>
                <w:rFonts w:hint="eastAsia" w:eastAsia="宋体"/>
                <w:color w:val="000000" w:themeColor="text1"/>
                <w:szCs w:val="24"/>
                <w:lang w:val="en-US" w:eastAsia="zh-CN"/>
                <w14:textFill>
                  <w14:solidFill>
                    <w14:schemeClr w14:val="tx1"/>
                  </w14:solidFill>
                </w14:textFill>
              </w:rPr>
              <w:t>20</w:t>
            </w:r>
            <w:r>
              <w:rPr>
                <w:rFonts w:hint="eastAsia" w:eastAsia="宋体"/>
                <w:color w:val="000000" w:themeColor="text1"/>
                <w:szCs w:val="24"/>
                <w14:textFill>
                  <w14:solidFill>
                    <w14:schemeClr w14:val="tx1"/>
                  </w14:solidFill>
                </w14:textFill>
              </w:rPr>
              <w:t>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3.0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249CD4CE">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该工序</w:t>
            </w:r>
            <w:r>
              <w:rPr>
                <w:rFonts w:hint="eastAsia" w:ascii="Times New Roman Regular" w:hAnsi="Times New Roman Regular" w:eastAsia="宋体" w:cs="Times New Roman Regular"/>
                <w:color w:val="000000" w:themeColor="text1"/>
                <w:szCs w:val="24"/>
                <w14:textFill>
                  <w14:solidFill>
                    <w14:schemeClr w14:val="tx1"/>
                  </w14:solidFill>
                </w14:textFill>
              </w:rPr>
              <w:t>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5</w:t>
            </w:r>
            <w:r>
              <w:rPr>
                <w:rFonts w:hint="eastAsia" w:ascii="Times New Roman Regular" w:hAnsi="Times New Roman Regular" w:eastAsia="宋体" w:cs="Times New Roman Regular"/>
                <w:color w:val="000000" w:themeColor="text1"/>
                <w:szCs w:val="24"/>
                <w14:textFill>
                  <w14:solidFill>
                    <w14:schemeClr w14:val="tx1"/>
                  </w14:solidFill>
                </w14:textFill>
              </w:rPr>
              <w:t>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0.0075</w:t>
            </w:r>
            <w:r>
              <w:rPr>
                <w:rFonts w:ascii="Times New Roman Regular" w:hAnsi="Times New Roman Regular" w:eastAsia="宋体" w:cs="Times New Roman Regular"/>
                <w:color w:val="000000" w:themeColor="text1"/>
                <w:szCs w:val="24"/>
                <w14:textFill>
                  <w14:solidFill>
                    <w14:schemeClr w14:val="tx1"/>
                  </w14:solidFill>
                </w14:textFill>
              </w:rPr>
              <w:t>t/a。</w:t>
            </w:r>
          </w:p>
          <w:p w14:paraId="2F101F50">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default" w:ascii="Times New Roman Regular" w:hAnsi="Times New Roman Regular" w:eastAsia="宋体" w:cs="Times New Roman Regular"/>
                <w:color w:val="000000" w:themeColor="text1"/>
                <w:szCs w:val="24"/>
                <w14:textFill>
                  <w14:solidFill>
                    <w14:schemeClr w14:val="tx1"/>
                  </w14:solidFill>
                </w14:textFill>
              </w:rPr>
              <w:t>④</w:t>
            </w:r>
            <w:r>
              <w:rPr>
                <w:rFonts w:hint="eastAsia" w:eastAsia="宋体"/>
                <w:color w:val="000000" w:themeColor="text1"/>
                <w:szCs w:val="24"/>
                <w14:textFill>
                  <w14:solidFill>
                    <w14:schemeClr w14:val="tx1"/>
                  </w14:solidFill>
                </w14:textFill>
              </w:rPr>
              <w:t>G</w:t>
            </w:r>
            <w:r>
              <w:rPr>
                <w:rFonts w:eastAsia="宋体"/>
                <w:color w:val="000000" w:themeColor="text1"/>
                <w:szCs w:val="24"/>
                <w:vertAlign w:val="subscript"/>
                <w14:textFill>
                  <w14:solidFill>
                    <w14:schemeClr w14:val="tx1"/>
                  </w14:solidFill>
                </w14:textFill>
              </w:rPr>
              <w:t>1-</w:t>
            </w:r>
            <w:r>
              <w:rPr>
                <w:rFonts w:hint="eastAsia" w:eastAsia="宋体"/>
                <w:color w:val="000000" w:themeColor="text1"/>
                <w:szCs w:val="24"/>
                <w:vertAlign w:val="subscript"/>
                <w:lang w:val="en-US" w:eastAsia="zh-CN"/>
                <w14:textFill>
                  <w14:solidFill>
                    <w14:schemeClr w14:val="tx1"/>
                  </w14:solidFill>
                </w14:textFill>
              </w:rPr>
              <w:t>4</w:t>
            </w:r>
            <w:r>
              <w:rPr>
                <w:rFonts w:hint="eastAsia" w:ascii="Times New Roman Regular" w:hAnsi="Times New Roman Regular" w:eastAsia="宋体" w:cs="Times New Roman Regular"/>
                <w:color w:val="000000" w:themeColor="text1"/>
                <w:szCs w:val="24"/>
                <w14:textFill>
                  <w14:solidFill>
                    <w14:schemeClr w14:val="tx1"/>
                  </w14:solidFill>
                </w14:textFill>
              </w:rPr>
              <w:t>喷码废气</w:t>
            </w:r>
          </w:p>
          <w:p w14:paraId="188E19D4">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ascii="Times New Roman Regular" w:hAnsi="Times New Roman Regular" w:eastAsia="宋体" w:cs="Times New Roman Regular"/>
                <w:color w:val="000000" w:themeColor="text1"/>
                <w:szCs w:val="24"/>
                <w14:textFill>
                  <w14:solidFill>
                    <w14:schemeClr w14:val="tx1"/>
                  </w14:solidFill>
                </w14:textFill>
              </w:rPr>
              <w:t>本生产线喷码机使用过程中会产生有机废气（以非甲烷总烃计），</w:t>
            </w:r>
            <w:r>
              <w:rPr>
                <w:rFonts w:hint="eastAsia" w:eastAsia="宋体"/>
                <w:color w:val="000000" w:themeColor="text1"/>
                <w:szCs w:val="24"/>
                <w14:textFill>
                  <w14:solidFill>
                    <w14:schemeClr w14:val="tx1"/>
                  </w14:solidFill>
                </w14:textFill>
              </w:rPr>
              <w:t>高压生产车间（110kv电缆）</w:t>
            </w:r>
            <w:r>
              <w:rPr>
                <w:rFonts w:hint="eastAsia" w:ascii="Times New Roman Regular" w:hAnsi="Times New Roman Regular" w:eastAsia="宋体" w:cs="Times New Roman Regular"/>
                <w:color w:val="000000" w:themeColor="text1"/>
                <w:szCs w:val="24"/>
                <w14:textFill>
                  <w14:solidFill>
                    <w14:schemeClr w14:val="tx1"/>
                  </w14:solidFill>
                </w14:textFill>
              </w:rPr>
              <w:t>年使用油墨0.4t/a，参照《第二次全国污染源普查系数手册》3831电线电缆制造，喷码采用水性油墨，挥发性有机物产生量为0.2661g/kg原料；则非甲烷总烃产生量约为0.0001t/a。</w:t>
            </w:r>
          </w:p>
          <w:p w14:paraId="1E81A4B9">
            <w:pPr>
              <w:pStyle w:val="3"/>
              <w:spacing w:line="360" w:lineRule="auto"/>
              <w:ind w:firstLine="496"/>
              <w:rPr>
                <w:spacing w:val="4"/>
                <w:sz w:val="24"/>
              </w:rPr>
            </w:pPr>
            <w:r>
              <w:rPr>
                <w:rFonts w:hint="eastAsia"/>
                <w:spacing w:val="4"/>
                <w:sz w:val="24"/>
              </w:rPr>
              <w:t>本环评要求</w:t>
            </w:r>
            <w:r>
              <w:rPr>
                <w:spacing w:val="4"/>
                <w:sz w:val="24"/>
              </w:rPr>
              <w:t>企业在</w:t>
            </w:r>
            <w:r>
              <w:rPr>
                <w:rFonts w:hint="eastAsia"/>
                <w:color w:val="000000" w:themeColor="text1"/>
                <w14:textFill>
                  <w14:solidFill>
                    <w14:schemeClr w14:val="tx1"/>
                  </w14:solidFill>
                </w14:textFill>
              </w:rPr>
              <w:t>拔</w:t>
            </w:r>
            <w:r>
              <w:rPr>
                <w:spacing w:val="4"/>
                <w:sz w:val="24"/>
              </w:rPr>
              <w:t>丝</w:t>
            </w:r>
            <w:r>
              <w:rPr>
                <w:rFonts w:hint="eastAsia"/>
                <w:spacing w:val="4"/>
                <w:sz w:val="24"/>
              </w:rPr>
              <w:t>、挤出、喷码设备</w:t>
            </w:r>
            <w:r>
              <w:rPr>
                <w:spacing w:val="4"/>
                <w:sz w:val="24"/>
              </w:rPr>
              <w:t>上方设置集气罩</w:t>
            </w:r>
            <w:r>
              <w:rPr>
                <w:rFonts w:hint="eastAsia"/>
                <w:spacing w:val="4"/>
                <w:sz w:val="24"/>
              </w:rPr>
              <w:t>并加设软帘收集有机废气</w:t>
            </w:r>
            <w:r>
              <w:rPr>
                <w:spacing w:val="4"/>
                <w:sz w:val="24"/>
              </w:rPr>
              <w:t>，</w:t>
            </w:r>
            <w:r>
              <w:rPr>
                <w:rFonts w:hint="eastAsia"/>
                <w:spacing w:val="4"/>
                <w:sz w:val="24"/>
                <w:lang w:val="en-US" w:eastAsia="zh-CN"/>
              </w:rPr>
              <w:t>并</w:t>
            </w:r>
            <w:r>
              <w:rPr>
                <w:rFonts w:hint="eastAsia"/>
                <w:spacing w:val="4"/>
                <w:sz w:val="24"/>
              </w:rPr>
              <w:t>增设</w:t>
            </w:r>
            <w:r>
              <w:rPr>
                <w:rFonts w:hint="eastAsia"/>
                <w:spacing w:val="4"/>
                <w:sz w:val="24"/>
                <w:lang w:val="en-US" w:eastAsia="zh-CN"/>
              </w:rPr>
              <w:t>碱</w:t>
            </w:r>
            <w:r>
              <w:rPr>
                <w:rFonts w:hint="eastAsia"/>
                <w:spacing w:val="4"/>
                <w:sz w:val="24"/>
              </w:rPr>
              <w:t>水喷淋塔+除雾，参照广东省生态环境厅印发的《广东省工业源挥发性有机物减排量核算方法(试行)》中表4.5-1中包围型集气设备通过软质垂帘四周围挡(偶有部分敞开)且敞开面控制风速不小于0.5m/s，集气效率可达</w:t>
            </w:r>
            <w:r>
              <w:rPr>
                <w:rFonts w:hint="eastAsia"/>
                <w:spacing w:val="4"/>
                <w:sz w:val="24"/>
                <w:lang w:val="en-US" w:eastAsia="zh-CN"/>
              </w:rPr>
              <w:t>90</w:t>
            </w:r>
            <w:r>
              <w:rPr>
                <w:rFonts w:hint="eastAsia"/>
                <w:spacing w:val="4"/>
                <w:sz w:val="24"/>
              </w:rPr>
              <w:t>%，本项目产生的有机废气采用集气罩及四周加设软帘的收集方式，且敞开面控制风速为0.7m/s，因此本次评价集气罩集气效率取80%，经收集后的废气合并进入二级活性炭吸附装置处理，最终通过1根15m高排气筒（DA001）达标排放。根据“第二次全国污染源普查系数手册”中“292塑料制品行业手册”中“末端治理技术一活性炭吸附”末端治理技术效率可达70%，则二级活性炭串联理论处理效率可达91%x(70%+30%x70%)，本项目保守估计，有机废气去除效率按照90%计，HCl经水喷淋塔+除雾，去除效率按95%计，平均每天工作时间24h，年生产时间300天。</w:t>
            </w:r>
          </w:p>
          <w:p w14:paraId="6E99045A">
            <w:pPr>
              <w:pStyle w:val="3"/>
              <w:spacing w:line="360" w:lineRule="auto"/>
              <w:ind w:firstLine="480"/>
              <w:rPr>
                <w:b/>
                <w:bCs/>
                <w:sz w:val="24"/>
              </w:rPr>
            </w:pPr>
            <w:r>
              <w:rPr>
                <w:rFonts w:hint="eastAsia"/>
                <w:bCs/>
                <w:sz w:val="24"/>
              </w:rPr>
              <w:t>高压生产车间废气</w:t>
            </w:r>
            <w:r>
              <w:rPr>
                <w:bCs/>
                <w:sz w:val="24"/>
              </w:rPr>
              <w:t>产生及排放情况见表</w:t>
            </w:r>
            <w:r>
              <w:rPr>
                <w:rFonts w:hint="eastAsia"/>
                <w:bCs/>
                <w:sz w:val="24"/>
              </w:rPr>
              <w:t>4</w:t>
            </w:r>
            <w:r>
              <w:rPr>
                <w:bCs/>
                <w:sz w:val="24"/>
              </w:rPr>
              <w:t>.</w:t>
            </w:r>
            <w:r>
              <w:rPr>
                <w:rFonts w:hint="eastAsia"/>
                <w:bCs/>
                <w:sz w:val="24"/>
              </w:rPr>
              <w:t>2</w:t>
            </w:r>
            <w:r>
              <w:rPr>
                <w:bCs/>
                <w:sz w:val="24"/>
              </w:rPr>
              <w:t>-</w:t>
            </w:r>
            <w:r>
              <w:rPr>
                <w:rFonts w:hint="eastAsia"/>
                <w:bCs/>
                <w:sz w:val="24"/>
              </w:rPr>
              <w:t>1</w:t>
            </w:r>
            <w:r>
              <w:rPr>
                <w:bCs/>
                <w:sz w:val="24"/>
              </w:rPr>
              <w:t>。</w:t>
            </w:r>
          </w:p>
          <w:p w14:paraId="7F48E4E8">
            <w:pPr>
              <w:autoSpaceDE w:val="0"/>
              <w:adjustRightInd w:val="0"/>
              <w:snapToGrid w:val="0"/>
              <w:jc w:val="center"/>
              <w:rPr>
                <w:b/>
                <w:bCs/>
              </w:rPr>
            </w:pPr>
            <w:r>
              <w:rPr>
                <w:b/>
                <w:bCs/>
              </w:rPr>
              <w:t>表</w:t>
            </w:r>
            <w:r>
              <w:rPr>
                <w:rFonts w:hint="eastAsia"/>
                <w:b/>
                <w:bCs/>
              </w:rPr>
              <w:t>4.2</w:t>
            </w:r>
            <w:r>
              <w:rPr>
                <w:b/>
                <w:bCs/>
              </w:rPr>
              <w:t>-</w:t>
            </w:r>
            <w:r>
              <w:rPr>
                <w:rFonts w:hint="eastAsia"/>
                <w:b/>
                <w:bCs/>
              </w:rPr>
              <w:t xml:space="preserve">1 </w:t>
            </w:r>
            <w:r>
              <w:rPr>
                <w:b/>
                <w:bCs/>
              </w:rPr>
              <w:t xml:space="preserve"> </w:t>
            </w:r>
            <w:r>
              <w:rPr>
                <w:rFonts w:hint="eastAsia"/>
                <w:b/>
                <w:bCs/>
              </w:rPr>
              <w:t>高压生产车间废气</w:t>
            </w:r>
            <w:r>
              <w:rPr>
                <w:b/>
                <w:bCs/>
              </w:rPr>
              <w:t>产生及排放情况表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4"/>
              <w:gridCol w:w="965"/>
              <w:gridCol w:w="924"/>
              <w:gridCol w:w="1102"/>
              <w:gridCol w:w="1308"/>
              <w:gridCol w:w="924"/>
              <w:gridCol w:w="1107"/>
            </w:tblGrid>
            <w:tr w14:paraId="0BC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restart"/>
                  <w:vAlign w:val="center"/>
                </w:tcPr>
                <w:p w14:paraId="2A828DFF">
                  <w:pPr>
                    <w:adjustRightInd w:val="0"/>
                    <w:snapToGrid w:val="0"/>
                    <w:jc w:val="center"/>
                    <w:rPr>
                      <w:b/>
                      <w:szCs w:val="21"/>
                    </w:rPr>
                  </w:pPr>
                  <w:r>
                    <w:rPr>
                      <w:b/>
                      <w:szCs w:val="21"/>
                    </w:rPr>
                    <w:t>污染因子</w:t>
                  </w:r>
                </w:p>
              </w:tc>
              <w:tc>
                <w:tcPr>
                  <w:tcW w:w="580" w:type="pct"/>
                  <w:vMerge w:val="restart"/>
                  <w:vAlign w:val="center"/>
                </w:tcPr>
                <w:p w14:paraId="6D8E30E6">
                  <w:pPr>
                    <w:adjustRightInd w:val="0"/>
                    <w:snapToGrid w:val="0"/>
                    <w:jc w:val="center"/>
                    <w:rPr>
                      <w:b/>
                      <w:szCs w:val="21"/>
                    </w:rPr>
                  </w:pPr>
                  <w:r>
                    <w:rPr>
                      <w:b/>
                      <w:szCs w:val="21"/>
                    </w:rPr>
                    <w:t>产生量（t/a）</w:t>
                  </w:r>
                </w:p>
              </w:tc>
              <w:tc>
                <w:tcPr>
                  <w:tcW w:w="606" w:type="pct"/>
                  <w:vMerge w:val="restart"/>
                  <w:vAlign w:val="center"/>
                </w:tcPr>
                <w:p w14:paraId="02F6C96A">
                  <w:pPr>
                    <w:adjustRightInd w:val="0"/>
                    <w:snapToGrid w:val="0"/>
                    <w:jc w:val="center"/>
                    <w:rPr>
                      <w:b/>
                      <w:szCs w:val="21"/>
                    </w:rPr>
                  </w:pPr>
                  <w:r>
                    <w:rPr>
                      <w:b/>
                      <w:szCs w:val="21"/>
                    </w:rPr>
                    <w:t>削减量（t/a）</w:t>
                  </w:r>
                </w:p>
              </w:tc>
              <w:tc>
                <w:tcPr>
                  <w:tcW w:w="2093" w:type="pct"/>
                  <w:gridSpan w:val="3"/>
                  <w:vAlign w:val="center"/>
                </w:tcPr>
                <w:p w14:paraId="5099A3AD">
                  <w:pPr>
                    <w:adjustRightInd w:val="0"/>
                    <w:snapToGrid w:val="0"/>
                    <w:jc w:val="center"/>
                    <w:rPr>
                      <w:b/>
                      <w:szCs w:val="21"/>
                    </w:rPr>
                  </w:pPr>
                  <w:r>
                    <w:rPr>
                      <w:b/>
                      <w:szCs w:val="21"/>
                    </w:rPr>
                    <w:t>有组织（</w:t>
                  </w:r>
                  <w:r>
                    <w:rPr>
                      <w:bCs/>
                      <w:szCs w:val="21"/>
                    </w:rPr>
                    <w:t>DA001</w:t>
                  </w:r>
                  <w:r>
                    <w:rPr>
                      <w:b/>
                      <w:szCs w:val="21"/>
                    </w:rPr>
                    <w:t>）</w:t>
                  </w:r>
                </w:p>
              </w:tc>
              <w:tc>
                <w:tcPr>
                  <w:tcW w:w="1273" w:type="pct"/>
                  <w:gridSpan w:val="2"/>
                  <w:vAlign w:val="center"/>
                </w:tcPr>
                <w:p w14:paraId="3128F838">
                  <w:pPr>
                    <w:adjustRightInd w:val="0"/>
                    <w:snapToGrid w:val="0"/>
                    <w:jc w:val="center"/>
                    <w:rPr>
                      <w:b/>
                      <w:szCs w:val="21"/>
                    </w:rPr>
                  </w:pPr>
                  <w:r>
                    <w:rPr>
                      <w:b/>
                      <w:szCs w:val="21"/>
                    </w:rPr>
                    <w:t>无组织</w:t>
                  </w:r>
                </w:p>
              </w:tc>
            </w:tr>
            <w:tr w14:paraId="7142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continue"/>
                  <w:vAlign w:val="center"/>
                </w:tcPr>
                <w:p w14:paraId="79FCF256">
                  <w:pPr>
                    <w:adjustRightInd w:val="0"/>
                    <w:snapToGrid w:val="0"/>
                    <w:jc w:val="center"/>
                    <w:rPr>
                      <w:b/>
                      <w:szCs w:val="21"/>
                    </w:rPr>
                  </w:pPr>
                </w:p>
              </w:tc>
              <w:tc>
                <w:tcPr>
                  <w:tcW w:w="580" w:type="pct"/>
                  <w:vMerge w:val="continue"/>
                  <w:vAlign w:val="center"/>
                </w:tcPr>
                <w:p w14:paraId="77E9CDAB">
                  <w:pPr>
                    <w:adjustRightInd w:val="0"/>
                    <w:snapToGrid w:val="0"/>
                    <w:jc w:val="center"/>
                    <w:rPr>
                      <w:b/>
                      <w:szCs w:val="21"/>
                    </w:rPr>
                  </w:pPr>
                </w:p>
              </w:tc>
              <w:tc>
                <w:tcPr>
                  <w:tcW w:w="606" w:type="pct"/>
                  <w:vMerge w:val="continue"/>
                  <w:vAlign w:val="center"/>
                </w:tcPr>
                <w:p w14:paraId="5F83FFD9">
                  <w:pPr>
                    <w:adjustRightInd w:val="0"/>
                    <w:snapToGrid w:val="0"/>
                    <w:jc w:val="center"/>
                    <w:rPr>
                      <w:b/>
                      <w:szCs w:val="21"/>
                    </w:rPr>
                  </w:pPr>
                </w:p>
              </w:tc>
              <w:tc>
                <w:tcPr>
                  <w:tcW w:w="580" w:type="pct"/>
                  <w:vAlign w:val="center"/>
                </w:tcPr>
                <w:p w14:paraId="65FB02DE">
                  <w:pPr>
                    <w:adjustRightInd w:val="0"/>
                    <w:snapToGrid w:val="0"/>
                    <w:jc w:val="center"/>
                    <w:rPr>
                      <w:b/>
                      <w:szCs w:val="21"/>
                    </w:rPr>
                  </w:pPr>
                  <w:r>
                    <w:rPr>
                      <w:b/>
                      <w:szCs w:val="21"/>
                    </w:rPr>
                    <w:t>排放量（t/a）</w:t>
                  </w:r>
                </w:p>
              </w:tc>
              <w:tc>
                <w:tcPr>
                  <w:tcW w:w="692" w:type="pct"/>
                  <w:vAlign w:val="center"/>
                </w:tcPr>
                <w:p w14:paraId="69A9F316">
                  <w:pPr>
                    <w:adjustRightInd w:val="0"/>
                    <w:snapToGrid w:val="0"/>
                    <w:jc w:val="center"/>
                    <w:rPr>
                      <w:b/>
                      <w:szCs w:val="21"/>
                    </w:rPr>
                  </w:pPr>
                  <w:r>
                    <w:rPr>
                      <w:b/>
                      <w:szCs w:val="21"/>
                    </w:rPr>
                    <w:t>排放速率（kg/h）</w:t>
                  </w:r>
                </w:p>
              </w:tc>
              <w:tc>
                <w:tcPr>
                  <w:tcW w:w="820" w:type="pct"/>
                  <w:vAlign w:val="center"/>
                </w:tcPr>
                <w:p w14:paraId="37DF772C">
                  <w:pPr>
                    <w:adjustRightInd w:val="0"/>
                    <w:snapToGrid w:val="0"/>
                    <w:jc w:val="center"/>
                    <w:rPr>
                      <w:b/>
                      <w:szCs w:val="21"/>
                    </w:rPr>
                  </w:pPr>
                  <w:r>
                    <w:rPr>
                      <w:b/>
                      <w:szCs w:val="21"/>
                    </w:rPr>
                    <w:t>排放浓度（mg/m</w:t>
                  </w:r>
                  <w:r>
                    <w:rPr>
                      <w:b/>
                      <w:szCs w:val="21"/>
                      <w:vertAlign w:val="superscript"/>
                    </w:rPr>
                    <w:t>3</w:t>
                  </w:r>
                  <w:r>
                    <w:rPr>
                      <w:b/>
                      <w:szCs w:val="21"/>
                    </w:rPr>
                    <w:t>）</w:t>
                  </w:r>
                </w:p>
              </w:tc>
              <w:tc>
                <w:tcPr>
                  <w:tcW w:w="580" w:type="pct"/>
                  <w:vAlign w:val="center"/>
                </w:tcPr>
                <w:p w14:paraId="12EBA735">
                  <w:pPr>
                    <w:adjustRightInd w:val="0"/>
                    <w:snapToGrid w:val="0"/>
                    <w:jc w:val="center"/>
                    <w:rPr>
                      <w:b/>
                      <w:szCs w:val="21"/>
                    </w:rPr>
                  </w:pPr>
                  <w:r>
                    <w:rPr>
                      <w:b/>
                      <w:szCs w:val="21"/>
                    </w:rPr>
                    <w:t>排放量（t/a）</w:t>
                  </w:r>
                </w:p>
              </w:tc>
              <w:tc>
                <w:tcPr>
                  <w:tcW w:w="693" w:type="pct"/>
                  <w:vAlign w:val="center"/>
                </w:tcPr>
                <w:p w14:paraId="757A5605">
                  <w:pPr>
                    <w:adjustRightInd w:val="0"/>
                    <w:snapToGrid w:val="0"/>
                    <w:jc w:val="center"/>
                    <w:rPr>
                      <w:b/>
                      <w:szCs w:val="21"/>
                    </w:rPr>
                  </w:pPr>
                  <w:r>
                    <w:rPr>
                      <w:b/>
                      <w:szCs w:val="21"/>
                    </w:rPr>
                    <w:t>排放速率（kg/h）</w:t>
                  </w:r>
                </w:p>
              </w:tc>
            </w:tr>
            <w:tr w14:paraId="0227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3259F4AA">
                  <w:pPr>
                    <w:adjustRightInd w:val="0"/>
                    <w:snapToGrid w:val="0"/>
                    <w:jc w:val="center"/>
                    <w:rPr>
                      <w:b/>
                      <w:szCs w:val="21"/>
                    </w:rPr>
                  </w:pPr>
                  <w:r>
                    <w:rPr>
                      <w:b/>
                      <w:szCs w:val="21"/>
                    </w:rPr>
                    <w:t>非甲烷总烃</w:t>
                  </w:r>
                </w:p>
              </w:tc>
              <w:tc>
                <w:tcPr>
                  <w:tcW w:w="580" w:type="pct"/>
                  <w:vAlign w:val="center"/>
                </w:tcPr>
                <w:p w14:paraId="400BF31A">
                  <w:pPr>
                    <w:adjustRightInd w:val="0"/>
                    <w:snapToGrid w:val="0"/>
                    <w:jc w:val="center"/>
                    <w:rPr>
                      <w:bCs/>
                      <w:szCs w:val="21"/>
                    </w:rPr>
                  </w:pPr>
                  <w:r>
                    <w:rPr>
                      <w:rFonts w:hint="eastAsia"/>
                      <w:bCs/>
                      <w:szCs w:val="21"/>
                    </w:rPr>
                    <w:t>7.7501</w:t>
                  </w:r>
                </w:p>
              </w:tc>
              <w:tc>
                <w:tcPr>
                  <w:tcW w:w="606" w:type="pct"/>
                  <w:vAlign w:val="center"/>
                </w:tcPr>
                <w:p w14:paraId="257A0204">
                  <w:pPr>
                    <w:adjustRightInd w:val="0"/>
                    <w:snapToGrid w:val="0"/>
                    <w:jc w:val="center"/>
                    <w:rPr>
                      <w:rFonts w:hint="default" w:eastAsia="宋体"/>
                      <w:bCs/>
                      <w:szCs w:val="21"/>
                      <w:lang w:val="en-US" w:eastAsia="zh-CN"/>
                    </w:rPr>
                  </w:pPr>
                  <w:r>
                    <w:rPr>
                      <w:rFonts w:hint="eastAsia"/>
                      <w:bCs/>
                      <w:szCs w:val="21"/>
                      <w:lang w:val="en-US" w:eastAsia="zh-CN"/>
                    </w:rPr>
                    <w:t>6.2776</w:t>
                  </w:r>
                </w:p>
              </w:tc>
              <w:tc>
                <w:tcPr>
                  <w:tcW w:w="580" w:type="pct"/>
                  <w:vAlign w:val="center"/>
                </w:tcPr>
                <w:p w14:paraId="54AC1790">
                  <w:pPr>
                    <w:adjustRightInd w:val="0"/>
                    <w:snapToGrid w:val="0"/>
                    <w:jc w:val="center"/>
                    <w:rPr>
                      <w:rFonts w:hint="default" w:eastAsia="宋体"/>
                      <w:bCs/>
                      <w:szCs w:val="21"/>
                      <w:lang w:val="en-US" w:eastAsia="zh-CN"/>
                    </w:rPr>
                  </w:pPr>
                  <w:r>
                    <w:rPr>
                      <w:rFonts w:hint="eastAsia"/>
                      <w:bCs/>
                      <w:szCs w:val="21"/>
                    </w:rPr>
                    <w:t>0.6</w:t>
                  </w:r>
                  <w:r>
                    <w:rPr>
                      <w:rFonts w:hint="eastAsia"/>
                      <w:bCs/>
                      <w:szCs w:val="21"/>
                      <w:lang w:val="en-US" w:eastAsia="zh-CN"/>
                    </w:rPr>
                    <w:t>98</w:t>
                  </w:r>
                </w:p>
              </w:tc>
              <w:tc>
                <w:tcPr>
                  <w:tcW w:w="692" w:type="pct"/>
                  <w:vAlign w:val="center"/>
                </w:tcPr>
                <w:p w14:paraId="6910CD6C">
                  <w:pPr>
                    <w:adjustRightInd w:val="0"/>
                    <w:snapToGrid w:val="0"/>
                    <w:jc w:val="center"/>
                    <w:rPr>
                      <w:rFonts w:hint="default" w:eastAsia="宋体"/>
                      <w:bCs/>
                      <w:szCs w:val="21"/>
                      <w:lang w:val="en-US" w:eastAsia="zh-CN"/>
                    </w:rPr>
                  </w:pPr>
                  <w:r>
                    <w:rPr>
                      <w:rFonts w:hint="eastAsia"/>
                      <w:bCs/>
                      <w:szCs w:val="21"/>
                    </w:rPr>
                    <w:t>0.0</w:t>
                  </w:r>
                  <w:r>
                    <w:rPr>
                      <w:rFonts w:hint="eastAsia"/>
                      <w:bCs/>
                      <w:szCs w:val="21"/>
                      <w:lang w:val="en-US" w:eastAsia="zh-CN"/>
                    </w:rPr>
                    <w:t>97</w:t>
                  </w:r>
                </w:p>
              </w:tc>
              <w:tc>
                <w:tcPr>
                  <w:tcW w:w="820" w:type="pct"/>
                  <w:vAlign w:val="center"/>
                </w:tcPr>
                <w:p w14:paraId="44A58778">
                  <w:pPr>
                    <w:adjustRightInd w:val="0"/>
                    <w:snapToGrid w:val="0"/>
                    <w:jc w:val="center"/>
                    <w:rPr>
                      <w:rFonts w:hint="default" w:eastAsia="宋体"/>
                      <w:bCs/>
                      <w:szCs w:val="21"/>
                      <w:lang w:val="en-US" w:eastAsia="zh-CN"/>
                    </w:rPr>
                  </w:pPr>
                  <w:r>
                    <w:rPr>
                      <w:rFonts w:hint="eastAsia"/>
                      <w:bCs/>
                      <w:szCs w:val="21"/>
                      <w:lang w:val="en-US" w:eastAsia="zh-CN"/>
                    </w:rPr>
                    <w:t>8.08</w:t>
                  </w:r>
                </w:p>
              </w:tc>
              <w:tc>
                <w:tcPr>
                  <w:tcW w:w="580" w:type="pct"/>
                  <w:vAlign w:val="center"/>
                </w:tcPr>
                <w:p w14:paraId="1D4ADB44">
                  <w:pPr>
                    <w:adjustRightInd w:val="0"/>
                    <w:snapToGrid w:val="0"/>
                    <w:jc w:val="center"/>
                    <w:rPr>
                      <w:rFonts w:hint="default" w:eastAsia="宋体"/>
                      <w:bCs/>
                      <w:szCs w:val="21"/>
                      <w:lang w:val="en-US" w:eastAsia="zh-CN"/>
                    </w:rPr>
                  </w:pPr>
                  <w:r>
                    <w:rPr>
                      <w:rFonts w:hint="eastAsia"/>
                      <w:bCs/>
                      <w:szCs w:val="21"/>
                      <w:lang w:val="en-US" w:eastAsia="zh-CN"/>
                    </w:rPr>
                    <w:t>0.775</w:t>
                  </w:r>
                </w:p>
              </w:tc>
              <w:tc>
                <w:tcPr>
                  <w:tcW w:w="693" w:type="pct"/>
                  <w:vAlign w:val="center"/>
                </w:tcPr>
                <w:p w14:paraId="5BCA7CEB">
                  <w:pPr>
                    <w:adjustRightInd w:val="0"/>
                    <w:snapToGrid w:val="0"/>
                    <w:jc w:val="center"/>
                    <w:rPr>
                      <w:rFonts w:hint="default" w:eastAsia="宋体"/>
                      <w:bCs/>
                      <w:szCs w:val="21"/>
                      <w:lang w:val="en-US" w:eastAsia="zh-CN"/>
                    </w:rPr>
                  </w:pPr>
                  <w:r>
                    <w:rPr>
                      <w:rFonts w:hint="eastAsia"/>
                      <w:bCs/>
                      <w:szCs w:val="21"/>
                    </w:rPr>
                    <w:t>0.</w:t>
                  </w:r>
                  <w:r>
                    <w:rPr>
                      <w:rFonts w:hint="eastAsia"/>
                      <w:bCs/>
                      <w:szCs w:val="21"/>
                      <w:lang w:val="en-US" w:eastAsia="zh-CN"/>
                    </w:rPr>
                    <w:t>108</w:t>
                  </w:r>
                </w:p>
              </w:tc>
            </w:tr>
            <w:tr w14:paraId="7546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33E5B7C7">
                  <w:pPr>
                    <w:adjustRightInd w:val="0"/>
                    <w:snapToGrid w:val="0"/>
                    <w:jc w:val="center"/>
                    <w:rPr>
                      <w:b/>
                      <w:szCs w:val="21"/>
                    </w:rPr>
                  </w:pPr>
                  <w:r>
                    <w:rPr>
                      <w:rFonts w:hint="eastAsia"/>
                      <w:b/>
                      <w:szCs w:val="21"/>
                    </w:rPr>
                    <w:t>HCl</w:t>
                  </w:r>
                </w:p>
              </w:tc>
              <w:tc>
                <w:tcPr>
                  <w:tcW w:w="580" w:type="pct"/>
                  <w:vAlign w:val="center"/>
                </w:tcPr>
                <w:p w14:paraId="0EC825DD">
                  <w:pPr>
                    <w:adjustRightInd w:val="0"/>
                    <w:snapToGrid w:val="0"/>
                    <w:jc w:val="center"/>
                    <w:rPr>
                      <w:bCs/>
                      <w:szCs w:val="21"/>
                    </w:rPr>
                  </w:pPr>
                  <w:r>
                    <w:rPr>
                      <w:rFonts w:hint="eastAsia"/>
                      <w:bCs/>
                      <w:szCs w:val="21"/>
                    </w:rPr>
                    <w:t>0.015</w:t>
                  </w:r>
                </w:p>
              </w:tc>
              <w:tc>
                <w:tcPr>
                  <w:tcW w:w="606" w:type="pct"/>
                  <w:vAlign w:val="center"/>
                </w:tcPr>
                <w:p w14:paraId="2F614E3A">
                  <w:pPr>
                    <w:adjustRightInd w:val="0"/>
                    <w:snapToGrid w:val="0"/>
                    <w:jc w:val="center"/>
                    <w:rPr>
                      <w:rFonts w:hint="default" w:eastAsia="宋体"/>
                      <w:bCs/>
                      <w:szCs w:val="21"/>
                      <w:lang w:val="en-US" w:eastAsia="zh-CN"/>
                    </w:rPr>
                  </w:pPr>
                  <w:r>
                    <w:rPr>
                      <w:rFonts w:hint="eastAsia"/>
                      <w:bCs/>
                      <w:szCs w:val="21"/>
                    </w:rPr>
                    <w:t>0.01</w:t>
                  </w:r>
                  <w:r>
                    <w:rPr>
                      <w:rFonts w:hint="eastAsia"/>
                      <w:bCs/>
                      <w:szCs w:val="21"/>
                      <w:lang w:val="en-US" w:eastAsia="zh-CN"/>
                    </w:rPr>
                    <w:t>28</w:t>
                  </w:r>
                </w:p>
              </w:tc>
              <w:tc>
                <w:tcPr>
                  <w:tcW w:w="580" w:type="pct"/>
                  <w:vAlign w:val="center"/>
                </w:tcPr>
                <w:p w14:paraId="4302D0BA">
                  <w:pPr>
                    <w:adjustRightInd w:val="0"/>
                    <w:snapToGrid w:val="0"/>
                    <w:jc w:val="center"/>
                    <w:rPr>
                      <w:rFonts w:hint="default" w:eastAsia="宋体"/>
                      <w:bCs/>
                      <w:szCs w:val="21"/>
                      <w:lang w:val="en-US" w:eastAsia="zh-CN"/>
                    </w:rPr>
                  </w:pPr>
                  <w:r>
                    <w:rPr>
                      <w:rFonts w:hint="eastAsia"/>
                      <w:bCs/>
                      <w:szCs w:val="21"/>
                    </w:rPr>
                    <w:t>0.00</w:t>
                  </w:r>
                  <w:r>
                    <w:rPr>
                      <w:rFonts w:hint="eastAsia"/>
                      <w:bCs/>
                      <w:szCs w:val="21"/>
                      <w:lang w:val="en-US" w:eastAsia="zh-CN"/>
                    </w:rPr>
                    <w:t>07</w:t>
                  </w:r>
                </w:p>
              </w:tc>
              <w:tc>
                <w:tcPr>
                  <w:tcW w:w="692" w:type="pct"/>
                  <w:vAlign w:val="center"/>
                </w:tcPr>
                <w:p w14:paraId="5E0E3840">
                  <w:pPr>
                    <w:adjustRightInd w:val="0"/>
                    <w:snapToGrid w:val="0"/>
                    <w:jc w:val="center"/>
                    <w:rPr>
                      <w:bCs/>
                      <w:szCs w:val="21"/>
                    </w:rPr>
                  </w:pPr>
                  <w:r>
                    <w:rPr>
                      <w:rFonts w:hint="eastAsia"/>
                      <w:bCs/>
                      <w:szCs w:val="21"/>
                    </w:rPr>
                    <w:t>0.0001</w:t>
                  </w:r>
                </w:p>
              </w:tc>
              <w:tc>
                <w:tcPr>
                  <w:tcW w:w="820" w:type="pct"/>
                  <w:vAlign w:val="center"/>
                </w:tcPr>
                <w:p w14:paraId="6290D06E">
                  <w:pPr>
                    <w:adjustRightInd w:val="0"/>
                    <w:snapToGrid w:val="0"/>
                    <w:jc w:val="center"/>
                    <w:rPr>
                      <w:bCs/>
                      <w:szCs w:val="21"/>
                    </w:rPr>
                  </w:pPr>
                  <w:r>
                    <w:rPr>
                      <w:rFonts w:hint="eastAsia"/>
                      <w:bCs/>
                      <w:szCs w:val="21"/>
                    </w:rPr>
                    <w:t>0.0083</w:t>
                  </w:r>
                </w:p>
              </w:tc>
              <w:tc>
                <w:tcPr>
                  <w:tcW w:w="580" w:type="pct"/>
                  <w:vAlign w:val="center"/>
                </w:tcPr>
                <w:p w14:paraId="6898FC5A">
                  <w:pPr>
                    <w:adjustRightInd w:val="0"/>
                    <w:snapToGrid w:val="0"/>
                    <w:jc w:val="center"/>
                    <w:rPr>
                      <w:rFonts w:hint="default" w:eastAsia="宋体"/>
                      <w:bCs/>
                      <w:szCs w:val="21"/>
                      <w:lang w:val="en-US" w:eastAsia="zh-CN"/>
                    </w:rPr>
                  </w:pPr>
                  <w:r>
                    <w:rPr>
                      <w:rFonts w:hint="eastAsia"/>
                      <w:bCs/>
                      <w:szCs w:val="21"/>
                    </w:rPr>
                    <w:t>0.00</w:t>
                  </w:r>
                  <w:r>
                    <w:rPr>
                      <w:rFonts w:hint="eastAsia"/>
                      <w:bCs/>
                      <w:szCs w:val="21"/>
                      <w:lang w:val="en-US" w:eastAsia="zh-CN"/>
                    </w:rPr>
                    <w:t>15</w:t>
                  </w:r>
                </w:p>
              </w:tc>
              <w:tc>
                <w:tcPr>
                  <w:tcW w:w="693" w:type="pct"/>
                  <w:vAlign w:val="center"/>
                </w:tcPr>
                <w:p w14:paraId="5015F437">
                  <w:pPr>
                    <w:adjustRightInd w:val="0"/>
                    <w:snapToGrid w:val="0"/>
                    <w:jc w:val="center"/>
                    <w:rPr>
                      <w:rFonts w:hint="eastAsia" w:eastAsia="宋体"/>
                      <w:bCs/>
                      <w:szCs w:val="21"/>
                      <w:lang w:eastAsia="zh-CN"/>
                    </w:rPr>
                  </w:pPr>
                  <w:r>
                    <w:rPr>
                      <w:rFonts w:hint="eastAsia"/>
                      <w:bCs/>
                      <w:szCs w:val="21"/>
                    </w:rPr>
                    <w:t>0.000</w:t>
                  </w:r>
                  <w:r>
                    <w:rPr>
                      <w:rFonts w:hint="eastAsia"/>
                      <w:bCs/>
                      <w:szCs w:val="21"/>
                      <w:lang w:val="en-US" w:eastAsia="zh-CN"/>
                    </w:rPr>
                    <w:t>2</w:t>
                  </w:r>
                </w:p>
              </w:tc>
            </w:tr>
            <w:tr w14:paraId="2CDA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00" w:type="pct"/>
                  <w:gridSpan w:val="8"/>
                  <w:vAlign w:val="center"/>
                </w:tcPr>
                <w:p w14:paraId="39632DA3">
                  <w:pPr>
                    <w:autoSpaceDE w:val="0"/>
                    <w:adjustRightInd w:val="0"/>
                    <w:snapToGrid w:val="0"/>
                    <w:rPr>
                      <w:bCs/>
                      <w:szCs w:val="21"/>
                    </w:rPr>
                  </w:pPr>
                  <w:r>
                    <w:rPr>
                      <w:b/>
                      <w:bCs/>
                      <w:sz w:val="18"/>
                      <w:szCs w:val="18"/>
                    </w:rPr>
                    <w:t>注：</w:t>
                  </w:r>
                  <w:r>
                    <w:rPr>
                      <w:rFonts w:hint="eastAsia"/>
                      <w:b/>
                      <w:bCs/>
                      <w:sz w:val="18"/>
                      <w:szCs w:val="18"/>
                    </w:rPr>
                    <w:t>高压生产车间风机风量为12000m</w:t>
                  </w:r>
                  <w:r>
                    <w:rPr>
                      <w:rFonts w:hint="eastAsia"/>
                      <w:b/>
                      <w:bCs/>
                      <w:sz w:val="18"/>
                      <w:szCs w:val="18"/>
                      <w:vertAlign w:val="superscript"/>
                    </w:rPr>
                    <w:t>3</w:t>
                  </w:r>
                  <w:r>
                    <w:rPr>
                      <w:rFonts w:hint="eastAsia"/>
                      <w:b/>
                      <w:bCs/>
                      <w:sz w:val="18"/>
                      <w:szCs w:val="18"/>
                    </w:rPr>
                    <w:t>/h，处理后经15m高排气筒排放.</w:t>
                  </w:r>
                </w:p>
              </w:tc>
            </w:tr>
          </w:tbl>
          <w:p w14:paraId="02A561A7">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（2）新能源线缆车间</w:t>
            </w:r>
          </w:p>
          <w:p w14:paraId="1D9FEC48">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2-1-1</w:t>
            </w:r>
            <w:r>
              <w:rPr>
                <w:rFonts w:hint="eastAsia" w:eastAsia="宋体"/>
                <w:color w:val="000000" w:themeColor="text1"/>
                <w:szCs w:val="24"/>
                <w:lang w:val="en-US" w:eastAsia="zh-CN"/>
                <w14:textFill>
                  <w14:solidFill>
                    <w14:schemeClr w14:val="tx1"/>
                  </w14:solidFill>
                </w14:textFill>
              </w:rPr>
              <w:t>绝缘</w:t>
            </w:r>
            <w:r>
              <w:rPr>
                <w:rFonts w:hint="eastAsia" w:eastAsia="宋体"/>
                <w:color w:val="000000" w:themeColor="text1"/>
                <w:szCs w:val="24"/>
                <w14:textFill>
                  <w14:solidFill>
                    <w14:schemeClr w14:val="tx1"/>
                  </w14:solidFill>
                </w14:textFill>
              </w:rPr>
              <w:t>挤出</w:t>
            </w:r>
            <w:r>
              <w:rPr>
                <w:rFonts w:eastAsia="宋体"/>
                <w:color w:val="000000" w:themeColor="text1"/>
                <w:szCs w:val="24"/>
                <w14:textFill>
                  <w14:solidFill>
                    <w14:schemeClr w14:val="tx1"/>
                  </w14:solidFill>
                </w14:textFill>
              </w:rPr>
              <w:t>废气</w:t>
            </w:r>
          </w:p>
          <w:p w14:paraId="1B384ADF">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，光伏电缆</w:t>
            </w:r>
            <w:r>
              <w:rPr>
                <w:rFonts w:eastAsia="宋体"/>
                <w:color w:val="000000" w:themeColor="text1"/>
                <w:szCs w:val="24"/>
                <w14:textFill>
                  <w14:solidFill>
                    <w14:schemeClr w14:val="tx1"/>
                  </w14:solidFill>
                </w14:textFill>
              </w:rPr>
              <w:t>项目</w:t>
            </w:r>
            <w:r>
              <w:rPr>
                <w:rFonts w:hint="eastAsia" w:eastAsia="宋体"/>
                <w:color w:val="000000" w:themeColor="text1"/>
                <w:szCs w:val="24"/>
                <w14:textFill>
                  <w14:solidFill>
                    <w14:schemeClr w14:val="tx1"/>
                  </w14:solidFill>
                </w14:textFill>
              </w:rPr>
              <w:t>绝缘挤出</w:t>
            </w:r>
            <w:r>
              <w:rPr>
                <w:rFonts w:eastAsia="宋体"/>
                <w:color w:val="000000" w:themeColor="text1"/>
                <w:szCs w:val="24"/>
                <w14:textFill>
                  <w14:solidFill>
                    <w14:schemeClr w14:val="tx1"/>
                  </w14:solidFill>
                </w14:textFill>
              </w:rPr>
              <w:t>工序中会有挤出废气产生，挤出工序的控制温度根据塑料熔点调节，PVC、PE等塑料颗粒在对应温度下熔化、粘合，并使之具有塑性，远低于原料的热分解温度，因此各种原料在挤出过程中不会发生分解，仅有少量有机废气产生，挤出废气以非甲烷总烃计。</w:t>
            </w:r>
            <w:r>
              <w:rPr>
                <w:rFonts w:hint="eastAsia" w:eastAsia="宋体"/>
                <w:color w:val="000000" w:themeColor="text1"/>
                <w:szCs w:val="24"/>
                <w14:textFill>
                  <w14:solidFill>
                    <w14:schemeClr w14:val="tx1"/>
                  </w14:solidFill>
                </w14:textFill>
              </w:rPr>
              <w:t>参考《排放源统计调查产排污核算方法和系数手册》（2021年本）292塑料制品行业系数手册中2922塑料板、管、型材制造行业系数表，确定本项目挥发性有机污染物产污系数以1.5kg/t产品（原料）计，</w:t>
            </w:r>
            <w:r>
              <w:rPr>
                <w:rFonts w:eastAsia="宋体"/>
                <w:color w:val="000000" w:themeColor="text1"/>
                <w:szCs w:val="24"/>
                <w14:textFill>
                  <w14:solidFill>
                    <w14:schemeClr w14:val="tx1"/>
                  </w14:solidFill>
                </w14:textFill>
              </w:rPr>
              <w:t>根据原辅料使用一览表，</w:t>
            </w:r>
            <w:r>
              <w:rPr>
                <w:rFonts w:hint="eastAsia" w:eastAsia="宋体"/>
                <w:color w:val="000000" w:themeColor="text1"/>
                <w:szCs w:val="24"/>
                <w14:textFill>
                  <w14:solidFill>
                    <w14:schemeClr w14:val="tx1"/>
                  </w14:solidFill>
                </w14:textFill>
              </w:rPr>
              <w:t>光伏电缆制造</w:t>
            </w:r>
            <w:r>
              <w:rPr>
                <w:rFonts w:eastAsia="宋体"/>
                <w:color w:val="000000" w:themeColor="text1"/>
                <w:szCs w:val="24"/>
                <w14:textFill>
                  <w14:solidFill>
                    <w14:schemeClr w14:val="tx1"/>
                  </w14:solidFill>
                </w14:textFill>
              </w:rPr>
              <w:t>使用原料主要为PVC绝缘料/护套料、绝缘PE，</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w:t>
            </w:r>
            <w:r>
              <w:rPr>
                <w:rFonts w:hint="eastAsia" w:eastAsia="宋体"/>
                <w:color w:val="000000" w:themeColor="text1"/>
                <w:szCs w:val="24"/>
                <w:lang w:val="en-US" w:eastAsia="zh-CN"/>
                <w14:textFill>
                  <w14:solidFill>
                    <w14:schemeClr w14:val="tx1"/>
                  </w14:solidFill>
                </w14:textFill>
              </w:rPr>
              <w:t>约</w:t>
            </w:r>
            <w:r>
              <w:rPr>
                <w:rFonts w:eastAsia="宋体"/>
                <w:color w:val="000000" w:themeColor="text1"/>
                <w:szCs w:val="24"/>
                <w14:textFill>
                  <w14:solidFill>
                    <w14:schemeClr w14:val="tx1"/>
                  </w14:solidFill>
                </w14:textFill>
              </w:rPr>
              <w:t>为</w:t>
            </w:r>
            <w:r>
              <w:rPr>
                <w:rFonts w:hint="eastAsia" w:eastAsia="宋体"/>
                <w:color w:val="000000" w:themeColor="text1"/>
                <w:szCs w:val="24"/>
                <w:lang w:val="en-US" w:eastAsia="zh-CN"/>
                <w14:textFill>
                  <w14:solidFill>
                    <w14:schemeClr w14:val="tx1"/>
                  </w14:solidFill>
                </w14:textFill>
              </w:rPr>
              <w:t>500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0.75</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599D06C8">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该工序</w:t>
            </w:r>
            <w:r>
              <w:rPr>
                <w:rFonts w:hint="eastAsia" w:ascii="Times New Roman Regular" w:hAnsi="Times New Roman Regular" w:eastAsia="宋体" w:cs="Times New Roman Regular"/>
                <w:color w:val="000000" w:themeColor="text1"/>
                <w:szCs w:val="24"/>
                <w14:textFill>
                  <w14:solidFill>
                    <w14:schemeClr w14:val="tx1"/>
                  </w14:solidFill>
                </w14:textFill>
              </w:rPr>
              <w:t>生产使用</w:t>
            </w:r>
            <w:r>
              <w:rPr>
                <w:rFonts w:ascii="Times New Roman Regular" w:hAnsi="Times New Roman Regular" w:eastAsia="宋体" w:cs="Times New Roman Regular"/>
                <w:color w:val="000000" w:themeColor="text1"/>
                <w:szCs w:val="24"/>
                <w14:textFill>
                  <w14:solidFill>
                    <w14:schemeClr w14:val="tx1"/>
                  </w14:solidFill>
                </w14:textFill>
              </w:rPr>
              <w:t>PVC原料</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约</w:t>
            </w:r>
            <w:r>
              <w:rPr>
                <w:rFonts w:ascii="Times New Roman Regular" w:hAnsi="Times New Roman Regular" w:eastAsia="宋体" w:cs="Times New Roman Regular"/>
                <w:color w:val="000000" w:themeColor="text1"/>
                <w:szCs w:val="24"/>
                <w14:textFill>
                  <w14:solidFill>
                    <w14:schemeClr w14:val="tx1"/>
                  </w14:solidFill>
                </w14:textFill>
              </w:rPr>
              <w:t>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300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t/a，生产过程中氯化氢产生量为0.0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045</w:t>
            </w:r>
            <w:r>
              <w:rPr>
                <w:rFonts w:ascii="Times New Roman Regular" w:hAnsi="Times New Roman Regular" w:eastAsia="宋体" w:cs="Times New Roman Regular"/>
                <w:color w:val="000000" w:themeColor="text1"/>
                <w:szCs w:val="24"/>
                <w14:textFill>
                  <w14:solidFill>
                    <w14:schemeClr w14:val="tx1"/>
                  </w14:solidFill>
                </w14:textFill>
              </w:rPr>
              <w:t>t/a。</w:t>
            </w:r>
          </w:p>
          <w:p w14:paraId="7693ABA7">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2-1-2</w:t>
            </w:r>
            <w:r>
              <w:rPr>
                <w:rFonts w:hint="eastAsia" w:eastAsia="宋体"/>
                <w:color w:val="000000" w:themeColor="text1"/>
                <w:szCs w:val="24"/>
                <w:lang w:val="en-US" w:eastAsia="zh-CN"/>
                <w14:textFill>
                  <w14:solidFill>
                    <w14:schemeClr w14:val="tx1"/>
                  </w14:solidFill>
                </w14:textFill>
              </w:rPr>
              <w:t>护套</w:t>
            </w:r>
            <w:r>
              <w:rPr>
                <w:rFonts w:hint="eastAsia" w:eastAsia="宋体"/>
                <w:color w:val="000000" w:themeColor="text1"/>
                <w:szCs w:val="24"/>
                <w14:textFill>
                  <w14:solidFill>
                    <w14:schemeClr w14:val="tx1"/>
                  </w14:solidFill>
                </w14:textFill>
              </w:rPr>
              <w:t>挤出</w:t>
            </w:r>
            <w:r>
              <w:rPr>
                <w:rFonts w:eastAsia="宋体"/>
                <w:color w:val="000000" w:themeColor="text1"/>
                <w:szCs w:val="24"/>
                <w14:textFill>
                  <w14:solidFill>
                    <w14:schemeClr w14:val="tx1"/>
                  </w14:solidFill>
                </w14:textFill>
              </w:rPr>
              <w:t>废气</w:t>
            </w:r>
          </w:p>
          <w:p w14:paraId="31AED49C">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，光伏电缆</w:t>
            </w:r>
            <w:r>
              <w:rPr>
                <w:rFonts w:eastAsia="宋体"/>
                <w:color w:val="000000" w:themeColor="text1"/>
                <w:szCs w:val="24"/>
                <w14:textFill>
                  <w14:solidFill>
                    <w14:schemeClr w14:val="tx1"/>
                  </w14:solidFill>
                </w14:textFill>
              </w:rPr>
              <w:t>项目护套挤出工序中会有挤出废气产生，使用原料主要为PVC绝缘料/护套料、绝缘PE，</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合计用量为</w:t>
            </w:r>
            <w:r>
              <w:rPr>
                <w:rFonts w:hint="eastAsia" w:eastAsia="宋体"/>
                <w:color w:val="000000" w:themeColor="text1"/>
                <w:szCs w:val="24"/>
                <w:lang w:val="en-US" w:eastAsia="zh-CN"/>
                <w14:textFill>
                  <w14:solidFill>
                    <w14:schemeClr w14:val="tx1"/>
                  </w14:solidFill>
                </w14:textFill>
              </w:rPr>
              <w:t>5</w:t>
            </w:r>
            <w:r>
              <w:rPr>
                <w:rFonts w:hint="eastAsia" w:eastAsia="宋体"/>
                <w:color w:val="000000" w:themeColor="text1"/>
                <w:szCs w:val="24"/>
                <w14:textFill>
                  <w14:solidFill>
                    <w14:schemeClr w14:val="tx1"/>
                  </w14:solidFill>
                </w14:textFill>
              </w:rPr>
              <w:t>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0.75</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21998E00">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该工序</w:t>
            </w:r>
            <w:r>
              <w:rPr>
                <w:rFonts w:hint="eastAsia" w:ascii="Times New Roman Regular" w:hAnsi="Times New Roman Regular" w:eastAsia="宋体" w:cs="Times New Roman Regular"/>
                <w:color w:val="000000" w:themeColor="text1"/>
                <w:szCs w:val="24"/>
                <w14:textFill>
                  <w14:solidFill>
                    <w14:schemeClr w14:val="tx1"/>
                  </w14:solidFill>
                </w14:textFill>
              </w:rPr>
              <w:t>生产使用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200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t/a，生产过程中氯化氢产生量为0.0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03</w:t>
            </w:r>
            <w:r>
              <w:rPr>
                <w:rFonts w:ascii="Times New Roman Regular" w:hAnsi="Times New Roman Regular" w:eastAsia="宋体" w:cs="Times New Roman Regular"/>
                <w:color w:val="000000" w:themeColor="text1"/>
                <w:szCs w:val="24"/>
                <w14:textFill>
                  <w14:solidFill>
                    <w14:schemeClr w14:val="tx1"/>
                  </w14:solidFill>
                </w14:textFill>
              </w:rPr>
              <w:t>t/a。</w:t>
            </w:r>
          </w:p>
          <w:p w14:paraId="781A0237">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fldChar w:fldCharType="begin"/>
            </w:r>
            <w:r>
              <w:rPr>
                <w:rFonts w:ascii="Times New Roman Regular" w:hAnsi="Times New Roman Regular" w:eastAsia="宋体" w:cs="Times New Roman Regular"/>
                <w:color w:val="000000" w:themeColor="text1"/>
                <w:szCs w:val="24"/>
                <w14:textFill>
                  <w14:solidFill>
                    <w14:schemeClr w14:val="tx1"/>
                  </w14:solidFill>
                </w14:textFill>
              </w:rPr>
              <w:instrText xml:space="preserve"> = 3 \* GB3 \* MERGEFORMAT </w:instrText>
            </w:r>
            <w:r>
              <w:rPr>
                <w:rFonts w:ascii="Times New Roman Regular" w:hAnsi="Times New Roman Regular" w:eastAsia="宋体" w:cs="Times New Roman Regular"/>
                <w:color w:val="000000" w:themeColor="text1"/>
                <w:szCs w:val="24"/>
                <w14:textFill>
                  <w14:solidFill>
                    <w14:schemeClr w14:val="tx1"/>
                  </w14:solidFill>
                </w14:textFill>
              </w:rPr>
              <w:fldChar w:fldCharType="separate"/>
            </w:r>
            <w:r>
              <w:rPr>
                <w:color w:val="000000" w:themeColor="text1"/>
                <w14:textFill>
                  <w14:solidFill>
                    <w14:schemeClr w14:val="tx1"/>
                  </w14:solidFill>
                </w14:textFill>
              </w:rPr>
              <w:t>③</w:t>
            </w:r>
            <w:r>
              <w:rPr>
                <w:rFonts w:ascii="Times New Roman Regular" w:hAnsi="Times New Roman Regular" w:eastAsia="宋体" w:cs="Times New Roman Regular"/>
                <w:color w:val="000000" w:themeColor="text1"/>
                <w:szCs w:val="24"/>
                <w14:textFill>
                  <w14:solidFill>
                    <w14:schemeClr w14:val="tx1"/>
                  </w14:solidFill>
                </w14:textFill>
              </w:rPr>
              <w:fldChar w:fldCharType="end"/>
            </w:r>
            <w:r>
              <w:rPr>
                <w:rFonts w:hint="eastAsia" w:ascii="Times New Roman Regular" w:hAnsi="Times New Roman Regular" w:eastAsia="宋体" w:cs="Times New Roman Regular"/>
                <w:color w:val="000000" w:themeColor="text1"/>
                <w:szCs w:val="24"/>
                <w14:textFill>
                  <w14:solidFill>
                    <w14:schemeClr w14:val="tx1"/>
                  </w14:solidFill>
                </w14:textFill>
              </w:rPr>
              <w:t>喷码废气</w:t>
            </w:r>
          </w:p>
          <w:p w14:paraId="18D3F6D6">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ascii="Times New Roman Regular" w:hAnsi="Times New Roman Regular" w:eastAsia="宋体" w:cs="Times New Roman Regular"/>
                <w:color w:val="000000" w:themeColor="text1"/>
                <w:szCs w:val="24"/>
                <w14:textFill>
                  <w14:solidFill>
                    <w14:schemeClr w14:val="tx1"/>
                  </w14:solidFill>
                </w14:textFill>
              </w:rPr>
              <w:t>本生产线喷码机使用过程中会产生有机废气（以非甲烷总烃计），</w:t>
            </w:r>
            <w:r>
              <w:rPr>
                <w:rFonts w:hint="eastAsia" w:eastAsia="宋体"/>
                <w:color w:val="000000" w:themeColor="text1"/>
                <w:szCs w:val="24"/>
                <w14:textFill>
                  <w14:solidFill>
                    <w14:schemeClr w14:val="tx1"/>
                  </w14:solidFill>
                </w14:textFill>
              </w:rPr>
              <w:t>新能源线缆车间</w:t>
            </w:r>
            <w:r>
              <w:rPr>
                <w:rFonts w:hint="eastAsia" w:ascii="Times New Roman Regular" w:hAnsi="Times New Roman Regular" w:eastAsia="宋体" w:cs="Times New Roman Regular"/>
                <w:color w:val="000000" w:themeColor="text1"/>
                <w:szCs w:val="24"/>
                <w14:textFill>
                  <w14:solidFill>
                    <w14:schemeClr w14:val="tx1"/>
                  </w14:solidFill>
                </w14:textFill>
              </w:rPr>
              <w:t>年使用油墨0.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2</w:t>
            </w:r>
            <w:r>
              <w:rPr>
                <w:rFonts w:hint="eastAsia" w:ascii="Times New Roman Regular" w:hAnsi="Times New Roman Regular" w:eastAsia="宋体" w:cs="Times New Roman Regular"/>
                <w:color w:val="000000" w:themeColor="text1"/>
                <w:szCs w:val="24"/>
                <w14:textFill>
                  <w14:solidFill>
                    <w14:schemeClr w14:val="tx1"/>
                  </w14:solidFill>
                </w14:textFill>
              </w:rPr>
              <w:t>t/a，参照《第二次全国污染源普查系数手册》3831电线电缆制造，喷码采用水性油墨，挥发性有机物产生量为0.2661g/kg原料；则非甲烷总烃产生量约为0.000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05</w:t>
            </w:r>
            <w:r>
              <w:rPr>
                <w:rFonts w:hint="eastAsia" w:ascii="Times New Roman Regular" w:hAnsi="Times New Roman Regular" w:eastAsia="宋体" w:cs="Times New Roman Regular"/>
                <w:color w:val="000000" w:themeColor="text1"/>
                <w:szCs w:val="24"/>
                <w14:textFill>
                  <w14:solidFill>
                    <w14:schemeClr w14:val="tx1"/>
                  </w14:solidFill>
                </w14:textFill>
              </w:rPr>
              <w:t>t/a。</w:t>
            </w:r>
          </w:p>
          <w:p w14:paraId="16B13727">
            <w:pPr>
              <w:pStyle w:val="3"/>
              <w:spacing w:line="360" w:lineRule="auto"/>
              <w:ind w:firstLine="496"/>
              <w:rPr>
                <w:rFonts w:hint="eastAsia"/>
                <w:spacing w:val="4"/>
                <w:sz w:val="24"/>
              </w:rPr>
            </w:pPr>
            <w:r>
              <w:rPr>
                <w:rFonts w:hint="eastAsia"/>
                <w:spacing w:val="4"/>
                <w:sz w:val="24"/>
              </w:rPr>
              <w:t>本环评要求</w:t>
            </w:r>
            <w:r>
              <w:rPr>
                <w:spacing w:val="4"/>
                <w:sz w:val="24"/>
              </w:rPr>
              <w:t>企业在</w:t>
            </w:r>
            <w:r>
              <w:rPr>
                <w:rFonts w:hint="eastAsia"/>
                <w:spacing w:val="4"/>
                <w:sz w:val="24"/>
              </w:rPr>
              <w:t>挤出、喷码设备</w:t>
            </w:r>
            <w:r>
              <w:rPr>
                <w:spacing w:val="4"/>
                <w:sz w:val="24"/>
              </w:rPr>
              <w:t>上方设置集气罩</w:t>
            </w:r>
            <w:r>
              <w:rPr>
                <w:rFonts w:hint="eastAsia"/>
                <w:spacing w:val="4"/>
                <w:sz w:val="24"/>
              </w:rPr>
              <w:t>并加设软帘收集有机废气</w:t>
            </w:r>
            <w:r>
              <w:rPr>
                <w:spacing w:val="4"/>
                <w:sz w:val="24"/>
              </w:rPr>
              <w:t>，</w:t>
            </w:r>
            <w:r>
              <w:rPr>
                <w:rFonts w:hint="eastAsia"/>
                <w:spacing w:val="4"/>
                <w:sz w:val="24"/>
                <w:lang w:val="en-US" w:eastAsia="zh-CN"/>
              </w:rPr>
              <w:t>并</w:t>
            </w:r>
            <w:r>
              <w:rPr>
                <w:rFonts w:hint="eastAsia"/>
                <w:spacing w:val="4"/>
                <w:sz w:val="24"/>
              </w:rPr>
              <w:t>增设</w:t>
            </w:r>
            <w:r>
              <w:rPr>
                <w:rFonts w:hint="eastAsia"/>
                <w:spacing w:val="4"/>
                <w:sz w:val="24"/>
                <w:lang w:val="en-US" w:eastAsia="zh-CN"/>
              </w:rPr>
              <w:t>碱</w:t>
            </w:r>
            <w:r>
              <w:rPr>
                <w:rFonts w:hint="eastAsia"/>
                <w:spacing w:val="4"/>
                <w:sz w:val="24"/>
              </w:rPr>
              <w:t>水喷淋塔+除雾，经收集后的废气合并进入二级活性炭吸附装置处理，最终新能源线缆车间、低压线缆车间分别通过1根15m高排气筒（DA002、DA003）达标排放。集气罩集气效率取</w:t>
            </w:r>
            <w:r>
              <w:rPr>
                <w:rFonts w:hint="eastAsia"/>
                <w:spacing w:val="4"/>
                <w:sz w:val="24"/>
                <w:lang w:val="en-US" w:eastAsia="zh-CN"/>
              </w:rPr>
              <w:t>90</w:t>
            </w:r>
            <w:r>
              <w:rPr>
                <w:rFonts w:hint="eastAsia"/>
                <w:spacing w:val="4"/>
                <w:sz w:val="24"/>
              </w:rPr>
              <w:t>%，有机废气去除效率按照90%计，HCl经水喷淋塔+除雾，去除效率按95%计。</w:t>
            </w:r>
          </w:p>
          <w:p w14:paraId="775177AF">
            <w:pPr>
              <w:pStyle w:val="3"/>
              <w:spacing w:line="360" w:lineRule="auto"/>
              <w:ind w:firstLine="480"/>
              <w:rPr>
                <w:b/>
                <w:bCs/>
                <w:sz w:val="24"/>
              </w:rPr>
            </w:pPr>
            <w:r>
              <w:rPr>
                <w:rFonts w:hint="eastAsia"/>
                <w:bCs/>
                <w:sz w:val="24"/>
              </w:rPr>
              <w:t>新能源线缆车间</w:t>
            </w:r>
            <w:r>
              <w:rPr>
                <w:rFonts w:hint="eastAsia"/>
                <w:bCs/>
                <w:sz w:val="24"/>
                <w:lang w:val="en-US" w:eastAsia="zh-CN"/>
              </w:rPr>
              <w:t>生产</w:t>
            </w:r>
            <w:r>
              <w:rPr>
                <w:rFonts w:hint="eastAsia"/>
                <w:bCs/>
                <w:sz w:val="24"/>
              </w:rPr>
              <w:t>废气</w:t>
            </w:r>
            <w:r>
              <w:rPr>
                <w:bCs/>
                <w:sz w:val="24"/>
              </w:rPr>
              <w:t>产生及排放情况见表</w:t>
            </w:r>
            <w:r>
              <w:rPr>
                <w:rFonts w:hint="eastAsia"/>
                <w:bCs/>
                <w:sz w:val="24"/>
              </w:rPr>
              <w:t>4.2</w:t>
            </w:r>
            <w:r>
              <w:rPr>
                <w:bCs/>
                <w:sz w:val="24"/>
              </w:rPr>
              <w:t>-</w:t>
            </w:r>
            <w:r>
              <w:rPr>
                <w:rFonts w:hint="eastAsia"/>
                <w:bCs/>
                <w:sz w:val="24"/>
              </w:rPr>
              <w:t>2</w:t>
            </w:r>
            <w:r>
              <w:rPr>
                <w:bCs/>
                <w:sz w:val="24"/>
              </w:rPr>
              <w:t>。</w:t>
            </w:r>
          </w:p>
          <w:p w14:paraId="632ED49A">
            <w:pPr>
              <w:autoSpaceDE w:val="0"/>
              <w:adjustRightInd w:val="0"/>
              <w:snapToGrid w:val="0"/>
              <w:jc w:val="center"/>
              <w:rPr>
                <w:b/>
                <w:bCs/>
              </w:rPr>
            </w:pPr>
            <w:r>
              <w:rPr>
                <w:b/>
                <w:bCs/>
              </w:rPr>
              <w:t>表</w:t>
            </w:r>
            <w:r>
              <w:rPr>
                <w:rFonts w:hint="eastAsia"/>
                <w:b/>
                <w:bCs/>
              </w:rPr>
              <w:t>4.2</w:t>
            </w:r>
            <w:r>
              <w:rPr>
                <w:b/>
                <w:bCs/>
              </w:rPr>
              <w:t>-</w:t>
            </w:r>
            <w:r>
              <w:rPr>
                <w:rFonts w:hint="eastAsia"/>
                <w:b/>
                <w:bCs/>
              </w:rPr>
              <w:t xml:space="preserve">2 </w:t>
            </w:r>
            <w:r>
              <w:rPr>
                <w:b/>
                <w:bCs/>
              </w:rPr>
              <w:t xml:space="preserve"> </w:t>
            </w:r>
            <w:r>
              <w:rPr>
                <w:rFonts w:hint="eastAsia"/>
                <w:b/>
                <w:bCs/>
              </w:rPr>
              <w:t>新能源线缆车间废气</w:t>
            </w:r>
            <w:r>
              <w:rPr>
                <w:b/>
                <w:bCs/>
              </w:rPr>
              <w:t>产生及排放情况表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4"/>
              <w:gridCol w:w="965"/>
              <w:gridCol w:w="924"/>
              <w:gridCol w:w="1102"/>
              <w:gridCol w:w="1308"/>
              <w:gridCol w:w="924"/>
              <w:gridCol w:w="1107"/>
            </w:tblGrid>
            <w:tr w14:paraId="3B22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restart"/>
                  <w:vAlign w:val="center"/>
                </w:tcPr>
                <w:p w14:paraId="292B7584">
                  <w:pPr>
                    <w:adjustRightInd w:val="0"/>
                    <w:snapToGrid w:val="0"/>
                    <w:jc w:val="center"/>
                    <w:rPr>
                      <w:b/>
                      <w:sz w:val="21"/>
                      <w:szCs w:val="21"/>
                    </w:rPr>
                  </w:pPr>
                  <w:r>
                    <w:rPr>
                      <w:b/>
                      <w:sz w:val="21"/>
                      <w:szCs w:val="21"/>
                    </w:rPr>
                    <w:t>污染因子</w:t>
                  </w:r>
                </w:p>
              </w:tc>
              <w:tc>
                <w:tcPr>
                  <w:tcW w:w="580" w:type="pct"/>
                  <w:vMerge w:val="restart"/>
                  <w:vAlign w:val="center"/>
                </w:tcPr>
                <w:p w14:paraId="73536152">
                  <w:pPr>
                    <w:adjustRightInd w:val="0"/>
                    <w:snapToGrid w:val="0"/>
                    <w:jc w:val="center"/>
                    <w:rPr>
                      <w:b/>
                      <w:sz w:val="21"/>
                      <w:szCs w:val="21"/>
                    </w:rPr>
                  </w:pPr>
                  <w:r>
                    <w:rPr>
                      <w:b/>
                      <w:sz w:val="21"/>
                      <w:szCs w:val="21"/>
                    </w:rPr>
                    <w:t>产生量（t/a）</w:t>
                  </w:r>
                </w:p>
              </w:tc>
              <w:tc>
                <w:tcPr>
                  <w:tcW w:w="606" w:type="pct"/>
                  <w:vMerge w:val="restart"/>
                  <w:vAlign w:val="center"/>
                </w:tcPr>
                <w:p w14:paraId="39D94AE3">
                  <w:pPr>
                    <w:adjustRightInd w:val="0"/>
                    <w:snapToGrid w:val="0"/>
                    <w:jc w:val="center"/>
                    <w:rPr>
                      <w:b/>
                      <w:sz w:val="21"/>
                      <w:szCs w:val="21"/>
                    </w:rPr>
                  </w:pPr>
                  <w:r>
                    <w:rPr>
                      <w:b/>
                      <w:sz w:val="21"/>
                      <w:szCs w:val="21"/>
                    </w:rPr>
                    <w:t>削减量（t/a）</w:t>
                  </w:r>
                </w:p>
              </w:tc>
              <w:tc>
                <w:tcPr>
                  <w:tcW w:w="2093" w:type="pct"/>
                  <w:gridSpan w:val="3"/>
                  <w:vAlign w:val="center"/>
                </w:tcPr>
                <w:p w14:paraId="67F20952">
                  <w:pPr>
                    <w:adjustRightInd w:val="0"/>
                    <w:snapToGrid w:val="0"/>
                    <w:jc w:val="center"/>
                    <w:rPr>
                      <w:b/>
                      <w:sz w:val="21"/>
                      <w:szCs w:val="21"/>
                    </w:rPr>
                  </w:pPr>
                  <w:r>
                    <w:rPr>
                      <w:b/>
                      <w:sz w:val="21"/>
                      <w:szCs w:val="21"/>
                    </w:rPr>
                    <w:t>有组织（</w:t>
                  </w:r>
                  <w:r>
                    <w:rPr>
                      <w:bCs/>
                      <w:sz w:val="21"/>
                      <w:szCs w:val="21"/>
                    </w:rPr>
                    <w:t>DA00</w:t>
                  </w:r>
                  <w:r>
                    <w:rPr>
                      <w:rFonts w:hint="eastAsia"/>
                      <w:bCs/>
                      <w:sz w:val="21"/>
                      <w:szCs w:val="21"/>
                    </w:rPr>
                    <w:t>2</w:t>
                  </w:r>
                  <w:r>
                    <w:rPr>
                      <w:b/>
                      <w:sz w:val="21"/>
                      <w:szCs w:val="21"/>
                    </w:rPr>
                    <w:t>）</w:t>
                  </w:r>
                </w:p>
              </w:tc>
              <w:tc>
                <w:tcPr>
                  <w:tcW w:w="1273" w:type="pct"/>
                  <w:gridSpan w:val="2"/>
                  <w:vAlign w:val="center"/>
                </w:tcPr>
                <w:p w14:paraId="65FA29DE">
                  <w:pPr>
                    <w:adjustRightInd w:val="0"/>
                    <w:snapToGrid w:val="0"/>
                    <w:jc w:val="center"/>
                    <w:rPr>
                      <w:b/>
                      <w:sz w:val="21"/>
                      <w:szCs w:val="21"/>
                    </w:rPr>
                  </w:pPr>
                  <w:r>
                    <w:rPr>
                      <w:b/>
                      <w:sz w:val="21"/>
                      <w:szCs w:val="21"/>
                    </w:rPr>
                    <w:t>无组织</w:t>
                  </w:r>
                </w:p>
              </w:tc>
            </w:tr>
            <w:tr w14:paraId="27E14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continue"/>
                  <w:vAlign w:val="center"/>
                </w:tcPr>
                <w:p w14:paraId="25B80317">
                  <w:pPr>
                    <w:adjustRightInd w:val="0"/>
                    <w:snapToGrid w:val="0"/>
                    <w:jc w:val="center"/>
                    <w:rPr>
                      <w:b/>
                      <w:sz w:val="21"/>
                      <w:szCs w:val="21"/>
                    </w:rPr>
                  </w:pPr>
                </w:p>
              </w:tc>
              <w:tc>
                <w:tcPr>
                  <w:tcW w:w="580" w:type="pct"/>
                  <w:vMerge w:val="continue"/>
                  <w:vAlign w:val="center"/>
                </w:tcPr>
                <w:p w14:paraId="5CFF92D4">
                  <w:pPr>
                    <w:adjustRightInd w:val="0"/>
                    <w:snapToGrid w:val="0"/>
                    <w:jc w:val="center"/>
                    <w:rPr>
                      <w:b/>
                      <w:sz w:val="21"/>
                      <w:szCs w:val="21"/>
                    </w:rPr>
                  </w:pPr>
                </w:p>
              </w:tc>
              <w:tc>
                <w:tcPr>
                  <w:tcW w:w="606" w:type="pct"/>
                  <w:vMerge w:val="continue"/>
                  <w:vAlign w:val="center"/>
                </w:tcPr>
                <w:p w14:paraId="226B9AAF">
                  <w:pPr>
                    <w:adjustRightInd w:val="0"/>
                    <w:snapToGrid w:val="0"/>
                    <w:jc w:val="center"/>
                    <w:rPr>
                      <w:b/>
                      <w:sz w:val="21"/>
                      <w:szCs w:val="21"/>
                    </w:rPr>
                  </w:pPr>
                </w:p>
              </w:tc>
              <w:tc>
                <w:tcPr>
                  <w:tcW w:w="580" w:type="pct"/>
                  <w:vAlign w:val="center"/>
                </w:tcPr>
                <w:p w14:paraId="29648D8E">
                  <w:pPr>
                    <w:adjustRightInd w:val="0"/>
                    <w:snapToGrid w:val="0"/>
                    <w:jc w:val="center"/>
                    <w:rPr>
                      <w:b/>
                      <w:sz w:val="21"/>
                      <w:szCs w:val="21"/>
                    </w:rPr>
                  </w:pPr>
                  <w:r>
                    <w:rPr>
                      <w:rFonts w:hint="eastAsia"/>
                      <w:b/>
                      <w:sz w:val="21"/>
                      <w:szCs w:val="21"/>
                    </w:rPr>
                    <w:t>排放量（</w:t>
                  </w:r>
                  <w:r>
                    <w:rPr>
                      <w:b/>
                      <w:sz w:val="21"/>
                      <w:szCs w:val="21"/>
                    </w:rPr>
                    <w:t>t/a</w:t>
                  </w:r>
                  <w:r>
                    <w:rPr>
                      <w:rFonts w:hint="eastAsia"/>
                      <w:b/>
                      <w:sz w:val="21"/>
                      <w:szCs w:val="21"/>
                    </w:rPr>
                    <w:t>）</w:t>
                  </w:r>
                </w:p>
              </w:tc>
              <w:tc>
                <w:tcPr>
                  <w:tcW w:w="692" w:type="pct"/>
                  <w:vAlign w:val="center"/>
                </w:tcPr>
                <w:p w14:paraId="44DFEA5D">
                  <w:pPr>
                    <w:adjustRightInd w:val="0"/>
                    <w:snapToGrid w:val="0"/>
                    <w:jc w:val="center"/>
                    <w:rPr>
                      <w:b/>
                      <w:sz w:val="21"/>
                      <w:szCs w:val="21"/>
                    </w:rPr>
                  </w:pPr>
                  <w:r>
                    <w:rPr>
                      <w:rFonts w:hint="eastAsia"/>
                      <w:b/>
                      <w:sz w:val="21"/>
                      <w:szCs w:val="21"/>
                    </w:rPr>
                    <w:t>排放速率（</w:t>
                  </w:r>
                  <w:r>
                    <w:rPr>
                      <w:b/>
                      <w:sz w:val="21"/>
                      <w:szCs w:val="21"/>
                    </w:rPr>
                    <w:t>kg/h</w:t>
                  </w:r>
                  <w:r>
                    <w:rPr>
                      <w:rFonts w:hint="eastAsia"/>
                      <w:b/>
                      <w:sz w:val="21"/>
                      <w:szCs w:val="21"/>
                    </w:rPr>
                    <w:t>）</w:t>
                  </w:r>
                </w:p>
              </w:tc>
              <w:tc>
                <w:tcPr>
                  <w:tcW w:w="820" w:type="pct"/>
                  <w:vAlign w:val="center"/>
                </w:tcPr>
                <w:p w14:paraId="1ABD1E15">
                  <w:pPr>
                    <w:adjustRightInd w:val="0"/>
                    <w:snapToGrid w:val="0"/>
                    <w:jc w:val="center"/>
                    <w:rPr>
                      <w:b/>
                      <w:sz w:val="21"/>
                      <w:szCs w:val="21"/>
                    </w:rPr>
                  </w:pPr>
                  <w:r>
                    <w:rPr>
                      <w:rFonts w:hint="eastAsia"/>
                      <w:b/>
                      <w:sz w:val="21"/>
                      <w:szCs w:val="21"/>
                    </w:rPr>
                    <w:t>排放浓度（</w:t>
                  </w:r>
                  <w:r>
                    <w:rPr>
                      <w:b/>
                      <w:sz w:val="21"/>
                      <w:szCs w:val="21"/>
                    </w:rPr>
                    <w:t>mg/m</w:t>
                  </w:r>
                  <w:r>
                    <w:rPr>
                      <w:b/>
                      <w:sz w:val="21"/>
                      <w:szCs w:val="21"/>
                      <w:vertAlign w:val="superscript"/>
                    </w:rPr>
                    <w:t>3</w:t>
                  </w:r>
                  <w:r>
                    <w:rPr>
                      <w:rFonts w:hint="eastAsia"/>
                      <w:b/>
                      <w:sz w:val="21"/>
                      <w:szCs w:val="21"/>
                    </w:rPr>
                    <w:t>）</w:t>
                  </w:r>
                </w:p>
              </w:tc>
              <w:tc>
                <w:tcPr>
                  <w:tcW w:w="580" w:type="pct"/>
                  <w:vAlign w:val="center"/>
                </w:tcPr>
                <w:p w14:paraId="4166859C">
                  <w:pPr>
                    <w:adjustRightInd w:val="0"/>
                    <w:snapToGrid w:val="0"/>
                    <w:jc w:val="center"/>
                    <w:rPr>
                      <w:b/>
                      <w:sz w:val="21"/>
                      <w:szCs w:val="21"/>
                    </w:rPr>
                  </w:pPr>
                  <w:r>
                    <w:rPr>
                      <w:rFonts w:hint="eastAsia"/>
                      <w:b/>
                      <w:sz w:val="21"/>
                      <w:szCs w:val="21"/>
                    </w:rPr>
                    <w:t>排放量（</w:t>
                  </w:r>
                  <w:r>
                    <w:rPr>
                      <w:b/>
                      <w:sz w:val="21"/>
                      <w:szCs w:val="21"/>
                    </w:rPr>
                    <w:t>t/a</w:t>
                  </w:r>
                  <w:r>
                    <w:rPr>
                      <w:rFonts w:hint="eastAsia"/>
                      <w:b/>
                      <w:sz w:val="21"/>
                      <w:szCs w:val="21"/>
                    </w:rPr>
                    <w:t>）</w:t>
                  </w:r>
                </w:p>
              </w:tc>
              <w:tc>
                <w:tcPr>
                  <w:tcW w:w="693" w:type="pct"/>
                  <w:vAlign w:val="center"/>
                </w:tcPr>
                <w:p w14:paraId="5CD9F065">
                  <w:pPr>
                    <w:adjustRightInd w:val="0"/>
                    <w:snapToGrid w:val="0"/>
                    <w:jc w:val="center"/>
                    <w:rPr>
                      <w:b/>
                      <w:sz w:val="21"/>
                      <w:szCs w:val="21"/>
                    </w:rPr>
                  </w:pPr>
                  <w:r>
                    <w:rPr>
                      <w:rFonts w:hint="eastAsia"/>
                      <w:b/>
                      <w:sz w:val="21"/>
                      <w:szCs w:val="21"/>
                    </w:rPr>
                    <w:t>排放速率（</w:t>
                  </w:r>
                  <w:r>
                    <w:rPr>
                      <w:b/>
                      <w:sz w:val="21"/>
                      <w:szCs w:val="21"/>
                    </w:rPr>
                    <w:t>kg/h</w:t>
                  </w:r>
                  <w:r>
                    <w:rPr>
                      <w:rFonts w:hint="eastAsia"/>
                      <w:b/>
                      <w:sz w:val="21"/>
                      <w:szCs w:val="21"/>
                    </w:rPr>
                    <w:t>）</w:t>
                  </w:r>
                </w:p>
              </w:tc>
            </w:tr>
            <w:tr w14:paraId="7157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0AE9E2EE">
                  <w:pPr>
                    <w:adjustRightInd w:val="0"/>
                    <w:snapToGrid w:val="0"/>
                    <w:jc w:val="center"/>
                    <w:rPr>
                      <w:b/>
                      <w:sz w:val="21"/>
                      <w:szCs w:val="21"/>
                    </w:rPr>
                  </w:pPr>
                  <w:r>
                    <w:rPr>
                      <w:b/>
                      <w:sz w:val="21"/>
                      <w:szCs w:val="21"/>
                    </w:rPr>
                    <w:t>非甲烷总烃</w:t>
                  </w:r>
                </w:p>
              </w:tc>
              <w:tc>
                <w:tcPr>
                  <w:tcW w:w="580" w:type="pct"/>
                  <w:vAlign w:val="center"/>
                </w:tcPr>
                <w:p w14:paraId="54236D4B">
                  <w:pPr>
                    <w:adjustRightInd w:val="0"/>
                    <w:snapToGrid w:val="0"/>
                    <w:jc w:val="center"/>
                    <w:rPr>
                      <w:bCs/>
                      <w:sz w:val="21"/>
                      <w:szCs w:val="21"/>
                    </w:rPr>
                  </w:pPr>
                  <w:r>
                    <w:rPr>
                      <w:rFonts w:hint="eastAsia"/>
                      <w:bCs/>
                      <w:sz w:val="21"/>
                      <w:szCs w:val="21"/>
                    </w:rPr>
                    <w:t>1.5</w:t>
                  </w:r>
                </w:p>
              </w:tc>
              <w:tc>
                <w:tcPr>
                  <w:tcW w:w="606" w:type="pct"/>
                  <w:vAlign w:val="center"/>
                </w:tcPr>
                <w:p w14:paraId="2BE9CC3B">
                  <w:pPr>
                    <w:adjustRightInd w:val="0"/>
                    <w:snapToGrid w:val="0"/>
                    <w:jc w:val="center"/>
                    <w:rPr>
                      <w:rFonts w:hint="default" w:eastAsia="宋体"/>
                      <w:bCs/>
                      <w:sz w:val="21"/>
                      <w:szCs w:val="21"/>
                      <w:lang w:val="en-US" w:eastAsia="zh-CN"/>
                    </w:rPr>
                  </w:pPr>
                  <w:r>
                    <w:rPr>
                      <w:rFonts w:hint="eastAsia"/>
                      <w:bCs/>
                      <w:sz w:val="21"/>
                      <w:szCs w:val="21"/>
                    </w:rPr>
                    <w:t>1.</w:t>
                  </w:r>
                  <w:r>
                    <w:rPr>
                      <w:rFonts w:hint="eastAsia"/>
                      <w:bCs/>
                      <w:sz w:val="21"/>
                      <w:szCs w:val="21"/>
                      <w:lang w:val="en-US" w:eastAsia="zh-CN"/>
                    </w:rPr>
                    <w:t>215</w:t>
                  </w:r>
                </w:p>
              </w:tc>
              <w:tc>
                <w:tcPr>
                  <w:tcW w:w="580" w:type="pct"/>
                  <w:vAlign w:val="center"/>
                </w:tcPr>
                <w:p w14:paraId="02E7BDB7">
                  <w:pPr>
                    <w:adjustRightInd w:val="0"/>
                    <w:snapToGrid w:val="0"/>
                    <w:jc w:val="center"/>
                    <w:rPr>
                      <w:rFonts w:hint="default" w:eastAsia="宋体"/>
                      <w:bCs/>
                      <w:sz w:val="21"/>
                      <w:szCs w:val="21"/>
                      <w:lang w:val="en-US" w:eastAsia="zh-CN"/>
                    </w:rPr>
                  </w:pPr>
                  <w:r>
                    <w:rPr>
                      <w:rFonts w:hint="eastAsia"/>
                      <w:bCs/>
                      <w:sz w:val="21"/>
                      <w:szCs w:val="21"/>
                    </w:rPr>
                    <w:t>0.1</w:t>
                  </w:r>
                  <w:r>
                    <w:rPr>
                      <w:rFonts w:hint="eastAsia"/>
                      <w:bCs/>
                      <w:sz w:val="21"/>
                      <w:szCs w:val="21"/>
                      <w:lang w:val="en-US" w:eastAsia="zh-CN"/>
                    </w:rPr>
                    <w:t>35</w:t>
                  </w:r>
                </w:p>
              </w:tc>
              <w:tc>
                <w:tcPr>
                  <w:tcW w:w="692" w:type="pct"/>
                  <w:vAlign w:val="center"/>
                </w:tcPr>
                <w:p w14:paraId="1DD52161">
                  <w:pPr>
                    <w:adjustRightInd w:val="0"/>
                    <w:snapToGrid w:val="0"/>
                    <w:jc w:val="center"/>
                    <w:rPr>
                      <w:rFonts w:hint="default" w:eastAsia="宋体"/>
                      <w:bCs/>
                      <w:sz w:val="21"/>
                      <w:szCs w:val="21"/>
                      <w:lang w:val="en-US" w:eastAsia="zh-CN"/>
                    </w:rPr>
                  </w:pPr>
                  <w:r>
                    <w:rPr>
                      <w:rFonts w:hint="eastAsia"/>
                      <w:bCs/>
                      <w:sz w:val="21"/>
                      <w:szCs w:val="21"/>
                    </w:rPr>
                    <w:t>0.01</w:t>
                  </w:r>
                  <w:r>
                    <w:rPr>
                      <w:rFonts w:hint="eastAsia"/>
                      <w:bCs/>
                      <w:sz w:val="21"/>
                      <w:szCs w:val="21"/>
                      <w:lang w:val="en-US" w:eastAsia="zh-CN"/>
                    </w:rPr>
                    <w:t>88</w:t>
                  </w:r>
                </w:p>
              </w:tc>
              <w:tc>
                <w:tcPr>
                  <w:tcW w:w="820" w:type="pct"/>
                  <w:vAlign w:val="center"/>
                </w:tcPr>
                <w:p w14:paraId="21DD60C2">
                  <w:pPr>
                    <w:adjustRightInd w:val="0"/>
                    <w:snapToGrid w:val="0"/>
                    <w:jc w:val="center"/>
                    <w:rPr>
                      <w:rFonts w:hint="default" w:eastAsia="宋体"/>
                      <w:bCs/>
                      <w:sz w:val="21"/>
                      <w:szCs w:val="21"/>
                      <w:lang w:val="en-US" w:eastAsia="zh-CN"/>
                    </w:rPr>
                  </w:pPr>
                  <w:r>
                    <w:rPr>
                      <w:rFonts w:hint="eastAsia"/>
                      <w:bCs/>
                      <w:sz w:val="21"/>
                      <w:szCs w:val="21"/>
                    </w:rPr>
                    <w:t>1.</w:t>
                  </w:r>
                  <w:r>
                    <w:rPr>
                      <w:rFonts w:hint="eastAsia"/>
                      <w:bCs/>
                      <w:sz w:val="21"/>
                      <w:szCs w:val="21"/>
                      <w:lang w:val="en-US" w:eastAsia="zh-CN"/>
                    </w:rPr>
                    <w:t>567</w:t>
                  </w:r>
                </w:p>
              </w:tc>
              <w:tc>
                <w:tcPr>
                  <w:tcW w:w="580" w:type="pct"/>
                  <w:vAlign w:val="center"/>
                </w:tcPr>
                <w:p w14:paraId="7F8FA097">
                  <w:pPr>
                    <w:adjustRightInd w:val="0"/>
                    <w:snapToGrid w:val="0"/>
                    <w:jc w:val="center"/>
                    <w:rPr>
                      <w:rFonts w:hint="default" w:eastAsia="宋体"/>
                      <w:bCs/>
                      <w:sz w:val="21"/>
                      <w:szCs w:val="21"/>
                      <w:lang w:val="en-US" w:eastAsia="zh-CN"/>
                    </w:rPr>
                  </w:pPr>
                  <w:r>
                    <w:rPr>
                      <w:rFonts w:hint="eastAsia"/>
                      <w:bCs/>
                      <w:sz w:val="21"/>
                      <w:szCs w:val="21"/>
                      <w:lang w:val="en-US" w:eastAsia="zh-CN"/>
                    </w:rPr>
                    <w:t>0.15</w:t>
                  </w:r>
                </w:p>
              </w:tc>
              <w:tc>
                <w:tcPr>
                  <w:tcW w:w="693" w:type="pct"/>
                  <w:vAlign w:val="center"/>
                </w:tcPr>
                <w:p w14:paraId="1E5C9A32">
                  <w:pPr>
                    <w:adjustRightInd w:val="0"/>
                    <w:snapToGrid w:val="0"/>
                    <w:jc w:val="center"/>
                    <w:rPr>
                      <w:rFonts w:hint="default" w:eastAsia="宋体"/>
                      <w:bCs/>
                      <w:sz w:val="21"/>
                      <w:szCs w:val="21"/>
                      <w:lang w:val="en-US" w:eastAsia="zh-CN"/>
                    </w:rPr>
                  </w:pPr>
                  <w:r>
                    <w:rPr>
                      <w:rFonts w:hint="eastAsia"/>
                      <w:bCs/>
                      <w:sz w:val="21"/>
                      <w:szCs w:val="21"/>
                    </w:rPr>
                    <w:t>0.0</w:t>
                  </w:r>
                  <w:r>
                    <w:rPr>
                      <w:rFonts w:hint="eastAsia"/>
                      <w:bCs/>
                      <w:sz w:val="21"/>
                      <w:szCs w:val="21"/>
                      <w:lang w:val="en-US" w:eastAsia="zh-CN"/>
                    </w:rPr>
                    <w:t>208</w:t>
                  </w:r>
                </w:p>
              </w:tc>
            </w:tr>
            <w:tr w14:paraId="6FE35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24CD3125">
                  <w:pPr>
                    <w:adjustRightInd w:val="0"/>
                    <w:snapToGrid w:val="0"/>
                    <w:jc w:val="center"/>
                    <w:rPr>
                      <w:b/>
                      <w:sz w:val="21"/>
                      <w:szCs w:val="21"/>
                    </w:rPr>
                  </w:pPr>
                  <w:r>
                    <w:rPr>
                      <w:rFonts w:hint="eastAsia"/>
                      <w:b/>
                      <w:sz w:val="21"/>
                      <w:szCs w:val="21"/>
                    </w:rPr>
                    <w:t>HCl</w:t>
                  </w:r>
                </w:p>
              </w:tc>
              <w:tc>
                <w:tcPr>
                  <w:tcW w:w="580" w:type="pct"/>
                  <w:vAlign w:val="center"/>
                </w:tcPr>
                <w:p w14:paraId="5E671E5A">
                  <w:pPr>
                    <w:adjustRightInd w:val="0"/>
                    <w:snapToGrid w:val="0"/>
                    <w:jc w:val="center"/>
                    <w:rPr>
                      <w:bCs/>
                      <w:sz w:val="21"/>
                      <w:szCs w:val="21"/>
                    </w:rPr>
                  </w:pPr>
                  <w:r>
                    <w:rPr>
                      <w:rFonts w:hint="eastAsia"/>
                      <w:bCs/>
                      <w:sz w:val="21"/>
                      <w:szCs w:val="21"/>
                    </w:rPr>
                    <w:t>0.0075</w:t>
                  </w:r>
                </w:p>
              </w:tc>
              <w:tc>
                <w:tcPr>
                  <w:tcW w:w="606" w:type="pct"/>
                  <w:vAlign w:val="center"/>
                </w:tcPr>
                <w:p w14:paraId="0A848091">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64</w:t>
                  </w:r>
                </w:p>
              </w:tc>
              <w:tc>
                <w:tcPr>
                  <w:tcW w:w="580" w:type="pct"/>
                  <w:vAlign w:val="center"/>
                </w:tcPr>
                <w:p w14:paraId="0C575583">
                  <w:pPr>
                    <w:adjustRightInd w:val="0"/>
                    <w:snapToGrid w:val="0"/>
                    <w:jc w:val="center"/>
                    <w:rPr>
                      <w:rFonts w:hint="eastAsia" w:eastAsia="宋体"/>
                      <w:bCs/>
                      <w:sz w:val="21"/>
                      <w:szCs w:val="21"/>
                      <w:lang w:eastAsia="zh-CN"/>
                    </w:rPr>
                  </w:pPr>
                  <w:r>
                    <w:rPr>
                      <w:rFonts w:hint="eastAsia"/>
                      <w:bCs/>
                      <w:sz w:val="21"/>
                      <w:szCs w:val="21"/>
                    </w:rPr>
                    <w:t>0.000</w:t>
                  </w:r>
                  <w:r>
                    <w:rPr>
                      <w:rFonts w:hint="eastAsia"/>
                      <w:bCs/>
                      <w:sz w:val="21"/>
                      <w:szCs w:val="21"/>
                      <w:lang w:val="en-US" w:eastAsia="zh-CN"/>
                    </w:rPr>
                    <w:t>3</w:t>
                  </w:r>
                </w:p>
              </w:tc>
              <w:tc>
                <w:tcPr>
                  <w:tcW w:w="692" w:type="pct"/>
                  <w:vAlign w:val="center"/>
                </w:tcPr>
                <w:p w14:paraId="384987CC">
                  <w:pPr>
                    <w:adjustRightInd w:val="0"/>
                    <w:snapToGrid w:val="0"/>
                    <w:jc w:val="center"/>
                    <w:rPr>
                      <w:rFonts w:hint="default" w:eastAsia="宋体"/>
                      <w:bCs/>
                      <w:sz w:val="21"/>
                      <w:szCs w:val="21"/>
                      <w:lang w:val="en-US" w:eastAsia="zh-CN"/>
                    </w:rPr>
                  </w:pPr>
                  <w:r>
                    <w:rPr>
                      <w:rFonts w:hint="eastAsia"/>
                      <w:bCs/>
                      <w:sz w:val="21"/>
                      <w:szCs w:val="21"/>
                    </w:rPr>
                    <w:t>0.000</w:t>
                  </w:r>
                  <w:r>
                    <w:rPr>
                      <w:rFonts w:hint="eastAsia"/>
                      <w:bCs/>
                      <w:sz w:val="21"/>
                      <w:szCs w:val="21"/>
                      <w:lang w:val="en-US" w:eastAsia="zh-CN"/>
                    </w:rPr>
                    <w:t>04</w:t>
                  </w:r>
                </w:p>
              </w:tc>
              <w:tc>
                <w:tcPr>
                  <w:tcW w:w="820" w:type="pct"/>
                  <w:vAlign w:val="center"/>
                </w:tcPr>
                <w:p w14:paraId="70F84444">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33</w:t>
                  </w:r>
                </w:p>
              </w:tc>
              <w:tc>
                <w:tcPr>
                  <w:tcW w:w="580" w:type="pct"/>
                  <w:vAlign w:val="center"/>
                </w:tcPr>
                <w:p w14:paraId="4814B106">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08</w:t>
                  </w:r>
                </w:p>
              </w:tc>
              <w:tc>
                <w:tcPr>
                  <w:tcW w:w="693" w:type="pct"/>
                  <w:vAlign w:val="center"/>
                </w:tcPr>
                <w:p w14:paraId="7068FC8A">
                  <w:pPr>
                    <w:adjustRightInd w:val="0"/>
                    <w:snapToGrid w:val="0"/>
                    <w:jc w:val="center"/>
                    <w:rPr>
                      <w:rFonts w:hint="eastAsia" w:eastAsia="宋体"/>
                      <w:bCs/>
                      <w:sz w:val="21"/>
                      <w:szCs w:val="21"/>
                      <w:lang w:eastAsia="zh-CN"/>
                    </w:rPr>
                  </w:pPr>
                  <w:r>
                    <w:rPr>
                      <w:rFonts w:hint="eastAsia"/>
                      <w:bCs/>
                      <w:sz w:val="21"/>
                      <w:szCs w:val="21"/>
                    </w:rPr>
                    <w:t>0.000</w:t>
                  </w:r>
                  <w:r>
                    <w:rPr>
                      <w:rFonts w:hint="eastAsia"/>
                      <w:bCs/>
                      <w:sz w:val="21"/>
                      <w:szCs w:val="21"/>
                      <w:lang w:val="en-US" w:eastAsia="zh-CN"/>
                    </w:rPr>
                    <w:t>1</w:t>
                  </w:r>
                </w:p>
              </w:tc>
            </w:tr>
            <w:tr w14:paraId="2A16E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00" w:type="pct"/>
                  <w:gridSpan w:val="8"/>
                  <w:vAlign w:val="center"/>
                </w:tcPr>
                <w:p w14:paraId="7BE148AB">
                  <w:pPr>
                    <w:autoSpaceDE w:val="0"/>
                    <w:adjustRightInd w:val="0"/>
                    <w:snapToGrid w:val="0"/>
                    <w:rPr>
                      <w:bCs/>
                      <w:sz w:val="21"/>
                      <w:szCs w:val="21"/>
                    </w:rPr>
                  </w:pPr>
                  <w:r>
                    <w:rPr>
                      <w:b/>
                      <w:bCs/>
                      <w:sz w:val="21"/>
                      <w:szCs w:val="21"/>
                    </w:rPr>
                    <w:t>注：</w:t>
                  </w:r>
                  <w:r>
                    <w:rPr>
                      <w:rFonts w:hint="eastAsia"/>
                      <w:b/>
                      <w:bCs/>
                      <w:sz w:val="21"/>
                      <w:szCs w:val="21"/>
                    </w:rPr>
                    <w:t>新能源线缆车间风机风量为12000m</w:t>
                  </w:r>
                  <w:r>
                    <w:rPr>
                      <w:rFonts w:hint="eastAsia"/>
                      <w:b/>
                      <w:bCs/>
                      <w:sz w:val="21"/>
                      <w:szCs w:val="21"/>
                      <w:vertAlign w:val="superscript"/>
                    </w:rPr>
                    <w:t>3</w:t>
                  </w:r>
                  <w:r>
                    <w:rPr>
                      <w:rFonts w:hint="eastAsia"/>
                      <w:b/>
                      <w:bCs/>
                      <w:sz w:val="21"/>
                      <w:szCs w:val="21"/>
                    </w:rPr>
                    <w:t>/h，处理后经15m高排气筒排放.</w:t>
                  </w:r>
                </w:p>
              </w:tc>
            </w:tr>
          </w:tbl>
          <w:p w14:paraId="6BEFEB5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w:t>
            </w:r>
            <w:r>
              <w:rPr>
                <w:rFonts w:hint="eastAsia" w:eastAsia="宋体"/>
                <w:color w:val="000000" w:themeColor="text1"/>
                <w:szCs w:val="24"/>
                <w:lang w:val="en-US" w:eastAsia="zh-CN"/>
                <w14:textFill>
                  <w14:solidFill>
                    <w14:schemeClr w14:val="tx1"/>
                  </w14:solidFill>
                </w14:textFill>
              </w:rPr>
              <w:t>3</w:t>
            </w:r>
            <w:r>
              <w:rPr>
                <w:rFonts w:hint="eastAsia" w:eastAsia="宋体"/>
                <w:color w:val="000000" w:themeColor="text1"/>
                <w:szCs w:val="24"/>
                <w14:textFill>
                  <w14:solidFill>
                    <w14:schemeClr w14:val="tx1"/>
                  </w14:solidFill>
                </w14:textFill>
              </w:rPr>
              <w:t>）低压线缆车间</w:t>
            </w:r>
          </w:p>
          <w:p w14:paraId="3B629DEF">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2-2-1</w:t>
            </w:r>
            <w:r>
              <w:rPr>
                <w:rFonts w:hint="eastAsia" w:eastAsia="宋体"/>
                <w:color w:val="000000" w:themeColor="text1"/>
                <w:szCs w:val="24"/>
                <w:lang w:val="en-US" w:eastAsia="zh-CN"/>
                <w14:textFill>
                  <w14:solidFill>
                    <w14:schemeClr w14:val="tx1"/>
                  </w14:solidFill>
                </w14:textFill>
              </w:rPr>
              <w:t>绝缘</w:t>
            </w:r>
            <w:r>
              <w:rPr>
                <w:rFonts w:hint="eastAsia" w:eastAsia="宋体"/>
                <w:color w:val="000000" w:themeColor="text1"/>
                <w:szCs w:val="24"/>
                <w14:textFill>
                  <w14:solidFill>
                    <w14:schemeClr w14:val="tx1"/>
                  </w14:solidFill>
                </w14:textFill>
              </w:rPr>
              <w:t>挤出</w:t>
            </w:r>
            <w:r>
              <w:rPr>
                <w:rFonts w:eastAsia="宋体"/>
                <w:color w:val="000000" w:themeColor="text1"/>
                <w:szCs w:val="24"/>
                <w14:textFill>
                  <w14:solidFill>
                    <w14:schemeClr w14:val="tx1"/>
                  </w14:solidFill>
                </w14:textFill>
              </w:rPr>
              <w:t>废气</w:t>
            </w:r>
          </w:p>
          <w:p w14:paraId="78198E98">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，光伏电缆</w:t>
            </w:r>
            <w:r>
              <w:rPr>
                <w:rFonts w:eastAsia="宋体"/>
                <w:color w:val="000000" w:themeColor="text1"/>
                <w:szCs w:val="24"/>
                <w14:textFill>
                  <w14:solidFill>
                    <w14:schemeClr w14:val="tx1"/>
                  </w14:solidFill>
                </w14:textFill>
              </w:rPr>
              <w:t>项目</w:t>
            </w:r>
            <w:r>
              <w:rPr>
                <w:rFonts w:hint="eastAsia" w:eastAsia="宋体"/>
                <w:color w:val="000000" w:themeColor="text1"/>
                <w:szCs w:val="24"/>
                <w14:textFill>
                  <w14:solidFill>
                    <w14:schemeClr w14:val="tx1"/>
                  </w14:solidFill>
                </w14:textFill>
              </w:rPr>
              <w:t>绝缘挤出</w:t>
            </w:r>
            <w:r>
              <w:rPr>
                <w:rFonts w:eastAsia="宋体"/>
                <w:color w:val="000000" w:themeColor="text1"/>
                <w:szCs w:val="24"/>
                <w14:textFill>
                  <w14:solidFill>
                    <w14:schemeClr w14:val="tx1"/>
                  </w14:solidFill>
                </w14:textFill>
              </w:rPr>
              <w:t>工序中会有挤出废气产生，挤出工序的控制温度根据塑料熔点调节，PVC、PE等塑料颗粒在对应温度下熔化、粘合，并使之具有塑性，远低于原料的热分解温度，因此各种原料在挤出过程中不会发生分解，仅有少量有机废气产生，挤出废气以非甲烷总烃计。</w:t>
            </w:r>
            <w:r>
              <w:rPr>
                <w:rFonts w:hint="eastAsia" w:eastAsia="宋体"/>
                <w:color w:val="000000" w:themeColor="text1"/>
                <w:szCs w:val="24"/>
                <w14:textFill>
                  <w14:solidFill>
                    <w14:schemeClr w14:val="tx1"/>
                  </w14:solidFill>
                </w14:textFill>
              </w:rPr>
              <w:t>参考《排放源统计调查产排污核算方法和系数手册》（2021年本）292塑料制品行业系数手册中2922塑料板、管、型材制造行业系数表，确定本项目挥发性有机污染物产污系数以1.5kg/t产品（原料）计，</w:t>
            </w:r>
            <w:r>
              <w:rPr>
                <w:rFonts w:eastAsia="宋体"/>
                <w:color w:val="000000" w:themeColor="text1"/>
                <w:szCs w:val="24"/>
                <w14:textFill>
                  <w14:solidFill>
                    <w14:schemeClr w14:val="tx1"/>
                  </w14:solidFill>
                </w14:textFill>
              </w:rPr>
              <w:t>根据原辅料使用一览表，</w:t>
            </w:r>
            <w:r>
              <w:rPr>
                <w:rFonts w:hint="eastAsia" w:eastAsia="宋体"/>
                <w:color w:val="000000" w:themeColor="text1"/>
                <w:szCs w:val="24"/>
                <w14:textFill>
                  <w14:solidFill>
                    <w14:schemeClr w14:val="tx1"/>
                  </w14:solidFill>
                </w14:textFill>
              </w:rPr>
              <w:t>光伏电缆制造</w:t>
            </w:r>
            <w:r>
              <w:rPr>
                <w:rFonts w:eastAsia="宋体"/>
                <w:color w:val="000000" w:themeColor="text1"/>
                <w:szCs w:val="24"/>
                <w14:textFill>
                  <w14:solidFill>
                    <w14:schemeClr w14:val="tx1"/>
                  </w14:solidFill>
                </w14:textFill>
              </w:rPr>
              <w:t>使用原料主要为PVC绝缘料/护套料、绝缘PE，</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合计用量为</w:t>
            </w:r>
            <w:r>
              <w:rPr>
                <w:rFonts w:hint="eastAsia" w:eastAsia="宋体"/>
                <w:color w:val="000000" w:themeColor="text1"/>
                <w:szCs w:val="24"/>
                <w:lang w:val="en-US" w:eastAsia="zh-CN"/>
                <w14:textFill>
                  <w14:solidFill>
                    <w14:schemeClr w14:val="tx1"/>
                  </w14:solidFill>
                </w14:textFill>
              </w:rPr>
              <w:t>5</w:t>
            </w:r>
            <w:r>
              <w:rPr>
                <w:rFonts w:hint="eastAsia" w:eastAsia="宋体"/>
                <w:color w:val="000000" w:themeColor="text1"/>
                <w:szCs w:val="24"/>
                <w14:textFill>
                  <w14:solidFill>
                    <w14:schemeClr w14:val="tx1"/>
                  </w14:solidFill>
                </w14:textFill>
              </w:rPr>
              <w:t>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0.75</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42011BB4">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该工序</w:t>
            </w:r>
            <w:r>
              <w:rPr>
                <w:rFonts w:hint="eastAsia" w:ascii="Times New Roman Regular" w:hAnsi="Times New Roman Regular" w:eastAsia="宋体" w:cs="Times New Roman Regular"/>
                <w:color w:val="000000" w:themeColor="text1"/>
                <w:szCs w:val="24"/>
                <w14:textFill>
                  <w14:solidFill>
                    <w14:schemeClr w14:val="tx1"/>
                  </w14:solidFill>
                </w14:textFill>
              </w:rPr>
              <w:t>生产使用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3</w:t>
            </w:r>
            <w:r>
              <w:rPr>
                <w:rFonts w:hint="eastAsia" w:ascii="Times New Roman Regular" w:hAnsi="Times New Roman Regular" w:eastAsia="宋体" w:cs="Times New Roman Regular"/>
                <w:color w:val="000000" w:themeColor="text1"/>
                <w:szCs w:val="24"/>
                <w14:textFill>
                  <w14:solidFill>
                    <w14:schemeClr w14:val="tx1"/>
                  </w14:solidFill>
                </w14:textFill>
              </w:rPr>
              <w:t>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0.0045</w:t>
            </w:r>
            <w:r>
              <w:rPr>
                <w:rFonts w:ascii="Times New Roman Regular" w:hAnsi="Times New Roman Regular" w:eastAsia="宋体" w:cs="Times New Roman Regular"/>
                <w:color w:val="000000" w:themeColor="text1"/>
                <w:szCs w:val="24"/>
                <w14:textFill>
                  <w14:solidFill>
                    <w14:schemeClr w14:val="tx1"/>
                  </w14:solidFill>
                </w14:textFill>
              </w:rPr>
              <w:t>t/a。</w:t>
            </w:r>
          </w:p>
          <w:p w14:paraId="6B56D272">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2-2-2</w:t>
            </w:r>
            <w:r>
              <w:rPr>
                <w:rFonts w:hint="eastAsia" w:eastAsia="宋体"/>
                <w:color w:val="000000" w:themeColor="text1"/>
                <w:szCs w:val="24"/>
                <w:lang w:val="en-US" w:eastAsia="zh-CN"/>
                <w14:textFill>
                  <w14:solidFill>
                    <w14:schemeClr w14:val="tx1"/>
                  </w14:solidFill>
                </w14:textFill>
              </w:rPr>
              <w:t>护套</w:t>
            </w:r>
            <w:r>
              <w:rPr>
                <w:rFonts w:hint="eastAsia" w:eastAsia="宋体"/>
                <w:color w:val="000000" w:themeColor="text1"/>
                <w:szCs w:val="24"/>
                <w14:textFill>
                  <w14:solidFill>
                    <w14:schemeClr w14:val="tx1"/>
                  </w14:solidFill>
                </w14:textFill>
              </w:rPr>
              <w:t>挤出</w:t>
            </w:r>
            <w:r>
              <w:rPr>
                <w:rFonts w:eastAsia="宋体"/>
                <w:color w:val="000000" w:themeColor="text1"/>
                <w:szCs w:val="24"/>
                <w14:textFill>
                  <w14:solidFill>
                    <w14:schemeClr w14:val="tx1"/>
                  </w14:solidFill>
                </w14:textFill>
              </w:rPr>
              <w:t>废气</w:t>
            </w:r>
          </w:p>
          <w:p w14:paraId="66579C76">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，光伏电缆</w:t>
            </w:r>
            <w:r>
              <w:rPr>
                <w:rFonts w:eastAsia="宋体"/>
                <w:color w:val="000000" w:themeColor="text1"/>
                <w:szCs w:val="24"/>
                <w14:textFill>
                  <w14:solidFill>
                    <w14:schemeClr w14:val="tx1"/>
                  </w14:solidFill>
                </w14:textFill>
              </w:rPr>
              <w:t>项目护套挤出工序中会有挤出废气产生</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根据原辅料使用一览表，</w:t>
            </w:r>
            <w:r>
              <w:rPr>
                <w:rFonts w:hint="eastAsia" w:eastAsia="宋体"/>
                <w:color w:val="000000" w:themeColor="text1"/>
                <w:szCs w:val="24"/>
                <w14:textFill>
                  <w14:solidFill>
                    <w14:schemeClr w14:val="tx1"/>
                  </w14:solidFill>
                </w14:textFill>
              </w:rPr>
              <w:t>光伏电缆制造</w:t>
            </w:r>
            <w:r>
              <w:rPr>
                <w:rFonts w:eastAsia="宋体"/>
                <w:color w:val="000000" w:themeColor="text1"/>
                <w:szCs w:val="24"/>
                <w14:textFill>
                  <w14:solidFill>
                    <w14:schemeClr w14:val="tx1"/>
                  </w14:solidFill>
                </w14:textFill>
              </w:rPr>
              <w:t>使用原料主要为PVC绝缘料/护套料、绝缘PE，</w:t>
            </w:r>
            <w:r>
              <w:rPr>
                <w:rFonts w:hint="eastAsia" w:eastAsia="宋体"/>
                <w:color w:val="000000" w:themeColor="text1"/>
                <w:szCs w:val="24"/>
                <w:lang w:val="en-US" w:eastAsia="zh-CN"/>
                <w14:textFill>
                  <w14:solidFill>
                    <w14:schemeClr w14:val="tx1"/>
                  </w14:solidFill>
                </w14:textFill>
              </w:rPr>
              <w:t>该工序</w:t>
            </w:r>
            <w:r>
              <w:rPr>
                <w:rFonts w:eastAsia="宋体"/>
                <w:color w:val="000000" w:themeColor="text1"/>
                <w:szCs w:val="24"/>
                <w14:textFill>
                  <w14:solidFill>
                    <w14:schemeClr w14:val="tx1"/>
                  </w14:solidFill>
                </w14:textFill>
              </w:rPr>
              <w:t>合计用量为</w:t>
            </w:r>
            <w:r>
              <w:rPr>
                <w:rFonts w:hint="eastAsia" w:eastAsia="宋体"/>
                <w:color w:val="000000" w:themeColor="text1"/>
                <w:szCs w:val="24"/>
                <w:lang w:val="en-US" w:eastAsia="zh-CN"/>
                <w14:textFill>
                  <w14:solidFill>
                    <w14:schemeClr w14:val="tx1"/>
                  </w14:solidFill>
                </w14:textFill>
              </w:rPr>
              <w:t>5</w:t>
            </w:r>
            <w:r>
              <w:rPr>
                <w:rFonts w:hint="eastAsia" w:eastAsia="宋体"/>
                <w:color w:val="000000" w:themeColor="text1"/>
                <w:szCs w:val="24"/>
                <w14:textFill>
                  <w14:solidFill>
                    <w14:schemeClr w14:val="tx1"/>
                  </w14:solidFill>
                </w14:textFill>
              </w:rPr>
              <w:t>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lang w:val="en-US" w:eastAsia="zh-CN"/>
                <w14:textFill>
                  <w14:solidFill>
                    <w14:schemeClr w14:val="tx1"/>
                  </w14:solidFill>
                </w14:textFill>
              </w:rPr>
              <w:t>0.75</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13A76954">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 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该工序</w:t>
            </w:r>
            <w:r>
              <w:rPr>
                <w:rFonts w:hint="eastAsia" w:ascii="Times New Roman Regular" w:hAnsi="Times New Roman Regular" w:eastAsia="宋体" w:cs="Times New Roman Regular"/>
                <w:color w:val="000000" w:themeColor="text1"/>
                <w:szCs w:val="24"/>
                <w14:textFill>
                  <w14:solidFill>
                    <w14:schemeClr w14:val="tx1"/>
                  </w14:solidFill>
                </w14:textFill>
              </w:rPr>
              <w:t>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200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t/a，生产过程中氯化氢产生量为0.0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03</w:t>
            </w:r>
            <w:r>
              <w:rPr>
                <w:rFonts w:ascii="Times New Roman Regular" w:hAnsi="Times New Roman Regular" w:eastAsia="宋体" w:cs="Times New Roman Regular"/>
                <w:color w:val="000000" w:themeColor="text1"/>
                <w:szCs w:val="24"/>
                <w14:textFill>
                  <w14:solidFill>
                    <w14:schemeClr w14:val="tx1"/>
                  </w14:solidFill>
                </w14:textFill>
              </w:rPr>
              <w:t>t/a。</w:t>
            </w:r>
          </w:p>
          <w:p w14:paraId="405222C1">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fldChar w:fldCharType="begin"/>
            </w:r>
            <w:r>
              <w:rPr>
                <w:rFonts w:ascii="Times New Roman Regular" w:hAnsi="Times New Roman Regular" w:eastAsia="宋体" w:cs="Times New Roman Regular"/>
                <w:color w:val="000000" w:themeColor="text1"/>
                <w:szCs w:val="24"/>
                <w14:textFill>
                  <w14:solidFill>
                    <w14:schemeClr w14:val="tx1"/>
                  </w14:solidFill>
                </w14:textFill>
              </w:rPr>
              <w:instrText xml:space="preserve"> = 3 \* GB3 \* MERGEFORMAT </w:instrText>
            </w:r>
            <w:r>
              <w:rPr>
                <w:rFonts w:ascii="Times New Roman Regular" w:hAnsi="Times New Roman Regular" w:eastAsia="宋体" w:cs="Times New Roman Regular"/>
                <w:color w:val="000000" w:themeColor="text1"/>
                <w:szCs w:val="24"/>
                <w14:textFill>
                  <w14:solidFill>
                    <w14:schemeClr w14:val="tx1"/>
                  </w14:solidFill>
                </w14:textFill>
              </w:rPr>
              <w:fldChar w:fldCharType="separate"/>
            </w:r>
            <w:r>
              <w:rPr>
                <w:color w:val="000000" w:themeColor="text1"/>
                <w14:textFill>
                  <w14:solidFill>
                    <w14:schemeClr w14:val="tx1"/>
                  </w14:solidFill>
                </w14:textFill>
              </w:rPr>
              <w:t>③</w:t>
            </w:r>
            <w:r>
              <w:rPr>
                <w:rFonts w:ascii="Times New Roman Regular" w:hAnsi="Times New Roman Regular" w:eastAsia="宋体" w:cs="Times New Roman Regular"/>
                <w:color w:val="000000" w:themeColor="text1"/>
                <w:szCs w:val="24"/>
                <w14:textFill>
                  <w14:solidFill>
                    <w14:schemeClr w14:val="tx1"/>
                  </w14:solidFill>
                </w14:textFill>
              </w:rPr>
              <w:fldChar w:fldCharType="end"/>
            </w:r>
            <w:r>
              <w:rPr>
                <w:rFonts w:hint="eastAsia" w:ascii="Times New Roman Regular" w:hAnsi="Times New Roman Regular" w:eastAsia="宋体" w:cs="Times New Roman Regular"/>
                <w:color w:val="000000" w:themeColor="text1"/>
                <w:szCs w:val="24"/>
                <w14:textFill>
                  <w14:solidFill>
                    <w14:schemeClr w14:val="tx1"/>
                  </w14:solidFill>
                </w14:textFill>
              </w:rPr>
              <w:t>喷码废气</w:t>
            </w:r>
          </w:p>
          <w:p w14:paraId="5EC1B24E">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ascii="Times New Roman Regular" w:hAnsi="Times New Roman Regular" w:eastAsia="宋体" w:cs="Times New Roman Regular"/>
                <w:color w:val="000000" w:themeColor="text1"/>
                <w:szCs w:val="24"/>
                <w14:textFill>
                  <w14:solidFill>
                    <w14:schemeClr w14:val="tx1"/>
                  </w14:solidFill>
                </w14:textFill>
              </w:rPr>
              <w:t>本生产线喷码机使用过程中会产生有机废气（以非甲烷总烃计），</w:t>
            </w:r>
            <w:r>
              <w:rPr>
                <w:rFonts w:hint="eastAsia" w:eastAsia="宋体"/>
                <w:color w:val="000000" w:themeColor="text1"/>
                <w:szCs w:val="24"/>
                <w14:textFill>
                  <w14:solidFill>
                    <w14:schemeClr w14:val="tx1"/>
                  </w14:solidFill>
                </w14:textFill>
              </w:rPr>
              <w:t>新能源线缆车间、低压线缆车间（光伏电缆）</w:t>
            </w:r>
            <w:r>
              <w:rPr>
                <w:rFonts w:hint="eastAsia" w:ascii="Times New Roman Regular" w:hAnsi="Times New Roman Regular" w:eastAsia="宋体" w:cs="Times New Roman Regular"/>
                <w:color w:val="000000" w:themeColor="text1"/>
                <w:szCs w:val="24"/>
                <w14:textFill>
                  <w14:solidFill>
                    <w14:schemeClr w14:val="tx1"/>
                  </w14:solidFill>
                </w14:textFill>
              </w:rPr>
              <w:t>年使用油墨0.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2</w:t>
            </w:r>
            <w:r>
              <w:rPr>
                <w:rFonts w:hint="eastAsia" w:ascii="Times New Roman Regular" w:hAnsi="Times New Roman Regular" w:eastAsia="宋体" w:cs="Times New Roman Regular"/>
                <w:color w:val="000000" w:themeColor="text1"/>
                <w:szCs w:val="24"/>
                <w14:textFill>
                  <w14:solidFill>
                    <w14:schemeClr w14:val="tx1"/>
                  </w14:solidFill>
                </w14:textFill>
              </w:rPr>
              <w:t>t/a，参照《第二次全国污染源普查系数手册》3831电线电缆制造，喷码采用水性油墨，挥发性有机物产生量为0.2661g/kg原料；则非甲烷总烃产生量约为0.000</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05</w:t>
            </w:r>
            <w:r>
              <w:rPr>
                <w:rFonts w:hint="eastAsia" w:ascii="Times New Roman Regular" w:hAnsi="Times New Roman Regular" w:eastAsia="宋体" w:cs="Times New Roman Regular"/>
                <w:color w:val="000000" w:themeColor="text1"/>
                <w:szCs w:val="24"/>
                <w14:textFill>
                  <w14:solidFill>
                    <w14:schemeClr w14:val="tx1"/>
                  </w14:solidFill>
                </w14:textFill>
              </w:rPr>
              <w:t>t/a。</w:t>
            </w:r>
          </w:p>
          <w:p w14:paraId="31A50841">
            <w:pPr>
              <w:pStyle w:val="3"/>
              <w:spacing w:line="360" w:lineRule="auto"/>
              <w:ind w:firstLine="480"/>
              <w:rPr>
                <w:rFonts w:hint="eastAsia"/>
                <w:spacing w:val="4"/>
                <w:sz w:val="24"/>
              </w:rPr>
            </w:pPr>
            <w:r>
              <w:rPr>
                <w:rFonts w:hint="eastAsia"/>
                <w:bCs/>
                <w:sz w:val="24"/>
                <w:lang w:val="en-US" w:eastAsia="zh-CN"/>
              </w:rPr>
              <w:t>低压</w:t>
            </w:r>
            <w:r>
              <w:rPr>
                <w:rFonts w:hint="eastAsia"/>
                <w:bCs/>
                <w:sz w:val="24"/>
              </w:rPr>
              <w:t>线缆车间</w:t>
            </w:r>
            <w:r>
              <w:rPr>
                <w:rFonts w:hint="eastAsia"/>
                <w:bCs/>
                <w:sz w:val="24"/>
                <w:lang w:val="en-US" w:eastAsia="zh-CN"/>
              </w:rPr>
              <w:t>生产</w:t>
            </w:r>
            <w:r>
              <w:rPr>
                <w:rFonts w:hint="eastAsia"/>
                <w:bCs/>
                <w:sz w:val="24"/>
              </w:rPr>
              <w:t>废气</w:t>
            </w:r>
            <w:r>
              <w:rPr>
                <w:bCs/>
                <w:sz w:val="24"/>
              </w:rPr>
              <w:t>产生及排放情况见表</w:t>
            </w:r>
            <w:r>
              <w:rPr>
                <w:rFonts w:hint="eastAsia"/>
                <w:bCs/>
                <w:sz w:val="24"/>
              </w:rPr>
              <w:t>4.2</w:t>
            </w:r>
            <w:r>
              <w:rPr>
                <w:bCs/>
                <w:sz w:val="24"/>
              </w:rPr>
              <w:t>-</w:t>
            </w:r>
            <w:r>
              <w:rPr>
                <w:rFonts w:hint="eastAsia"/>
                <w:bCs/>
                <w:sz w:val="24"/>
                <w:lang w:val="en-US" w:eastAsia="zh-CN"/>
              </w:rPr>
              <w:t>3</w:t>
            </w:r>
            <w:r>
              <w:rPr>
                <w:bCs/>
                <w:sz w:val="24"/>
              </w:rPr>
              <w:t>。</w:t>
            </w:r>
          </w:p>
          <w:p w14:paraId="234BA883">
            <w:pPr>
              <w:autoSpaceDE w:val="0"/>
              <w:adjustRightInd w:val="0"/>
              <w:snapToGrid w:val="0"/>
              <w:jc w:val="center"/>
              <w:rPr>
                <w:b/>
                <w:bCs/>
              </w:rPr>
            </w:pPr>
            <w:r>
              <w:rPr>
                <w:b/>
                <w:bCs/>
              </w:rPr>
              <w:t>表</w:t>
            </w:r>
            <w:r>
              <w:rPr>
                <w:rFonts w:hint="eastAsia"/>
                <w:b/>
                <w:bCs/>
              </w:rPr>
              <w:t>4.2</w:t>
            </w:r>
            <w:r>
              <w:rPr>
                <w:b/>
                <w:bCs/>
              </w:rPr>
              <w:t>-</w:t>
            </w:r>
            <w:r>
              <w:rPr>
                <w:rFonts w:hint="eastAsia"/>
                <w:b/>
                <w:bCs/>
              </w:rPr>
              <w:t xml:space="preserve">3 </w:t>
            </w:r>
            <w:r>
              <w:rPr>
                <w:b/>
                <w:bCs/>
              </w:rPr>
              <w:t xml:space="preserve"> </w:t>
            </w:r>
            <w:r>
              <w:rPr>
                <w:rFonts w:hint="eastAsia"/>
                <w:b/>
                <w:bCs/>
              </w:rPr>
              <w:t>低压线缆车间废气</w:t>
            </w:r>
            <w:r>
              <w:rPr>
                <w:b/>
                <w:bCs/>
              </w:rPr>
              <w:t>产生及排放情况表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4"/>
              <w:gridCol w:w="965"/>
              <w:gridCol w:w="924"/>
              <w:gridCol w:w="1102"/>
              <w:gridCol w:w="1308"/>
              <w:gridCol w:w="924"/>
              <w:gridCol w:w="1107"/>
            </w:tblGrid>
            <w:tr w14:paraId="322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restart"/>
                  <w:vAlign w:val="center"/>
                </w:tcPr>
                <w:p w14:paraId="288C60D0">
                  <w:pPr>
                    <w:adjustRightInd w:val="0"/>
                    <w:snapToGrid w:val="0"/>
                    <w:jc w:val="center"/>
                    <w:rPr>
                      <w:b/>
                      <w:sz w:val="21"/>
                      <w:szCs w:val="21"/>
                    </w:rPr>
                  </w:pPr>
                  <w:r>
                    <w:rPr>
                      <w:b/>
                      <w:sz w:val="21"/>
                      <w:szCs w:val="21"/>
                    </w:rPr>
                    <w:t>污染因子</w:t>
                  </w:r>
                </w:p>
              </w:tc>
              <w:tc>
                <w:tcPr>
                  <w:tcW w:w="580" w:type="pct"/>
                  <w:vMerge w:val="restart"/>
                  <w:vAlign w:val="center"/>
                </w:tcPr>
                <w:p w14:paraId="2C6AE062">
                  <w:pPr>
                    <w:adjustRightInd w:val="0"/>
                    <w:snapToGrid w:val="0"/>
                    <w:jc w:val="center"/>
                    <w:rPr>
                      <w:b/>
                      <w:sz w:val="21"/>
                      <w:szCs w:val="21"/>
                    </w:rPr>
                  </w:pPr>
                  <w:r>
                    <w:rPr>
                      <w:b/>
                      <w:sz w:val="21"/>
                      <w:szCs w:val="21"/>
                    </w:rPr>
                    <w:t>产生量（t/a）</w:t>
                  </w:r>
                </w:p>
              </w:tc>
              <w:tc>
                <w:tcPr>
                  <w:tcW w:w="606" w:type="pct"/>
                  <w:vMerge w:val="restart"/>
                  <w:vAlign w:val="center"/>
                </w:tcPr>
                <w:p w14:paraId="1B2EDAC2">
                  <w:pPr>
                    <w:adjustRightInd w:val="0"/>
                    <w:snapToGrid w:val="0"/>
                    <w:jc w:val="center"/>
                    <w:rPr>
                      <w:b/>
                      <w:sz w:val="21"/>
                      <w:szCs w:val="21"/>
                    </w:rPr>
                  </w:pPr>
                  <w:r>
                    <w:rPr>
                      <w:b/>
                      <w:sz w:val="21"/>
                      <w:szCs w:val="21"/>
                    </w:rPr>
                    <w:t>削减量（t/a）</w:t>
                  </w:r>
                </w:p>
              </w:tc>
              <w:tc>
                <w:tcPr>
                  <w:tcW w:w="2093" w:type="pct"/>
                  <w:gridSpan w:val="3"/>
                  <w:vAlign w:val="center"/>
                </w:tcPr>
                <w:p w14:paraId="6F8AFF11">
                  <w:pPr>
                    <w:adjustRightInd w:val="0"/>
                    <w:snapToGrid w:val="0"/>
                    <w:jc w:val="center"/>
                    <w:rPr>
                      <w:b/>
                      <w:sz w:val="21"/>
                      <w:szCs w:val="21"/>
                    </w:rPr>
                  </w:pPr>
                  <w:r>
                    <w:rPr>
                      <w:b/>
                      <w:sz w:val="21"/>
                      <w:szCs w:val="21"/>
                    </w:rPr>
                    <w:t>有组织（</w:t>
                  </w:r>
                  <w:r>
                    <w:rPr>
                      <w:bCs/>
                      <w:sz w:val="21"/>
                      <w:szCs w:val="21"/>
                    </w:rPr>
                    <w:t>DA00</w:t>
                  </w:r>
                  <w:r>
                    <w:rPr>
                      <w:rFonts w:hint="eastAsia"/>
                      <w:bCs/>
                      <w:sz w:val="21"/>
                      <w:szCs w:val="21"/>
                    </w:rPr>
                    <w:t>3</w:t>
                  </w:r>
                  <w:r>
                    <w:rPr>
                      <w:b/>
                      <w:sz w:val="21"/>
                      <w:szCs w:val="21"/>
                    </w:rPr>
                    <w:t>）</w:t>
                  </w:r>
                </w:p>
              </w:tc>
              <w:tc>
                <w:tcPr>
                  <w:tcW w:w="1273" w:type="pct"/>
                  <w:gridSpan w:val="2"/>
                  <w:vAlign w:val="center"/>
                </w:tcPr>
                <w:p w14:paraId="42683107">
                  <w:pPr>
                    <w:adjustRightInd w:val="0"/>
                    <w:snapToGrid w:val="0"/>
                    <w:jc w:val="center"/>
                    <w:rPr>
                      <w:b/>
                      <w:sz w:val="21"/>
                      <w:szCs w:val="21"/>
                    </w:rPr>
                  </w:pPr>
                  <w:r>
                    <w:rPr>
                      <w:b/>
                      <w:sz w:val="21"/>
                      <w:szCs w:val="21"/>
                    </w:rPr>
                    <w:t>无组织</w:t>
                  </w:r>
                </w:p>
              </w:tc>
            </w:tr>
            <w:tr w14:paraId="7935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continue"/>
                  <w:vAlign w:val="center"/>
                </w:tcPr>
                <w:p w14:paraId="1D0B5680">
                  <w:pPr>
                    <w:adjustRightInd w:val="0"/>
                    <w:snapToGrid w:val="0"/>
                    <w:jc w:val="center"/>
                    <w:rPr>
                      <w:b/>
                      <w:sz w:val="21"/>
                      <w:szCs w:val="21"/>
                    </w:rPr>
                  </w:pPr>
                </w:p>
              </w:tc>
              <w:tc>
                <w:tcPr>
                  <w:tcW w:w="580" w:type="pct"/>
                  <w:vMerge w:val="continue"/>
                  <w:vAlign w:val="center"/>
                </w:tcPr>
                <w:p w14:paraId="57023ED8">
                  <w:pPr>
                    <w:adjustRightInd w:val="0"/>
                    <w:snapToGrid w:val="0"/>
                    <w:jc w:val="center"/>
                    <w:rPr>
                      <w:b/>
                      <w:sz w:val="21"/>
                      <w:szCs w:val="21"/>
                    </w:rPr>
                  </w:pPr>
                </w:p>
              </w:tc>
              <w:tc>
                <w:tcPr>
                  <w:tcW w:w="606" w:type="pct"/>
                  <w:vMerge w:val="continue"/>
                  <w:vAlign w:val="center"/>
                </w:tcPr>
                <w:p w14:paraId="0C31D637">
                  <w:pPr>
                    <w:adjustRightInd w:val="0"/>
                    <w:snapToGrid w:val="0"/>
                    <w:jc w:val="center"/>
                    <w:rPr>
                      <w:b/>
                      <w:sz w:val="21"/>
                      <w:szCs w:val="21"/>
                    </w:rPr>
                  </w:pPr>
                </w:p>
              </w:tc>
              <w:tc>
                <w:tcPr>
                  <w:tcW w:w="580" w:type="pct"/>
                  <w:vAlign w:val="center"/>
                </w:tcPr>
                <w:p w14:paraId="6EF3A51D">
                  <w:pPr>
                    <w:adjustRightInd w:val="0"/>
                    <w:snapToGrid w:val="0"/>
                    <w:jc w:val="center"/>
                    <w:rPr>
                      <w:b/>
                      <w:sz w:val="21"/>
                      <w:szCs w:val="21"/>
                    </w:rPr>
                  </w:pPr>
                  <w:r>
                    <w:rPr>
                      <w:rFonts w:hint="eastAsia"/>
                      <w:b/>
                      <w:sz w:val="21"/>
                      <w:szCs w:val="21"/>
                    </w:rPr>
                    <w:t>排放量（</w:t>
                  </w:r>
                  <w:r>
                    <w:rPr>
                      <w:b/>
                      <w:sz w:val="21"/>
                      <w:szCs w:val="21"/>
                    </w:rPr>
                    <w:t>t/a</w:t>
                  </w:r>
                  <w:r>
                    <w:rPr>
                      <w:rFonts w:hint="eastAsia"/>
                      <w:b/>
                      <w:sz w:val="21"/>
                      <w:szCs w:val="21"/>
                    </w:rPr>
                    <w:t>）</w:t>
                  </w:r>
                </w:p>
              </w:tc>
              <w:tc>
                <w:tcPr>
                  <w:tcW w:w="692" w:type="pct"/>
                  <w:vAlign w:val="center"/>
                </w:tcPr>
                <w:p w14:paraId="14123F07">
                  <w:pPr>
                    <w:adjustRightInd w:val="0"/>
                    <w:snapToGrid w:val="0"/>
                    <w:jc w:val="center"/>
                    <w:rPr>
                      <w:b/>
                      <w:sz w:val="21"/>
                      <w:szCs w:val="21"/>
                    </w:rPr>
                  </w:pPr>
                  <w:r>
                    <w:rPr>
                      <w:rFonts w:hint="eastAsia"/>
                      <w:b/>
                      <w:sz w:val="21"/>
                      <w:szCs w:val="21"/>
                    </w:rPr>
                    <w:t>排放速率（</w:t>
                  </w:r>
                  <w:r>
                    <w:rPr>
                      <w:b/>
                      <w:sz w:val="21"/>
                      <w:szCs w:val="21"/>
                    </w:rPr>
                    <w:t>kg/h</w:t>
                  </w:r>
                  <w:r>
                    <w:rPr>
                      <w:rFonts w:hint="eastAsia"/>
                      <w:b/>
                      <w:sz w:val="21"/>
                      <w:szCs w:val="21"/>
                    </w:rPr>
                    <w:t>）</w:t>
                  </w:r>
                </w:p>
              </w:tc>
              <w:tc>
                <w:tcPr>
                  <w:tcW w:w="820" w:type="pct"/>
                  <w:vAlign w:val="center"/>
                </w:tcPr>
                <w:p w14:paraId="1B089BD4">
                  <w:pPr>
                    <w:adjustRightInd w:val="0"/>
                    <w:snapToGrid w:val="0"/>
                    <w:jc w:val="center"/>
                    <w:rPr>
                      <w:b/>
                      <w:sz w:val="21"/>
                      <w:szCs w:val="21"/>
                    </w:rPr>
                  </w:pPr>
                  <w:r>
                    <w:rPr>
                      <w:rFonts w:hint="eastAsia"/>
                      <w:b/>
                      <w:sz w:val="21"/>
                      <w:szCs w:val="21"/>
                    </w:rPr>
                    <w:t>排放浓度（</w:t>
                  </w:r>
                  <w:r>
                    <w:rPr>
                      <w:b/>
                      <w:sz w:val="21"/>
                      <w:szCs w:val="21"/>
                    </w:rPr>
                    <w:t>mg/m</w:t>
                  </w:r>
                  <w:r>
                    <w:rPr>
                      <w:b/>
                      <w:sz w:val="21"/>
                      <w:szCs w:val="21"/>
                      <w:vertAlign w:val="superscript"/>
                    </w:rPr>
                    <w:t>3</w:t>
                  </w:r>
                  <w:r>
                    <w:rPr>
                      <w:rFonts w:hint="eastAsia"/>
                      <w:b/>
                      <w:sz w:val="21"/>
                      <w:szCs w:val="21"/>
                    </w:rPr>
                    <w:t>）</w:t>
                  </w:r>
                </w:p>
              </w:tc>
              <w:tc>
                <w:tcPr>
                  <w:tcW w:w="580" w:type="pct"/>
                  <w:vAlign w:val="center"/>
                </w:tcPr>
                <w:p w14:paraId="344ED4E8">
                  <w:pPr>
                    <w:adjustRightInd w:val="0"/>
                    <w:snapToGrid w:val="0"/>
                    <w:jc w:val="center"/>
                    <w:rPr>
                      <w:b/>
                      <w:sz w:val="21"/>
                      <w:szCs w:val="21"/>
                    </w:rPr>
                  </w:pPr>
                  <w:r>
                    <w:rPr>
                      <w:rFonts w:hint="eastAsia"/>
                      <w:b/>
                      <w:sz w:val="21"/>
                      <w:szCs w:val="21"/>
                    </w:rPr>
                    <w:t>排放量（</w:t>
                  </w:r>
                  <w:r>
                    <w:rPr>
                      <w:b/>
                      <w:sz w:val="21"/>
                      <w:szCs w:val="21"/>
                    </w:rPr>
                    <w:t>t/a</w:t>
                  </w:r>
                  <w:r>
                    <w:rPr>
                      <w:rFonts w:hint="eastAsia"/>
                      <w:b/>
                      <w:sz w:val="21"/>
                      <w:szCs w:val="21"/>
                    </w:rPr>
                    <w:t>）</w:t>
                  </w:r>
                </w:p>
              </w:tc>
              <w:tc>
                <w:tcPr>
                  <w:tcW w:w="693" w:type="pct"/>
                  <w:vAlign w:val="center"/>
                </w:tcPr>
                <w:p w14:paraId="4F4A874C">
                  <w:pPr>
                    <w:adjustRightInd w:val="0"/>
                    <w:snapToGrid w:val="0"/>
                    <w:jc w:val="center"/>
                    <w:rPr>
                      <w:b/>
                      <w:sz w:val="21"/>
                      <w:szCs w:val="21"/>
                    </w:rPr>
                  </w:pPr>
                  <w:r>
                    <w:rPr>
                      <w:rFonts w:hint="eastAsia"/>
                      <w:b/>
                      <w:sz w:val="21"/>
                      <w:szCs w:val="21"/>
                    </w:rPr>
                    <w:t>排放速率（</w:t>
                  </w:r>
                  <w:r>
                    <w:rPr>
                      <w:b/>
                      <w:sz w:val="21"/>
                      <w:szCs w:val="21"/>
                    </w:rPr>
                    <w:t>kg/h</w:t>
                  </w:r>
                  <w:r>
                    <w:rPr>
                      <w:rFonts w:hint="eastAsia"/>
                      <w:b/>
                      <w:sz w:val="21"/>
                      <w:szCs w:val="21"/>
                    </w:rPr>
                    <w:t>）</w:t>
                  </w:r>
                </w:p>
              </w:tc>
            </w:tr>
            <w:tr w14:paraId="1ED2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0AC7A55C">
                  <w:pPr>
                    <w:adjustRightInd w:val="0"/>
                    <w:snapToGrid w:val="0"/>
                    <w:jc w:val="center"/>
                    <w:rPr>
                      <w:b/>
                      <w:sz w:val="21"/>
                      <w:szCs w:val="21"/>
                    </w:rPr>
                  </w:pPr>
                  <w:r>
                    <w:rPr>
                      <w:b/>
                      <w:sz w:val="21"/>
                      <w:szCs w:val="21"/>
                    </w:rPr>
                    <w:t>非甲烷总烃</w:t>
                  </w:r>
                </w:p>
              </w:tc>
              <w:tc>
                <w:tcPr>
                  <w:tcW w:w="1051" w:type="dxa"/>
                  <w:vAlign w:val="center"/>
                </w:tcPr>
                <w:p w14:paraId="281F75B1">
                  <w:pPr>
                    <w:adjustRightInd w:val="0"/>
                    <w:snapToGrid w:val="0"/>
                    <w:jc w:val="center"/>
                    <w:rPr>
                      <w:bCs/>
                      <w:sz w:val="21"/>
                      <w:szCs w:val="21"/>
                    </w:rPr>
                  </w:pPr>
                  <w:r>
                    <w:rPr>
                      <w:rFonts w:hint="eastAsia"/>
                      <w:bCs/>
                      <w:sz w:val="21"/>
                      <w:szCs w:val="21"/>
                    </w:rPr>
                    <w:t>1.5</w:t>
                  </w:r>
                </w:p>
              </w:tc>
              <w:tc>
                <w:tcPr>
                  <w:tcW w:w="1098" w:type="dxa"/>
                  <w:vAlign w:val="center"/>
                </w:tcPr>
                <w:p w14:paraId="59F2D4C6">
                  <w:pPr>
                    <w:adjustRightInd w:val="0"/>
                    <w:snapToGrid w:val="0"/>
                    <w:jc w:val="center"/>
                    <w:rPr>
                      <w:bCs/>
                      <w:sz w:val="21"/>
                      <w:szCs w:val="21"/>
                    </w:rPr>
                  </w:pPr>
                  <w:r>
                    <w:rPr>
                      <w:rFonts w:hint="eastAsia"/>
                      <w:bCs/>
                      <w:sz w:val="21"/>
                      <w:szCs w:val="21"/>
                    </w:rPr>
                    <w:t>1.</w:t>
                  </w:r>
                  <w:r>
                    <w:rPr>
                      <w:rFonts w:hint="eastAsia"/>
                      <w:bCs/>
                      <w:sz w:val="21"/>
                      <w:szCs w:val="21"/>
                      <w:lang w:val="en-US" w:eastAsia="zh-CN"/>
                    </w:rPr>
                    <w:t>215</w:t>
                  </w:r>
                </w:p>
              </w:tc>
              <w:tc>
                <w:tcPr>
                  <w:tcW w:w="1051" w:type="dxa"/>
                  <w:vAlign w:val="center"/>
                </w:tcPr>
                <w:p w14:paraId="53D9A916">
                  <w:pPr>
                    <w:adjustRightInd w:val="0"/>
                    <w:snapToGrid w:val="0"/>
                    <w:jc w:val="center"/>
                    <w:rPr>
                      <w:bCs/>
                      <w:sz w:val="21"/>
                      <w:szCs w:val="21"/>
                    </w:rPr>
                  </w:pPr>
                  <w:r>
                    <w:rPr>
                      <w:rFonts w:hint="eastAsia"/>
                      <w:bCs/>
                      <w:sz w:val="21"/>
                      <w:szCs w:val="21"/>
                    </w:rPr>
                    <w:t>0.1</w:t>
                  </w:r>
                  <w:r>
                    <w:rPr>
                      <w:rFonts w:hint="eastAsia"/>
                      <w:bCs/>
                      <w:sz w:val="21"/>
                      <w:szCs w:val="21"/>
                      <w:lang w:val="en-US" w:eastAsia="zh-CN"/>
                    </w:rPr>
                    <w:t>35</w:t>
                  </w:r>
                </w:p>
              </w:tc>
              <w:tc>
                <w:tcPr>
                  <w:tcW w:w="1253" w:type="dxa"/>
                  <w:vAlign w:val="center"/>
                </w:tcPr>
                <w:p w14:paraId="6038A62E">
                  <w:pPr>
                    <w:adjustRightInd w:val="0"/>
                    <w:snapToGrid w:val="0"/>
                    <w:jc w:val="center"/>
                    <w:rPr>
                      <w:bCs/>
                      <w:sz w:val="21"/>
                      <w:szCs w:val="21"/>
                    </w:rPr>
                  </w:pPr>
                  <w:r>
                    <w:rPr>
                      <w:rFonts w:hint="eastAsia"/>
                      <w:bCs/>
                      <w:sz w:val="21"/>
                      <w:szCs w:val="21"/>
                    </w:rPr>
                    <w:t>0.01</w:t>
                  </w:r>
                  <w:r>
                    <w:rPr>
                      <w:rFonts w:hint="eastAsia"/>
                      <w:bCs/>
                      <w:sz w:val="21"/>
                      <w:szCs w:val="21"/>
                      <w:lang w:val="en-US" w:eastAsia="zh-CN"/>
                    </w:rPr>
                    <w:t>88</w:t>
                  </w:r>
                </w:p>
              </w:tc>
              <w:tc>
                <w:tcPr>
                  <w:tcW w:w="1487" w:type="dxa"/>
                  <w:vAlign w:val="center"/>
                </w:tcPr>
                <w:p w14:paraId="784C0FD8">
                  <w:pPr>
                    <w:adjustRightInd w:val="0"/>
                    <w:snapToGrid w:val="0"/>
                    <w:jc w:val="center"/>
                    <w:rPr>
                      <w:bCs/>
                      <w:sz w:val="21"/>
                      <w:szCs w:val="21"/>
                    </w:rPr>
                  </w:pPr>
                  <w:r>
                    <w:rPr>
                      <w:rFonts w:hint="eastAsia"/>
                      <w:bCs/>
                      <w:sz w:val="21"/>
                      <w:szCs w:val="21"/>
                    </w:rPr>
                    <w:t>1.</w:t>
                  </w:r>
                  <w:r>
                    <w:rPr>
                      <w:rFonts w:hint="eastAsia"/>
                      <w:bCs/>
                      <w:sz w:val="21"/>
                      <w:szCs w:val="21"/>
                      <w:lang w:val="en-US" w:eastAsia="zh-CN"/>
                    </w:rPr>
                    <w:t>567</w:t>
                  </w:r>
                </w:p>
              </w:tc>
              <w:tc>
                <w:tcPr>
                  <w:tcW w:w="1051" w:type="dxa"/>
                  <w:vAlign w:val="center"/>
                </w:tcPr>
                <w:p w14:paraId="1908C935">
                  <w:pPr>
                    <w:adjustRightInd w:val="0"/>
                    <w:snapToGrid w:val="0"/>
                    <w:jc w:val="center"/>
                    <w:rPr>
                      <w:bCs/>
                      <w:sz w:val="21"/>
                      <w:szCs w:val="21"/>
                    </w:rPr>
                  </w:pPr>
                  <w:r>
                    <w:rPr>
                      <w:rFonts w:hint="eastAsia"/>
                      <w:bCs/>
                      <w:sz w:val="21"/>
                      <w:szCs w:val="21"/>
                      <w:lang w:val="en-US" w:eastAsia="zh-CN"/>
                    </w:rPr>
                    <w:t>0.15</w:t>
                  </w:r>
                </w:p>
              </w:tc>
              <w:tc>
                <w:tcPr>
                  <w:tcW w:w="1259" w:type="dxa"/>
                  <w:vAlign w:val="center"/>
                </w:tcPr>
                <w:p w14:paraId="011BB3ED">
                  <w:pPr>
                    <w:adjustRightInd w:val="0"/>
                    <w:snapToGrid w:val="0"/>
                    <w:jc w:val="center"/>
                    <w:rPr>
                      <w:bCs/>
                      <w:sz w:val="21"/>
                      <w:szCs w:val="21"/>
                    </w:rPr>
                  </w:pPr>
                  <w:r>
                    <w:rPr>
                      <w:rFonts w:hint="eastAsia"/>
                      <w:bCs/>
                      <w:sz w:val="21"/>
                      <w:szCs w:val="21"/>
                    </w:rPr>
                    <w:t>0.0</w:t>
                  </w:r>
                  <w:r>
                    <w:rPr>
                      <w:rFonts w:hint="eastAsia"/>
                      <w:bCs/>
                      <w:sz w:val="21"/>
                      <w:szCs w:val="21"/>
                      <w:lang w:val="en-US" w:eastAsia="zh-CN"/>
                    </w:rPr>
                    <w:t>208</w:t>
                  </w:r>
                </w:p>
              </w:tc>
            </w:tr>
            <w:tr w14:paraId="59D8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7FC920D3">
                  <w:pPr>
                    <w:adjustRightInd w:val="0"/>
                    <w:snapToGrid w:val="0"/>
                    <w:jc w:val="center"/>
                    <w:rPr>
                      <w:b/>
                      <w:sz w:val="21"/>
                      <w:szCs w:val="21"/>
                    </w:rPr>
                  </w:pPr>
                  <w:r>
                    <w:rPr>
                      <w:rFonts w:hint="eastAsia"/>
                      <w:b/>
                      <w:sz w:val="21"/>
                      <w:szCs w:val="21"/>
                    </w:rPr>
                    <w:t>HCl</w:t>
                  </w:r>
                </w:p>
              </w:tc>
              <w:tc>
                <w:tcPr>
                  <w:tcW w:w="1051" w:type="dxa"/>
                  <w:vAlign w:val="center"/>
                </w:tcPr>
                <w:p w14:paraId="61FD4B54">
                  <w:pPr>
                    <w:adjustRightInd w:val="0"/>
                    <w:snapToGrid w:val="0"/>
                    <w:jc w:val="center"/>
                    <w:rPr>
                      <w:bCs/>
                      <w:sz w:val="21"/>
                      <w:szCs w:val="21"/>
                    </w:rPr>
                  </w:pPr>
                  <w:r>
                    <w:rPr>
                      <w:rFonts w:hint="eastAsia"/>
                      <w:bCs/>
                      <w:sz w:val="21"/>
                      <w:szCs w:val="21"/>
                    </w:rPr>
                    <w:t>0.0075</w:t>
                  </w:r>
                </w:p>
              </w:tc>
              <w:tc>
                <w:tcPr>
                  <w:tcW w:w="1098" w:type="dxa"/>
                  <w:vAlign w:val="center"/>
                </w:tcPr>
                <w:p w14:paraId="4D3FC3BC">
                  <w:pPr>
                    <w:adjustRightInd w:val="0"/>
                    <w:snapToGrid w:val="0"/>
                    <w:jc w:val="center"/>
                    <w:rPr>
                      <w:bCs/>
                      <w:sz w:val="21"/>
                      <w:szCs w:val="21"/>
                    </w:rPr>
                  </w:pPr>
                  <w:r>
                    <w:rPr>
                      <w:rFonts w:hint="eastAsia"/>
                      <w:bCs/>
                      <w:sz w:val="21"/>
                      <w:szCs w:val="21"/>
                    </w:rPr>
                    <w:t>0.00</w:t>
                  </w:r>
                  <w:r>
                    <w:rPr>
                      <w:rFonts w:hint="eastAsia"/>
                      <w:bCs/>
                      <w:sz w:val="21"/>
                      <w:szCs w:val="21"/>
                      <w:lang w:val="en-US" w:eastAsia="zh-CN"/>
                    </w:rPr>
                    <w:t>64</w:t>
                  </w:r>
                </w:p>
              </w:tc>
              <w:tc>
                <w:tcPr>
                  <w:tcW w:w="1051" w:type="dxa"/>
                  <w:vAlign w:val="center"/>
                </w:tcPr>
                <w:p w14:paraId="2244E48E">
                  <w:pPr>
                    <w:adjustRightInd w:val="0"/>
                    <w:snapToGrid w:val="0"/>
                    <w:jc w:val="center"/>
                    <w:rPr>
                      <w:bCs/>
                      <w:sz w:val="21"/>
                      <w:szCs w:val="21"/>
                    </w:rPr>
                  </w:pPr>
                  <w:r>
                    <w:rPr>
                      <w:rFonts w:hint="eastAsia"/>
                      <w:bCs/>
                      <w:sz w:val="21"/>
                      <w:szCs w:val="21"/>
                    </w:rPr>
                    <w:t>0.000</w:t>
                  </w:r>
                  <w:r>
                    <w:rPr>
                      <w:rFonts w:hint="eastAsia"/>
                      <w:bCs/>
                      <w:sz w:val="21"/>
                      <w:szCs w:val="21"/>
                      <w:lang w:val="en-US" w:eastAsia="zh-CN"/>
                    </w:rPr>
                    <w:t>3</w:t>
                  </w:r>
                </w:p>
              </w:tc>
              <w:tc>
                <w:tcPr>
                  <w:tcW w:w="1253" w:type="dxa"/>
                  <w:vAlign w:val="center"/>
                </w:tcPr>
                <w:p w14:paraId="4800EC95">
                  <w:pPr>
                    <w:adjustRightInd w:val="0"/>
                    <w:snapToGrid w:val="0"/>
                    <w:jc w:val="center"/>
                    <w:rPr>
                      <w:bCs/>
                      <w:sz w:val="21"/>
                      <w:szCs w:val="21"/>
                    </w:rPr>
                  </w:pPr>
                  <w:r>
                    <w:rPr>
                      <w:rFonts w:hint="eastAsia"/>
                      <w:bCs/>
                      <w:sz w:val="21"/>
                      <w:szCs w:val="21"/>
                    </w:rPr>
                    <w:t>0.000</w:t>
                  </w:r>
                  <w:r>
                    <w:rPr>
                      <w:rFonts w:hint="eastAsia"/>
                      <w:bCs/>
                      <w:sz w:val="21"/>
                      <w:szCs w:val="21"/>
                      <w:lang w:val="en-US" w:eastAsia="zh-CN"/>
                    </w:rPr>
                    <w:t>04</w:t>
                  </w:r>
                </w:p>
              </w:tc>
              <w:tc>
                <w:tcPr>
                  <w:tcW w:w="1487" w:type="dxa"/>
                  <w:vAlign w:val="center"/>
                </w:tcPr>
                <w:p w14:paraId="6680F787">
                  <w:pPr>
                    <w:adjustRightInd w:val="0"/>
                    <w:snapToGrid w:val="0"/>
                    <w:jc w:val="center"/>
                    <w:rPr>
                      <w:bCs/>
                      <w:sz w:val="21"/>
                      <w:szCs w:val="21"/>
                    </w:rPr>
                  </w:pPr>
                  <w:r>
                    <w:rPr>
                      <w:rFonts w:hint="eastAsia"/>
                      <w:bCs/>
                      <w:sz w:val="21"/>
                      <w:szCs w:val="21"/>
                    </w:rPr>
                    <w:t>0.00</w:t>
                  </w:r>
                  <w:r>
                    <w:rPr>
                      <w:rFonts w:hint="eastAsia"/>
                      <w:bCs/>
                      <w:sz w:val="21"/>
                      <w:szCs w:val="21"/>
                      <w:lang w:val="en-US" w:eastAsia="zh-CN"/>
                    </w:rPr>
                    <w:t>33</w:t>
                  </w:r>
                </w:p>
              </w:tc>
              <w:tc>
                <w:tcPr>
                  <w:tcW w:w="1051" w:type="dxa"/>
                  <w:vAlign w:val="center"/>
                </w:tcPr>
                <w:p w14:paraId="7CA4E95B">
                  <w:pPr>
                    <w:adjustRightInd w:val="0"/>
                    <w:snapToGrid w:val="0"/>
                    <w:jc w:val="center"/>
                    <w:rPr>
                      <w:bCs/>
                      <w:sz w:val="21"/>
                      <w:szCs w:val="21"/>
                    </w:rPr>
                  </w:pPr>
                  <w:r>
                    <w:rPr>
                      <w:rFonts w:hint="eastAsia"/>
                      <w:bCs/>
                      <w:sz w:val="21"/>
                      <w:szCs w:val="21"/>
                    </w:rPr>
                    <w:t>0.00</w:t>
                  </w:r>
                  <w:r>
                    <w:rPr>
                      <w:rFonts w:hint="eastAsia"/>
                      <w:bCs/>
                      <w:sz w:val="21"/>
                      <w:szCs w:val="21"/>
                      <w:lang w:val="en-US" w:eastAsia="zh-CN"/>
                    </w:rPr>
                    <w:t>08</w:t>
                  </w:r>
                </w:p>
              </w:tc>
              <w:tc>
                <w:tcPr>
                  <w:tcW w:w="1259" w:type="dxa"/>
                  <w:vAlign w:val="center"/>
                </w:tcPr>
                <w:p w14:paraId="5D9936CD">
                  <w:pPr>
                    <w:adjustRightInd w:val="0"/>
                    <w:snapToGrid w:val="0"/>
                    <w:jc w:val="center"/>
                    <w:rPr>
                      <w:bCs/>
                      <w:sz w:val="21"/>
                      <w:szCs w:val="21"/>
                    </w:rPr>
                  </w:pPr>
                  <w:r>
                    <w:rPr>
                      <w:rFonts w:hint="eastAsia"/>
                      <w:bCs/>
                      <w:sz w:val="21"/>
                      <w:szCs w:val="21"/>
                    </w:rPr>
                    <w:t>0.000</w:t>
                  </w:r>
                  <w:r>
                    <w:rPr>
                      <w:rFonts w:hint="eastAsia"/>
                      <w:bCs/>
                      <w:sz w:val="21"/>
                      <w:szCs w:val="21"/>
                      <w:lang w:val="en-US" w:eastAsia="zh-CN"/>
                    </w:rPr>
                    <w:t>1</w:t>
                  </w:r>
                </w:p>
              </w:tc>
            </w:tr>
            <w:tr w14:paraId="79F0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00" w:type="pct"/>
                  <w:gridSpan w:val="8"/>
                  <w:vAlign w:val="center"/>
                </w:tcPr>
                <w:p w14:paraId="58741FB2">
                  <w:pPr>
                    <w:autoSpaceDE w:val="0"/>
                    <w:adjustRightInd w:val="0"/>
                    <w:snapToGrid w:val="0"/>
                    <w:rPr>
                      <w:bCs/>
                      <w:sz w:val="21"/>
                      <w:szCs w:val="21"/>
                    </w:rPr>
                  </w:pPr>
                  <w:r>
                    <w:rPr>
                      <w:b/>
                      <w:bCs/>
                      <w:sz w:val="21"/>
                      <w:szCs w:val="21"/>
                    </w:rPr>
                    <w:t>注：</w:t>
                  </w:r>
                  <w:r>
                    <w:rPr>
                      <w:rFonts w:hint="eastAsia"/>
                      <w:b/>
                      <w:bCs/>
                      <w:sz w:val="21"/>
                      <w:szCs w:val="21"/>
                    </w:rPr>
                    <w:t>低压线缆车间风机风量为12000m</w:t>
                  </w:r>
                  <w:r>
                    <w:rPr>
                      <w:rFonts w:hint="eastAsia"/>
                      <w:b/>
                      <w:bCs/>
                      <w:sz w:val="21"/>
                      <w:szCs w:val="21"/>
                      <w:vertAlign w:val="superscript"/>
                    </w:rPr>
                    <w:t>3</w:t>
                  </w:r>
                  <w:r>
                    <w:rPr>
                      <w:rFonts w:hint="eastAsia"/>
                      <w:b/>
                      <w:bCs/>
                      <w:sz w:val="21"/>
                      <w:szCs w:val="21"/>
                    </w:rPr>
                    <w:t>/h，处理后经15m高排气筒排放.</w:t>
                  </w:r>
                </w:p>
              </w:tc>
            </w:tr>
          </w:tbl>
          <w:p w14:paraId="269FDDD4">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（3）塑料制品（位于原材料仓库南侧）</w:t>
            </w:r>
          </w:p>
          <w:p w14:paraId="5E0DD891">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①</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3-1</w:t>
            </w:r>
            <w:r>
              <w:rPr>
                <w:rFonts w:hint="eastAsia" w:eastAsia="宋体"/>
                <w:color w:val="000000" w:themeColor="text1"/>
                <w:szCs w:val="24"/>
                <w14:textFill>
                  <w14:solidFill>
                    <w14:schemeClr w14:val="tx1"/>
                  </w14:solidFill>
                </w14:textFill>
              </w:rPr>
              <w:t>投料粉尘</w:t>
            </w:r>
          </w:p>
          <w:p w14:paraId="543A289D">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参照美国俄亥俄州环境保护局和污染工程分公司编制的《逸散性工业粉尘控制技术》中装卸料粉尘排放因子产生系数0.35kg/t，以粉末状物料的PVC、PE树脂用量为6000t/a，则投料环节中产生的粉尘量为2.1t/a。</w:t>
            </w:r>
          </w:p>
          <w:p w14:paraId="1D1E551E">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②</w:t>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3-2</w:t>
            </w:r>
            <w:r>
              <w:rPr>
                <w:rFonts w:hint="eastAsia" w:eastAsia="宋体"/>
                <w:color w:val="000000" w:themeColor="text1"/>
                <w:szCs w:val="24"/>
                <w14:textFill>
                  <w14:solidFill>
                    <w14:schemeClr w14:val="tx1"/>
                  </w14:solidFill>
                </w14:textFill>
              </w:rPr>
              <w:t>卸料粉尘</w:t>
            </w:r>
          </w:p>
          <w:p w14:paraId="04FB097A">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参照美国俄亥俄州环境保护局和污染工程分公司编制的《逸散性工业粉尘控制技术》中装卸料粉尘排放因子产生系数0.35kg/t，以粉末状物料的PVC、PE树脂用量为6000t/a，则</w:t>
            </w:r>
            <w:r>
              <w:rPr>
                <w:rFonts w:hint="eastAsia" w:eastAsia="宋体"/>
                <w:color w:val="000000" w:themeColor="text1"/>
                <w:szCs w:val="24"/>
                <w:lang w:val="en-US" w:eastAsia="zh-CN"/>
                <w14:textFill>
                  <w14:solidFill>
                    <w14:schemeClr w14:val="tx1"/>
                  </w14:solidFill>
                </w14:textFill>
              </w:rPr>
              <w:t>卸料</w:t>
            </w:r>
            <w:r>
              <w:rPr>
                <w:rFonts w:hint="eastAsia" w:eastAsia="宋体"/>
                <w:color w:val="000000" w:themeColor="text1"/>
                <w:szCs w:val="24"/>
                <w14:textFill>
                  <w14:solidFill>
                    <w14:schemeClr w14:val="tx1"/>
                  </w14:solidFill>
                </w14:textFill>
              </w:rPr>
              <w:t>环节中产生的粉尘量为2.1t/a。</w:t>
            </w:r>
          </w:p>
          <w:p w14:paraId="5634E520">
            <w:pPr>
              <w:pStyle w:val="5"/>
              <w:keepNext/>
              <w:spacing w:before="0"/>
              <w:ind w:firstLine="480" w:firstLineChars="200"/>
              <w:jc w:val="left"/>
              <w:rPr>
                <w:rFonts w:eastAsia="宋体"/>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fldChar w:fldCharType="begin"/>
            </w:r>
            <w:r>
              <w:rPr>
                <w:rFonts w:ascii="Times New Roman Regular" w:hAnsi="Times New Roman Regular" w:eastAsia="宋体" w:cs="Times New Roman Regular"/>
                <w:color w:val="000000" w:themeColor="text1"/>
                <w:szCs w:val="24"/>
                <w14:textFill>
                  <w14:solidFill>
                    <w14:schemeClr w14:val="tx1"/>
                  </w14:solidFill>
                </w14:textFill>
              </w:rPr>
              <w:instrText xml:space="preserve"> = 3 \* GB3 \* MERGEFORMAT </w:instrText>
            </w:r>
            <w:r>
              <w:rPr>
                <w:rFonts w:ascii="Times New Roman Regular" w:hAnsi="Times New Roman Regular" w:eastAsia="宋体" w:cs="Times New Roman Regular"/>
                <w:color w:val="000000" w:themeColor="text1"/>
                <w:szCs w:val="24"/>
                <w14:textFill>
                  <w14:solidFill>
                    <w14:schemeClr w14:val="tx1"/>
                  </w14:solidFill>
                </w14:textFill>
              </w:rPr>
              <w:fldChar w:fldCharType="separate"/>
            </w:r>
            <w:r>
              <w:rPr>
                <w:color w:val="000000" w:themeColor="text1"/>
                <w14:textFill>
                  <w14:solidFill>
                    <w14:schemeClr w14:val="tx1"/>
                  </w14:solidFill>
                </w14:textFill>
              </w:rPr>
              <w:t>③</w:t>
            </w:r>
            <w:r>
              <w:rPr>
                <w:rFonts w:ascii="Times New Roman Regular" w:hAnsi="Times New Roman Regular" w:eastAsia="宋体" w:cs="Times New Roman Regular"/>
                <w:color w:val="000000" w:themeColor="text1"/>
                <w:szCs w:val="24"/>
                <w14:textFill>
                  <w14:solidFill>
                    <w14:schemeClr w14:val="tx1"/>
                  </w14:solidFill>
                </w14:textFill>
              </w:rPr>
              <w:fldChar w:fldCharType="end"/>
            </w:r>
            <w:r>
              <w:rPr>
                <w:rFonts w:hint="eastAsia" w:eastAsia="宋体"/>
                <w:color w:val="000000" w:themeColor="text1"/>
                <w:szCs w:val="24"/>
                <w:lang w:val="en-US" w:eastAsia="zh-CN"/>
                <w14:textFill>
                  <w14:solidFill>
                    <w14:schemeClr w14:val="tx1"/>
                  </w14:solidFill>
                </w14:textFill>
              </w:rPr>
              <w:t>G</w:t>
            </w:r>
            <w:r>
              <w:rPr>
                <w:rFonts w:hint="eastAsia" w:eastAsia="宋体"/>
                <w:color w:val="000000" w:themeColor="text1"/>
                <w:szCs w:val="24"/>
                <w:vertAlign w:val="subscript"/>
                <w:lang w:val="en-US" w:eastAsia="zh-CN"/>
                <w14:textFill>
                  <w14:solidFill>
                    <w14:schemeClr w14:val="tx1"/>
                  </w14:solidFill>
                </w14:textFill>
              </w:rPr>
              <w:t>3-2</w:t>
            </w:r>
            <w:r>
              <w:rPr>
                <w:rFonts w:hint="eastAsia" w:ascii="Times New Roman Regular" w:hAnsi="Times New Roman Regular" w:eastAsia="宋体" w:cs="Times New Roman Regular"/>
                <w:color w:val="000000" w:themeColor="text1"/>
                <w:szCs w:val="24"/>
                <w:lang w:val="en-US" w:eastAsia="zh-CN"/>
                <w14:textFill>
                  <w14:solidFill>
                    <w14:schemeClr w14:val="tx1"/>
                  </w14:solidFill>
                </w14:textFill>
              </w:rPr>
              <w:t>混炼</w:t>
            </w:r>
            <w:r>
              <w:rPr>
                <w:rFonts w:eastAsia="宋体"/>
                <w:color w:val="000000" w:themeColor="text1"/>
                <w:szCs w:val="24"/>
                <w14:textFill>
                  <w14:solidFill>
                    <w14:schemeClr w14:val="tx1"/>
                  </w14:solidFill>
                </w14:textFill>
              </w:rPr>
              <w:t>挤出废气</w:t>
            </w:r>
          </w:p>
          <w:p w14:paraId="4646F183">
            <w:pPr>
              <w:pStyle w:val="5"/>
              <w:keepNext/>
              <w:spacing w:before="0"/>
              <w:ind w:firstLine="480" w:firstLineChars="200"/>
              <w:jc w:val="left"/>
              <w:rPr>
                <w:rFonts w:eastAsia="宋体"/>
                <w:color w:val="000000" w:themeColor="text1"/>
                <w:szCs w:val="24"/>
                <w14:textFill>
                  <w14:solidFill>
                    <w14:schemeClr w14:val="tx1"/>
                  </w14:solidFill>
                </w14:textFill>
              </w:rPr>
            </w:pPr>
            <w:r>
              <w:rPr>
                <w:rFonts w:eastAsia="宋体"/>
                <w:color w:val="000000" w:themeColor="text1"/>
                <w:szCs w:val="24"/>
                <w14:textFill>
                  <w14:solidFill>
                    <w14:schemeClr w14:val="tx1"/>
                  </w14:solidFill>
                </w14:textFill>
              </w:rPr>
              <w:t>根据生产工艺分析</w:t>
            </w:r>
            <w:r>
              <w:rPr>
                <w:rFonts w:hint="eastAsia" w:eastAsia="宋体"/>
                <w:color w:val="000000" w:themeColor="text1"/>
                <w:szCs w:val="24"/>
                <w14:textFill>
                  <w14:solidFill>
                    <w14:schemeClr w14:val="tx1"/>
                  </w14:solidFill>
                </w14:textFill>
              </w:rPr>
              <w:t>，塑料制品混炼挤出</w:t>
            </w:r>
            <w:r>
              <w:rPr>
                <w:rFonts w:eastAsia="宋体"/>
                <w:color w:val="000000" w:themeColor="text1"/>
                <w:szCs w:val="24"/>
                <w14:textFill>
                  <w14:solidFill>
                    <w14:schemeClr w14:val="tx1"/>
                  </w14:solidFill>
                </w14:textFill>
              </w:rPr>
              <w:t>工序中会有挤出废气产生，PVC、PE绝缘料等</w:t>
            </w:r>
            <w:r>
              <w:rPr>
                <w:rFonts w:hint="eastAsia" w:eastAsia="宋体"/>
                <w:color w:val="000000" w:themeColor="text1"/>
                <w:szCs w:val="24"/>
                <w14:textFill>
                  <w14:solidFill>
                    <w14:schemeClr w14:val="tx1"/>
                  </w14:solidFill>
                </w14:textFill>
              </w:rPr>
              <w:t>树脂粉</w:t>
            </w:r>
            <w:r>
              <w:rPr>
                <w:rFonts w:eastAsia="宋体"/>
                <w:color w:val="000000" w:themeColor="text1"/>
                <w:szCs w:val="24"/>
                <w14:textFill>
                  <w14:solidFill>
                    <w14:schemeClr w14:val="tx1"/>
                  </w14:solidFill>
                </w14:textFill>
              </w:rPr>
              <w:t>在对应温度下熔化、粘合，并使之具有塑性，有少量有机废气产生，挤出废气以非甲烷总烃计。</w:t>
            </w:r>
            <w:r>
              <w:rPr>
                <w:rFonts w:hint="eastAsia" w:eastAsia="宋体"/>
                <w:color w:val="000000" w:themeColor="text1"/>
                <w:szCs w:val="24"/>
                <w14:textFill>
                  <w14:solidFill>
                    <w14:schemeClr w14:val="tx1"/>
                  </w14:solidFill>
                </w14:textFill>
              </w:rPr>
              <w:t>参考《排放源统计调查产排污核算方法和系数手册》（2021年本）292塑料制品行业系数手册中2922塑料板、管、型材制造行业系数表，确定本项目挥发性有机污染物产污系数以1.5kg/t产品（原料）计，</w:t>
            </w:r>
            <w:r>
              <w:rPr>
                <w:rFonts w:eastAsia="宋体"/>
                <w:color w:val="000000" w:themeColor="text1"/>
                <w:szCs w:val="24"/>
                <w14:textFill>
                  <w14:solidFill>
                    <w14:schemeClr w14:val="tx1"/>
                  </w14:solidFill>
                </w14:textFill>
              </w:rPr>
              <w:t>根据原辅料使用一览表，本项目使用原料主要为PVC、PE绝缘料等</w:t>
            </w:r>
            <w:r>
              <w:rPr>
                <w:rFonts w:hint="eastAsia" w:eastAsia="宋体"/>
                <w:color w:val="000000" w:themeColor="text1"/>
                <w:szCs w:val="24"/>
                <w14:textFill>
                  <w14:solidFill>
                    <w14:schemeClr w14:val="tx1"/>
                  </w14:solidFill>
                </w14:textFill>
              </w:rPr>
              <w:t>树脂粉</w:t>
            </w:r>
            <w:r>
              <w:rPr>
                <w:rFonts w:eastAsia="宋体"/>
                <w:color w:val="000000" w:themeColor="text1"/>
                <w:szCs w:val="24"/>
                <w14:textFill>
                  <w14:solidFill>
                    <w14:schemeClr w14:val="tx1"/>
                  </w14:solidFill>
                </w14:textFill>
              </w:rPr>
              <w:t>，合计用量为</w:t>
            </w:r>
            <w:r>
              <w:rPr>
                <w:rFonts w:hint="eastAsia" w:eastAsia="宋体"/>
                <w:color w:val="000000" w:themeColor="text1"/>
                <w:szCs w:val="24"/>
                <w14:textFill>
                  <w14:solidFill>
                    <w14:schemeClr w14:val="tx1"/>
                  </w14:solidFill>
                </w14:textFill>
              </w:rPr>
              <w:t>6000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a，经核算，非甲烷总烃产生量为</w:t>
            </w:r>
            <w:r>
              <w:rPr>
                <w:rFonts w:hint="eastAsia" w:eastAsia="宋体"/>
                <w:color w:val="000000" w:themeColor="text1"/>
                <w:szCs w:val="24"/>
                <w14:textFill>
                  <w14:solidFill>
                    <w14:schemeClr w14:val="tx1"/>
                  </w14:solidFill>
                </w14:textFill>
              </w:rPr>
              <w:t>9.0</w:t>
            </w:r>
            <w:r>
              <w:rPr>
                <w:rFonts w:eastAsia="宋体"/>
                <w:color w:val="000000" w:themeColor="text1"/>
                <w:szCs w:val="24"/>
                <w14:textFill>
                  <w14:solidFill>
                    <w14:schemeClr w14:val="tx1"/>
                  </w14:solidFill>
                </w14:textFill>
              </w:rPr>
              <w:t>t</w:t>
            </w:r>
            <w:r>
              <w:rPr>
                <w:rFonts w:hint="eastAsia" w:eastAsia="宋体"/>
                <w:color w:val="000000" w:themeColor="text1"/>
                <w:szCs w:val="24"/>
                <w14:textFill>
                  <w14:solidFill>
                    <w14:schemeClr w14:val="tx1"/>
                  </w14:solidFill>
                </w14:textFill>
              </w:rPr>
              <w:t>/</w:t>
            </w:r>
            <w:r>
              <w:rPr>
                <w:rFonts w:eastAsia="宋体"/>
                <w:color w:val="000000" w:themeColor="text1"/>
                <w:szCs w:val="24"/>
                <w14:textFill>
                  <w14:solidFill>
                    <w14:schemeClr w14:val="tx1"/>
                  </w14:solidFill>
                </w14:textFill>
              </w:rPr>
              <w:t>a</w:t>
            </w:r>
            <w:r>
              <w:rPr>
                <w:rFonts w:hint="eastAsia" w:eastAsia="宋体"/>
                <w:color w:val="000000" w:themeColor="text1"/>
                <w:szCs w:val="24"/>
                <w14:textFill>
                  <w14:solidFill>
                    <w14:schemeClr w14:val="tx1"/>
                  </w14:solidFill>
                </w14:textFill>
              </w:rPr>
              <w:t>；</w:t>
            </w:r>
          </w:p>
          <w:p w14:paraId="2AAC1638">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ascii="Times New Roman Regular" w:hAnsi="Times New Roman Regular" w:eastAsia="宋体" w:cs="Times New Roman Regular"/>
                <w:color w:val="000000" w:themeColor="text1"/>
                <w:szCs w:val="24"/>
                <w14:textFill>
                  <w14:solidFill>
                    <w14:schemeClr w14:val="tx1"/>
                  </w14:solidFill>
                </w14:textFill>
              </w:rPr>
              <w:t>PVC材料分解温度为100℃，熔融挤出时会产生氯化氢废气，</w:t>
            </w:r>
            <w:r>
              <w:rPr>
                <w:rFonts w:hint="eastAsia" w:ascii="Times New Roman Regular" w:hAnsi="Times New Roman Regular" w:eastAsia="宋体" w:cs="Times New Roman Regular"/>
                <w:color w:val="000000" w:themeColor="text1"/>
                <w:szCs w:val="24"/>
                <w14:textFill>
                  <w14:solidFill>
                    <w14:schemeClr w14:val="tx1"/>
                  </w14:solidFill>
                </w14:textFill>
              </w:rPr>
              <w:t>根据对同类企业的类比调查，PVC加热产生的HCl单体产生量为0.015kg/t（PVC原料），结合</w:t>
            </w:r>
            <w:r>
              <w:rPr>
                <w:rFonts w:ascii="Times New Roman Regular" w:hAnsi="Times New Roman Regular" w:eastAsia="宋体" w:cs="Times New Roman Regular"/>
                <w:color w:val="000000" w:themeColor="text1"/>
                <w:szCs w:val="24"/>
                <w14:textFill>
                  <w14:solidFill>
                    <w14:schemeClr w14:val="tx1"/>
                  </w14:solidFill>
                </w14:textFill>
              </w:rPr>
              <w:t>企业提供的资料</w:t>
            </w:r>
            <w:r>
              <w:rPr>
                <w:rFonts w:hint="eastAsia" w:ascii="Times New Roman Regular" w:hAnsi="Times New Roman Regular" w:eastAsia="宋体" w:cs="Times New Roman Regular"/>
                <w:color w:val="000000" w:themeColor="text1"/>
                <w:szCs w:val="24"/>
                <w14:textFill>
                  <w14:solidFill>
                    <w14:schemeClr w14:val="tx1"/>
                  </w14:solidFill>
                </w14:textFill>
              </w:rPr>
              <w:t>，塑料制品生产使用</w:t>
            </w:r>
            <w:r>
              <w:rPr>
                <w:rFonts w:ascii="Times New Roman Regular" w:hAnsi="Times New Roman Regular" w:eastAsia="宋体" w:cs="Times New Roman Regular"/>
                <w:color w:val="000000" w:themeColor="text1"/>
                <w:szCs w:val="24"/>
                <w14:textFill>
                  <w14:solidFill>
                    <w14:schemeClr w14:val="tx1"/>
                  </w14:solidFill>
                </w14:textFill>
              </w:rPr>
              <w:t>PVC原料为</w:t>
            </w:r>
            <w:r>
              <w:rPr>
                <w:rFonts w:hint="eastAsia" w:ascii="Times New Roman Regular" w:hAnsi="Times New Roman Regular" w:eastAsia="宋体" w:cs="Times New Roman Regular"/>
                <w:color w:val="000000" w:themeColor="text1"/>
                <w:szCs w:val="24"/>
                <w14:textFill>
                  <w14:solidFill>
                    <w14:schemeClr w14:val="tx1"/>
                  </w14:solidFill>
                </w14:textFill>
              </w:rPr>
              <w:t>3000</w:t>
            </w:r>
            <w:r>
              <w:rPr>
                <w:rFonts w:ascii="Times New Roman Regular" w:hAnsi="Times New Roman Regular" w:eastAsia="宋体" w:cs="Times New Roman Regular"/>
                <w:color w:val="000000" w:themeColor="text1"/>
                <w:szCs w:val="24"/>
                <w14:textFill>
                  <w14:solidFill>
                    <w14:schemeClr w14:val="tx1"/>
                  </w14:solidFill>
                </w14:textFill>
              </w:rPr>
              <w:t>t/a，生产过程中氯化氢产生量为0.0</w:t>
            </w:r>
            <w:r>
              <w:rPr>
                <w:rFonts w:hint="eastAsia" w:ascii="Times New Roman Regular" w:hAnsi="Times New Roman Regular" w:eastAsia="宋体" w:cs="Times New Roman Regular"/>
                <w:color w:val="000000" w:themeColor="text1"/>
                <w:szCs w:val="24"/>
                <w14:textFill>
                  <w14:solidFill>
                    <w14:schemeClr w14:val="tx1"/>
                  </w14:solidFill>
                </w14:textFill>
              </w:rPr>
              <w:t>45</w:t>
            </w:r>
            <w:r>
              <w:rPr>
                <w:rFonts w:ascii="Times New Roman Regular" w:hAnsi="Times New Roman Regular" w:eastAsia="宋体" w:cs="Times New Roman Regular"/>
                <w:color w:val="000000" w:themeColor="text1"/>
                <w:szCs w:val="24"/>
                <w14:textFill>
                  <w14:solidFill>
                    <w14:schemeClr w14:val="tx1"/>
                  </w14:solidFill>
                </w14:textFill>
              </w:rPr>
              <w:t>t/a。</w:t>
            </w:r>
          </w:p>
          <w:p w14:paraId="18F21198">
            <w:pPr>
              <w:pStyle w:val="3"/>
              <w:spacing w:line="360" w:lineRule="auto"/>
              <w:ind w:firstLine="496"/>
              <w:rPr>
                <w:bCs/>
                <w:sz w:val="24"/>
              </w:rPr>
            </w:pPr>
            <w:r>
              <w:rPr>
                <w:rFonts w:hint="eastAsia"/>
                <w:spacing w:val="4"/>
                <w:sz w:val="24"/>
              </w:rPr>
              <w:t>本环评要求</w:t>
            </w:r>
            <w:r>
              <w:rPr>
                <w:spacing w:val="4"/>
                <w:sz w:val="24"/>
              </w:rPr>
              <w:t>企业在</w:t>
            </w:r>
            <w:r>
              <w:rPr>
                <w:rFonts w:hint="eastAsia"/>
                <w:spacing w:val="4"/>
                <w:sz w:val="24"/>
              </w:rPr>
              <w:t>投料、卸料、挤出设备</w:t>
            </w:r>
            <w:r>
              <w:rPr>
                <w:spacing w:val="4"/>
                <w:sz w:val="24"/>
              </w:rPr>
              <w:t>上方设置集气罩</w:t>
            </w:r>
            <w:r>
              <w:rPr>
                <w:rFonts w:hint="eastAsia"/>
                <w:spacing w:val="4"/>
                <w:sz w:val="24"/>
              </w:rPr>
              <w:t>加设软帘收集有机废气，</w:t>
            </w:r>
            <w:r>
              <w:rPr>
                <w:rFonts w:hint="eastAsia"/>
                <w:spacing w:val="4"/>
                <w:sz w:val="24"/>
                <w:lang w:val="en-US" w:eastAsia="zh-CN"/>
              </w:rPr>
              <w:t>并</w:t>
            </w:r>
            <w:r>
              <w:rPr>
                <w:rFonts w:hint="eastAsia"/>
                <w:spacing w:val="4"/>
                <w:sz w:val="24"/>
              </w:rPr>
              <w:t>增设</w:t>
            </w:r>
            <w:r>
              <w:rPr>
                <w:rFonts w:hint="eastAsia"/>
                <w:spacing w:val="4"/>
                <w:sz w:val="24"/>
                <w:lang w:val="en-US" w:eastAsia="zh-CN"/>
              </w:rPr>
              <w:t>碱</w:t>
            </w:r>
            <w:r>
              <w:rPr>
                <w:rFonts w:hint="eastAsia"/>
                <w:spacing w:val="4"/>
                <w:sz w:val="24"/>
              </w:rPr>
              <w:t>水喷淋塔+除雾</w:t>
            </w:r>
            <w:r>
              <w:rPr>
                <w:spacing w:val="4"/>
                <w:sz w:val="24"/>
              </w:rPr>
              <w:t>，</w:t>
            </w:r>
            <w:r>
              <w:rPr>
                <w:rFonts w:hint="eastAsia"/>
                <w:spacing w:val="4"/>
                <w:sz w:val="24"/>
              </w:rPr>
              <w:t>经收集后的废气合并进入二级活性炭吸附装置处理，最终通过1根15m高排气筒（DA004）达标排放。集气罩集气效率取</w:t>
            </w:r>
            <w:r>
              <w:rPr>
                <w:rFonts w:hint="eastAsia"/>
                <w:spacing w:val="4"/>
                <w:sz w:val="24"/>
                <w:lang w:val="en-US" w:eastAsia="zh-CN"/>
              </w:rPr>
              <w:t>90</w:t>
            </w:r>
            <w:r>
              <w:rPr>
                <w:rFonts w:hint="eastAsia"/>
                <w:spacing w:val="4"/>
                <w:sz w:val="24"/>
              </w:rPr>
              <w:t>%，有机废气去除效率按照90%计，HCl经水喷淋塔+除雾，去除效率按95%计。</w:t>
            </w:r>
          </w:p>
          <w:p w14:paraId="0BCE7D20">
            <w:pPr>
              <w:pStyle w:val="3"/>
              <w:spacing w:line="360" w:lineRule="auto"/>
              <w:ind w:firstLine="480"/>
              <w:rPr>
                <w:b/>
                <w:bCs/>
                <w:sz w:val="24"/>
              </w:rPr>
            </w:pPr>
            <w:r>
              <w:rPr>
                <w:rFonts w:hint="eastAsia"/>
                <w:bCs/>
                <w:sz w:val="24"/>
              </w:rPr>
              <w:t>塑料制品制造废气</w:t>
            </w:r>
            <w:r>
              <w:rPr>
                <w:bCs/>
                <w:sz w:val="24"/>
              </w:rPr>
              <w:t>产生及排放情况见表</w:t>
            </w:r>
            <w:r>
              <w:rPr>
                <w:rFonts w:hint="eastAsia"/>
                <w:bCs/>
                <w:sz w:val="24"/>
              </w:rPr>
              <w:t>4.2</w:t>
            </w:r>
            <w:r>
              <w:rPr>
                <w:bCs/>
                <w:sz w:val="24"/>
              </w:rPr>
              <w:t>-</w:t>
            </w:r>
            <w:r>
              <w:rPr>
                <w:rFonts w:hint="eastAsia"/>
                <w:bCs/>
                <w:sz w:val="24"/>
              </w:rPr>
              <w:t>4</w:t>
            </w:r>
            <w:r>
              <w:rPr>
                <w:bCs/>
                <w:sz w:val="24"/>
              </w:rPr>
              <w:t>。</w:t>
            </w:r>
          </w:p>
          <w:p w14:paraId="0BA2FB10">
            <w:pPr>
              <w:autoSpaceDE w:val="0"/>
              <w:adjustRightInd w:val="0"/>
              <w:snapToGrid w:val="0"/>
              <w:jc w:val="center"/>
              <w:rPr>
                <w:b/>
                <w:bCs/>
              </w:rPr>
            </w:pPr>
            <w:r>
              <w:rPr>
                <w:b/>
                <w:bCs/>
              </w:rPr>
              <w:t>表</w:t>
            </w:r>
            <w:r>
              <w:rPr>
                <w:rFonts w:hint="eastAsia"/>
                <w:b/>
                <w:bCs/>
              </w:rPr>
              <w:t>4.2</w:t>
            </w:r>
            <w:r>
              <w:rPr>
                <w:b/>
                <w:bCs/>
              </w:rPr>
              <w:t>-</w:t>
            </w:r>
            <w:r>
              <w:rPr>
                <w:rFonts w:hint="eastAsia"/>
                <w:b/>
                <w:bCs/>
              </w:rPr>
              <w:t xml:space="preserve">4 </w:t>
            </w:r>
            <w:r>
              <w:rPr>
                <w:b/>
                <w:bCs/>
              </w:rPr>
              <w:t xml:space="preserve"> </w:t>
            </w:r>
            <w:r>
              <w:rPr>
                <w:rFonts w:hint="eastAsia"/>
                <w:b/>
                <w:bCs/>
              </w:rPr>
              <w:t>塑料制品制造废气</w:t>
            </w:r>
            <w:r>
              <w:rPr>
                <w:b/>
                <w:bCs/>
              </w:rPr>
              <w:t>产生及排放情况表</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24"/>
              <w:gridCol w:w="965"/>
              <w:gridCol w:w="924"/>
              <w:gridCol w:w="1102"/>
              <w:gridCol w:w="1308"/>
              <w:gridCol w:w="924"/>
              <w:gridCol w:w="1107"/>
            </w:tblGrid>
            <w:tr w14:paraId="1C54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restart"/>
                  <w:vAlign w:val="center"/>
                </w:tcPr>
                <w:p w14:paraId="06863E67">
                  <w:pPr>
                    <w:adjustRightInd w:val="0"/>
                    <w:snapToGrid w:val="0"/>
                    <w:jc w:val="center"/>
                    <w:rPr>
                      <w:b/>
                      <w:sz w:val="21"/>
                      <w:szCs w:val="21"/>
                    </w:rPr>
                  </w:pPr>
                  <w:r>
                    <w:rPr>
                      <w:b/>
                      <w:sz w:val="21"/>
                      <w:szCs w:val="21"/>
                    </w:rPr>
                    <w:t>污染因子</w:t>
                  </w:r>
                </w:p>
              </w:tc>
              <w:tc>
                <w:tcPr>
                  <w:tcW w:w="580" w:type="pct"/>
                  <w:vMerge w:val="restart"/>
                  <w:vAlign w:val="center"/>
                </w:tcPr>
                <w:p w14:paraId="6714A1A0">
                  <w:pPr>
                    <w:adjustRightInd w:val="0"/>
                    <w:snapToGrid w:val="0"/>
                    <w:jc w:val="center"/>
                    <w:rPr>
                      <w:b/>
                      <w:sz w:val="21"/>
                      <w:szCs w:val="21"/>
                    </w:rPr>
                  </w:pPr>
                  <w:r>
                    <w:rPr>
                      <w:b/>
                      <w:sz w:val="21"/>
                      <w:szCs w:val="21"/>
                    </w:rPr>
                    <w:t>产生量（t/a）</w:t>
                  </w:r>
                </w:p>
              </w:tc>
              <w:tc>
                <w:tcPr>
                  <w:tcW w:w="606" w:type="pct"/>
                  <w:vMerge w:val="restart"/>
                  <w:vAlign w:val="center"/>
                </w:tcPr>
                <w:p w14:paraId="1D895769">
                  <w:pPr>
                    <w:adjustRightInd w:val="0"/>
                    <w:snapToGrid w:val="0"/>
                    <w:jc w:val="center"/>
                    <w:rPr>
                      <w:b/>
                      <w:sz w:val="21"/>
                      <w:szCs w:val="21"/>
                    </w:rPr>
                  </w:pPr>
                  <w:r>
                    <w:rPr>
                      <w:b/>
                      <w:sz w:val="21"/>
                      <w:szCs w:val="21"/>
                    </w:rPr>
                    <w:t>削减量（t/a）</w:t>
                  </w:r>
                </w:p>
              </w:tc>
              <w:tc>
                <w:tcPr>
                  <w:tcW w:w="2093" w:type="pct"/>
                  <w:gridSpan w:val="3"/>
                  <w:vAlign w:val="center"/>
                </w:tcPr>
                <w:p w14:paraId="38EB1A48">
                  <w:pPr>
                    <w:adjustRightInd w:val="0"/>
                    <w:snapToGrid w:val="0"/>
                    <w:jc w:val="center"/>
                    <w:rPr>
                      <w:b/>
                      <w:sz w:val="21"/>
                      <w:szCs w:val="21"/>
                    </w:rPr>
                  </w:pPr>
                  <w:r>
                    <w:rPr>
                      <w:b/>
                      <w:sz w:val="21"/>
                      <w:szCs w:val="21"/>
                    </w:rPr>
                    <w:t>有组织（</w:t>
                  </w:r>
                  <w:r>
                    <w:rPr>
                      <w:bCs/>
                      <w:sz w:val="21"/>
                      <w:szCs w:val="21"/>
                    </w:rPr>
                    <w:t>DA00</w:t>
                  </w:r>
                  <w:r>
                    <w:rPr>
                      <w:rFonts w:hint="eastAsia"/>
                      <w:bCs/>
                      <w:sz w:val="21"/>
                      <w:szCs w:val="21"/>
                    </w:rPr>
                    <w:t>4</w:t>
                  </w:r>
                  <w:r>
                    <w:rPr>
                      <w:b/>
                      <w:sz w:val="21"/>
                      <w:szCs w:val="21"/>
                    </w:rPr>
                    <w:t>）</w:t>
                  </w:r>
                </w:p>
              </w:tc>
              <w:tc>
                <w:tcPr>
                  <w:tcW w:w="1273" w:type="pct"/>
                  <w:gridSpan w:val="2"/>
                  <w:vAlign w:val="center"/>
                </w:tcPr>
                <w:p w14:paraId="2E5C0C68">
                  <w:pPr>
                    <w:adjustRightInd w:val="0"/>
                    <w:snapToGrid w:val="0"/>
                    <w:jc w:val="center"/>
                    <w:rPr>
                      <w:b/>
                      <w:sz w:val="21"/>
                      <w:szCs w:val="21"/>
                    </w:rPr>
                  </w:pPr>
                  <w:r>
                    <w:rPr>
                      <w:b/>
                      <w:sz w:val="21"/>
                      <w:szCs w:val="21"/>
                    </w:rPr>
                    <w:t>无组织</w:t>
                  </w:r>
                </w:p>
              </w:tc>
            </w:tr>
            <w:tr w14:paraId="0804D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Merge w:val="continue"/>
                  <w:vAlign w:val="center"/>
                </w:tcPr>
                <w:p w14:paraId="796B2315">
                  <w:pPr>
                    <w:adjustRightInd w:val="0"/>
                    <w:snapToGrid w:val="0"/>
                    <w:jc w:val="center"/>
                    <w:rPr>
                      <w:b/>
                      <w:sz w:val="21"/>
                      <w:szCs w:val="21"/>
                    </w:rPr>
                  </w:pPr>
                </w:p>
              </w:tc>
              <w:tc>
                <w:tcPr>
                  <w:tcW w:w="580" w:type="pct"/>
                  <w:vMerge w:val="continue"/>
                  <w:vAlign w:val="center"/>
                </w:tcPr>
                <w:p w14:paraId="1E2DC7A1">
                  <w:pPr>
                    <w:adjustRightInd w:val="0"/>
                    <w:snapToGrid w:val="0"/>
                    <w:jc w:val="center"/>
                    <w:rPr>
                      <w:b/>
                      <w:sz w:val="21"/>
                      <w:szCs w:val="21"/>
                    </w:rPr>
                  </w:pPr>
                </w:p>
              </w:tc>
              <w:tc>
                <w:tcPr>
                  <w:tcW w:w="606" w:type="pct"/>
                  <w:vMerge w:val="continue"/>
                  <w:vAlign w:val="center"/>
                </w:tcPr>
                <w:p w14:paraId="5D502DA6">
                  <w:pPr>
                    <w:adjustRightInd w:val="0"/>
                    <w:snapToGrid w:val="0"/>
                    <w:jc w:val="center"/>
                    <w:rPr>
                      <w:b/>
                      <w:sz w:val="21"/>
                      <w:szCs w:val="21"/>
                    </w:rPr>
                  </w:pPr>
                </w:p>
              </w:tc>
              <w:tc>
                <w:tcPr>
                  <w:tcW w:w="580" w:type="pct"/>
                  <w:vAlign w:val="center"/>
                </w:tcPr>
                <w:p w14:paraId="67F4220D">
                  <w:pPr>
                    <w:adjustRightInd w:val="0"/>
                    <w:snapToGrid w:val="0"/>
                    <w:jc w:val="center"/>
                    <w:rPr>
                      <w:b/>
                      <w:sz w:val="21"/>
                      <w:szCs w:val="21"/>
                    </w:rPr>
                  </w:pPr>
                  <w:r>
                    <w:rPr>
                      <w:b/>
                      <w:sz w:val="21"/>
                      <w:szCs w:val="21"/>
                    </w:rPr>
                    <w:t>排放量（t/a）</w:t>
                  </w:r>
                </w:p>
              </w:tc>
              <w:tc>
                <w:tcPr>
                  <w:tcW w:w="692" w:type="pct"/>
                  <w:vAlign w:val="center"/>
                </w:tcPr>
                <w:p w14:paraId="1BCB4A61">
                  <w:pPr>
                    <w:adjustRightInd w:val="0"/>
                    <w:snapToGrid w:val="0"/>
                    <w:jc w:val="center"/>
                    <w:rPr>
                      <w:b/>
                      <w:sz w:val="21"/>
                      <w:szCs w:val="21"/>
                    </w:rPr>
                  </w:pPr>
                  <w:r>
                    <w:rPr>
                      <w:b/>
                      <w:sz w:val="21"/>
                      <w:szCs w:val="21"/>
                    </w:rPr>
                    <w:t>排放速率（kg/h）</w:t>
                  </w:r>
                </w:p>
              </w:tc>
              <w:tc>
                <w:tcPr>
                  <w:tcW w:w="820" w:type="pct"/>
                  <w:vAlign w:val="center"/>
                </w:tcPr>
                <w:p w14:paraId="60F1362A">
                  <w:pPr>
                    <w:adjustRightInd w:val="0"/>
                    <w:snapToGrid w:val="0"/>
                    <w:jc w:val="center"/>
                    <w:rPr>
                      <w:b/>
                      <w:sz w:val="21"/>
                      <w:szCs w:val="21"/>
                    </w:rPr>
                  </w:pPr>
                  <w:r>
                    <w:rPr>
                      <w:b/>
                      <w:sz w:val="21"/>
                      <w:szCs w:val="21"/>
                    </w:rPr>
                    <w:t>排放浓度（mg/m</w:t>
                  </w:r>
                  <w:r>
                    <w:rPr>
                      <w:b/>
                      <w:sz w:val="21"/>
                      <w:szCs w:val="21"/>
                      <w:vertAlign w:val="superscript"/>
                    </w:rPr>
                    <w:t>3</w:t>
                  </w:r>
                  <w:r>
                    <w:rPr>
                      <w:b/>
                      <w:sz w:val="21"/>
                      <w:szCs w:val="21"/>
                    </w:rPr>
                    <w:t>）</w:t>
                  </w:r>
                </w:p>
              </w:tc>
              <w:tc>
                <w:tcPr>
                  <w:tcW w:w="580" w:type="pct"/>
                  <w:vAlign w:val="center"/>
                </w:tcPr>
                <w:p w14:paraId="20B7DBAD">
                  <w:pPr>
                    <w:adjustRightInd w:val="0"/>
                    <w:snapToGrid w:val="0"/>
                    <w:jc w:val="center"/>
                    <w:rPr>
                      <w:b/>
                      <w:sz w:val="21"/>
                      <w:szCs w:val="21"/>
                    </w:rPr>
                  </w:pPr>
                  <w:r>
                    <w:rPr>
                      <w:b/>
                      <w:sz w:val="21"/>
                      <w:szCs w:val="21"/>
                    </w:rPr>
                    <w:t>排放量（t/a）</w:t>
                  </w:r>
                </w:p>
              </w:tc>
              <w:tc>
                <w:tcPr>
                  <w:tcW w:w="693" w:type="pct"/>
                  <w:vAlign w:val="center"/>
                </w:tcPr>
                <w:p w14:paraId="48733D56">
                  <w:pPr>
                    <w:adjustRightInd w:val="0"/>
                    <w:snapToGrid w:val="0"/>
                    <w:jc w:val="center"/>
                    <w:rPr>
                      <w:b/>
                      <w:sz w:val="21"/>
                      <w:szCs w:val="21"/>
                    </w:rPr>
                  </w:pPr>
                  <w:r>
                    <w:rPr>
                      <w:b/>
                      <w:sz w:val="21"/>
                      <w:szCs w:val="21"/>
                    </w:rPr>
                    <w:t>排放速率（kg/h）</w:t>
                  </w:r>
                </w:p>
              </w:tc>
            </w:tr>
            <w:tr w14:paraId="68DDE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3D915599">
                  <w:pPr>
                    <w:adjustRightInd w:val="0"/>
                    <w:snapToGrid w:val="0"/>
                    <w:jc w:val="center"/>
                    <w:rPr>
                      <w:b/>
                      <w:sz w:val="21"/>
                      <w:szCs w:val="21"/>
                    </w:rPr>
                  </w:pPr>
                  <w:r>
                    <w:rPr>
                      <w:b/>
                      <w:sz w:val="21"/>
                      <w:szCs w:val="21"/>
                    </w:rPr>
                    <w:t>非甲烷总烃</w:t>
                  </w:r>
                </w:p>
              </w:tc>
              <w:tc>
                <w:tcPr>
                  <w:tcW w:w="580" w:type="pct"/>
                  <w:vAlign w:val="center"/>
                </w:tcPr>
                <w:p w14:paraId="0B8D9624">
                  <w:pPr>
                    <w:adjustRightInd w:val="0"/>
                    <w:snapToGrid w:val="0"/>
                    <w:jc w:val="center"/>
                    <w:rPr>
                      <w:bCs/>
                      <w:sz w:val="21"/>
                      <w:szCs w:val="21"/>
                    </w:rPr>
                  </w:pPr>
                  <w:r>
                    <w:rPr>
                      <w:rFonts w:hint="eastAsia"/>
                      <w:bCs/>
                      <w:sz w:val="21"/>
                      <w:szCs w:val="21"/>
                    </w:rPr>
                    <w:t>9.0</w:t>
                  </w:r>
                </w:p>
              </w:tc>
              <w:tc>
                <w:tcPr>
                  <w:tcW w:w="606" w:type="pct"/>
                  <w:vAlign w:val="center"/>
                </w:tcPr>
                <w:p w14:paraId="51C5A876">
                  <w:pPr>
                    <w:adjustRightInd w:val="0"/>
                    <w:snapToGrid w:val="0"/>
                    <w:jc w:val="center"/>
                    <w:rPr>
                      <w:rFonts w:hint="default" w:eastAsia="宋体"/>
                      <w:bCs/>
                      <w:sz w:val="21"/>
                      <w:szCs w:val="21"/>
                      <w:lang w:val="en-US" w:eastAsia="zh-CN"/>
                    </w:rPr>
                  </w:pPr>
                  <w:r>
                    <w:rPr>
                      <w:rFonts w:hint="eastAsia"/>
                      <w:bCs/>
                      <w:sz w:val="21"/>
                      <w:szCs w:val="21"/>
                      <w:lang w:val="en-US" w:eastAsia="zh-CN"/>
                    </w:rPr>
                    <w:t>7.29</w:t>
                  </w:r>
                </w:p>
              </w:tc>
              <w:tc>
                <w:tcPr>
                  <w:tcW w:w="580" w:type="pct"/>
                  <w:vAlign w:val="center"/>
                </w:tcPr>
                <w:p w14:paraId="26DC985A">
                  <w:pPr>
                    <w:adjustRightInd w:val="0"/>
                    <w:snapToGrid w:val="0"/>
                    <w:jc w:val="center"/>
                    <w:rPr>
                      <w:rFonts w:hint="default" w:eastAsia="宋体"/>
                      <w:bCs/>
                      <w:sz w:val="21"/>
                      <w:szCs w:val="21"/>
                      <w:lang w:val="en-US" w:eastAsia="zh-CN"/>
                    </w:rPr>
                  </w:pPr>
                  <w:r>
                    <w:rPr>
                      <w:rFonts w:hint="eastAsia"/>
                      <w:bCs/>
                      <w:sz w:val="21"/>
                      <w:szCs w:val="21"/>
                      <w:lang w:val="en-US" w:eastAsia="zh-CN"/>
                    </w:rPr>
                    <w:t>0.81</w:t>
                  </w:r>
                </w:p>
              </w:tc>
              <w:tc>
                <w:tcPr>
                  <w:tcW w:w="692" w:type="pct"/>
                  <w:vAlign w:val="center"/>
                </w:tcPr>
                <w:p w14:paraId="77CD743B">
                  <w:pPr>
                    <w:adjustRightInd w:val="0"/>
                    <w:snapToGrid w:val="0"/>
                    <w:jc w:val="center"/>
                    <w:rPr>
                      <w:rFonts w:hint="default" w:eastAsia="宋体"/>
                      <w:bCs/>
                      <w:sz w:val="21"/>
                      <w:szCs w:val="21"/>
                      <w:lang w:val="en-US" w:eastAsia="zh-CN"/>
                    </w:rPr>
                  </w:pPr>
                  <w:r>
                    <w:rPr>
                      <w:rFonts w:hint="eastAsia"/>
                      <w:bCs/>
                      <w:sz w:val="21"/>
                      <w:szCs w:val="21"/>
                    </w:rPr>
                    <w:t>0.1</w:t>
                  </w:r>
                  <w:r>
                    <w:rPr>
                      <w:rFonts w:hint="eastAsia"/>
                      <w:bCs/>
                      <w:sz w:val="21"/>
                      <w:szCs w:val="21"/>
                      <w:lang w:val="en-US" w:eastAsia="zh-CN"/>
                    </w:rPr>
                    <w:t>125</w:t>
                  </w:r>
                </w:p>
              </w:tc>
              <w:tc>
                <w:tcPr>
                  <w:tcW w:w="820" w:type="pct"/>
                  <w:vAlign w:val="center"/>
                </w:tcPr>
                <w:p w14:paraId="1FF0FCD6">
                  <w:pPr>
                    <w:adjustRightInd w:val="0"/>
                    <w:snapToGrid w:val="0"/>
                    <w:jc w:val="center"/>
                    <w:rPr>
                      <w:rFonts w:hint="default" w:eastAsia="宋体"/>
                      <w:bCs/>
                      <w:sz w:val="21"/>
                      <w:szCs w:val="21"/>
                      <w:lang w:val="en-US" w:eastAsia="zh-CN"/>
                    </w:rPr>
                  </w:pPr>
                  <w:r>
                    <w:rPr>
                      <w:rFonts w:hint="eastAsia"/>
                      <w:bCs/>
                      <w:sz w:val="21"/>
                      <w:szCs w:val="21"/>
                      <w:lang w:val="en-US" w:eastAsia="zh-CN"/>
                    </w:rPr>
                    <w:t>9.375</w:t>
                  </w:r>
                </w:p>
              </w:tc>
              <w:tc>
                <w:tcPr>
                  <w:tcW w:w="580" w:type="pct"/>
                  <w:vAlign w:val="center"/>
                </w:tcPr>
                <w:p w14:paraId="7B206BE4">
                  <w:pPr>
                    <w:adjustRightInd w:val="0"/>
                    <w:snapToGrid w:val="0"/>
                    <w:jc w:val="center"/>
                    <w:rPr>
                      <w:rFonts w:hint="default" w:eastAsia="宋体"/>
                      <w:bCs/>
                      <w:sz w:val="21"/>
                      <w:szCs w:val="21"/>
                      <w:lang w:val="en-US" w:eastAsia="zh-CN"/>
                    </w:rPr>
                  </w:pPr>
                  <w:r>
                    <w:rPr>
                      <w:rFonts w:hint="eastAsia"/>
                      <w:bCs/>
                      <w:sz w:val="21"/>
                      <w:szCs w:val="21"/>
                      <w:lang w:val="en-US" w:eastAsia="zh-CN"/>
                    </w:rPr>
                    <w:t>0.9</w:t>
                  </w:r>
                </w:p>
              </w:tc>
              <w:tc>
                <w:tcPr>
                  <w:tcW w:w="693" w:type="pct"/>
                  <w:vAlign w:val="center"/>
                </w:tcPr>
                <w:p w14:paraId="25D7F4FA">
                  <w:pPr>
                    <w:adjustRightInd w:val="0"/>
                    <w:snapToGrid w:val="0"/>
                    <w:jc w:val="center"/>
                    <w:rPr>
                      <w:rFonts w:hint="default" w:eastAsia="宋体"/>
                      <w:bCs/>
                      <w:sz w:val="21"/>
                      <w:szCs w:val="21"/>
                      <w:lang w:val="en-US" w:eastAsia="zh-CN"/>
                    </w:rPr>
                  </w:pPr>
                  <w:r>
                    <w:rPr>
                      <w:rFonts w:hint="eastAsia"/>
                      <w:bCs/>
                      <w:sz w:val="21"/>
                      <w:szCs w:val="21"/>
                    </w:rPr>
                    <w:t>0.</w:t>
                  </w:r>
                  <w:r>
                    <w:rPr>
                      <w:rFonts w:hint="eastAsia"/>
                      <w:bCs/>
                      <w:sz w:val="21"/>
                      <w:szCs w:val="21"/>
                      <w:lang w:val="en-US" w:eastAsia="zh-CN"/>
                    </w:rPr>
                    <w:t>125</w:t>
                  </w:r>
                </w:p>
              </w:tc>
            </w:tr>
            <w:tr w14:paraId="55C1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248FD99F">
                  <w:pPr>
                    <w:adjustRightInd w:val="0"/>
                    <w:snapToGrid w:val="0"/>
                    <w:jc w:val="center"/>
                    <w:rPr>
                      <w:b/>
                      <w:sz w:val="21"/>
                      <w:szCs w:val="21"/>
                    </w:rPr>
                  </w:pPr>
                  <w:r>
                    <w:rPr>
                      <w:rFonts w:hint="eastAsia"/>
                      <w:b/>
                      <w:sz w:val="21"/>
                      <w:szCs w:val="21"/>
                    </w:rPr>
                    <w:t>HCl</w:t>
                  </w:r>
                </w:p>
              </w:tc>
              <w:tc>
                <w:tcPr>
                  <w:tcW w:w="580" w:type="pct"/>
                  <w:vAlign w:val="center"/>
                </w:tcPr>
                <w:p w14:paraId="3D9C7890">
                  <w:pPr>
                    <w:adjustRightInd w:val="0"/>
                    <w:snapToGrid w:val="0"/>
                    <w:jc w:val="center"/>
                    <w:rPr>
                      <w:bCs/>
                      <w:sz w:val="21"/>
                      <w:szCs w:val="21"/>
                    </w:rPr>
                  </w:pPr>
                  <w:r>
                    <w:rPr>
                      <w:rFonts w:hint="eastAsia"/>
                      <w:bCs/>
                      <w:sz w:val="21"/>
                      <w:szCs w:val="21"/>
                    </w:rPr>
                    <w:t>0.045</w:t>
                  </w:r>
                </w:p>
              </w:tc>
              <w:tc>
                <w:tcPr>
                  <w:tcW w:w="606" w:type="pct"/>
                  <w:vAlign w:val="center"/>
                </w:tcPr>
                <w:p w14:paraId="36C9F0F3">
                  <w:pPr>
                    <w:adjustRightInd w:val="0"/>
                    <w:snapToGrid w:val="0"/>
                    <w:jc w:val="center"/>
                    <w:rPr>
                      <w:rFonts w:hint="default" w:eastAsia="宋体"/>
                      <w:bCs/>
                      <w:sz w:val="21"/>
                      <w:szCs w:val="21"/>
                      <w:lang w:val="en-US" w:eastAsia="zh-CN"/>
                    </w:rPr>
                  </w:pPr>
                  <w:r>
                    <w:rPr>
                      <w:rFonts w:hint="eastAsia"/>
                      <w:bCs/>
                      <w:sz w:val="21"/>
                      <w:szCs w:val="21"/>
                    </w:rPr>
                    <w:t>0.03</w:t>
                  </w:r>
                  <w:r>
                    <w:rPr>
                      <w:rFonts w:hint="eastAsia"/>
                      <w:bCs/>
                      <w:sz w:val="21"/>
                      <w:szCs w:val="21"/>
                      <w:lang w:val="en-US" w:eastAsia="zh-CN"/>
                    </w:rPr>
                    <w:t>85</w:t>
                  </w:r>
                </w:p>
              </w:tc>
              <w:tc>
                <w:tcPr>
                  <w:tcW w:w="580" w:type="pct"/>
                  <w:vAlign w:val="center"/>
                </w:tcPr>
                <w:p w14:paraId="7C2D5C70">
                  <w:pPr>
                    <w:adjustRightInd w:val="0"/>
                    <w:snapToGrid w:val="0"/>
                    <w:jc w:val="center"/>
                    <w:rPr>
                      <w:rFonts w:hint="eastAsia" w:eastAsia="宋体"/>
                      <w:bCs/>
                      <w:sz w:val="21"/>
                      <w:szCs w:val="21"/>
                      <w:lang w:eastAsia="zh-CN"/>
                    </w:rPr>
                  </w:pPr>
                  <w:r>
                    <w:rPr>
                      <w:rFonts w:hint="eastAsia"/>
                      <w:bCs/>
                      <w:sz w:val="21"/>
                      <w:szCs w:val="21"/>
                    </w:rPr>
                    <w:t>0.00</w:t>
                  </w:r>
                  <w:r>
                    <w:rPr>
                      <w:rFonts w:hint="eastAsia"/>
                      <w:bCs/>
                      <w:sz w:val="21"/>
                      <w:szCs w:val="21"/>
                      <w:lang w:val="en-US" w:eastAsia="zh-CN"/>
                    </w:rPr>
                    <w:t>2</w:t>
                  </w:r>
                </w:p>
              </w:tc>
              <w:tc>
                <w:tcPr>
                  <w:tcW w:w="692" w:type="pct"/>
                  <w:vAlign w:val="center"/>
                </w:tcPr>
                <w:p w14:paraId="73401D6F">
                  <w:pPr>
                    <w:adjustRightInd w:val="0"/>
                    <w:snapToGrid w:val="0"/>
                    <w:jc w:val="center"/>
                    <w:rPr>
                      <w:bCs/>
                      <w:sz w:val="21"/>
                      <w:szCs w:val="21"/>
                    </w:rPr>
                  </w:pPr>
                  <w:r>
                    <w:rPr>
                      <w:rFonts w:hint="eastAsia"/>
                      <w:bCs/>
                      <w:sz w:val="21"/>
                      <w:szCs w:val="21"/>
                    </w:rPr>
                    <w:t>0.0003</w:t>
                  </w:r>
                </w:p>
              </w:tc>
              <w:tc>
                <w:tcPr>
                  <w:tcW w:w="820" w:type="pct"/>
                  <w:vAlign w:val="center"/>
                </w:tcPr>
                <w:p w14:paraId="7DB62920">
                  <w:pPr>
                    <w:adjustRightInd w:val="0"/>
                    <w:snapToGrid w:val="0"/>
                    <w:jc w:val="center"/>
                    <w:rPr>
                      <w:bCs/>
                      <w:sz w:val="21"/>
                      <w:szCs w:val="21"/>
                    </w:rPr>
                  </w:pPr>
                  <w:r>
                    <w:rPr>
                      <w:rFonts w:hint="eastAsia"/>
                      <w:bCs/>
                      <w:sz w:val="21"/>
                      <w:szCs w:val="21"/>
                    </w:rPr>
                    <w:t>0.025</w:t>
                  </w:r>
                </w:p>
              </w:tc>
              <w:tc>
                <w:tcPr>
                  <w:tcW w:w="580" w:type="pct"/>
                  <w:vAlign w:val="center"/>
                </w:tcPr>
                <w:p w14:paraId="5054AFED">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45</w:t>
                  </w:r>
                </w:p>
              </w:tc>
              <w:tc>
                <w:tcPr>
                  <w:tcW w:w="693" w:type="pct"/>
                  <w:vAlign w:val="center"/>
                </w:tcPr>
                <w:p w14:paraId="5BEE0850">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06</w:t>
                  </w:r>
                </w:p>
              </w:tc>
            </w:tr>
            <w:tr w14:paraId="52036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446" w:type="pct"/>
                  <w:vAlign w:val="center"/>
                </w:tcPr>
                <w:p w14:paraId="0768F734">
                  <w:pPr>
                    <w:adjustRightInd w:val="0"/>
                    <w:snapToGrid w:val="0"/>
                    <w:jc w:val="center"/>
                    <w:rPr>
                      <w:b/>
                      <w:sz w:val="21"/>
                      <w:szCs w:val="21"/>
                    </w:rPr>
                  </w:pPr>
                  <w:r>
                    <w:rPr>
                      <w:rFonts w:hint="eastAsia"/>
                      <w:b/>
                      <w:sz w:val="21"/>
                      <w:szCs w:val="21"/>
                    </w:rPr>
                    <w:t>颗粒物</w:t>
                  </w:r>
                </w:p>
              </w:tc>
              <w:tc>
                <w:tcPr>
                  <w:tcW w:w="580" w:type="pct"/>
                  <w:vAlign w:val="center"/>
                </w:tcPr>
                <w:p w14:paraId="60E02F8D">
                  <w:pPr>
                    <w:adjustRightInd w:val="0"/>
                    <w:snapToGrid w:val="0"/>
                    <w:jc w:val="center"/>
                    <w:rPr>
                      <w:rFonts w:hint="default" w:eastAsia="宋体"/>
                      <w:bCs/>
                      <w:sz w:val="21"/>
                      <w:szCs w:val="21"/>
                      <w:lang w:val="en-US" w:eastAsia="zh-CN"/>
                    </w:rPr>
                  </w:pPr>
                  <w:r>
                    <w:rPr>
                      <w:rFonts w:hint="eastAsia"/>
                      <w:bCs/>
                      <w:sz w:val="21"/>
                      <w:szCs w:val="21"/>
                      <w:lang w:val="en-US" w:eastAsia="zh-CN"/>
                    </w:rPr>
                    <w:t>4.2</w:t>
                  </w:r>
                </w:p>
              </w:tc>
              <w:tc>
                <w:tcPr>
                  <w:tcW w:w="606" w:type="pct"/>
                  <w:vAlign w:val="center"/>
                </w:tcPr>
                <w:p w14:paraId="138D0DC4">
                  <w:pPr>
                    <w:adjustRightInd w:val="0"/>
                    <w:snapToGrid w:val="0"/>
                    <w:jc w:val="center"/>
                    <w:rPr>
                      <w:rFonts w:hint="default" w:eastAsia="宋体"/>
                      <w:bCs/>
                      <w:sz w:val="21"/>
                      <w:szCs w:val="21"/>
                      <w:lang w:val="en-US" w:eastAsia="zh-CN"/>
                    </w:rPr>
                  </w:pPr>
                  <w:r>
                    <w:rPr>
                      <w:rFonts w:hint="eastAsia"/>
                      <w:bCs/>
                      <w:sz w:val="21"/>
                      <w:szCs w:val="21"/>
                      <w:lang w:val="en-US" w:eastAsia="zh-CN"/>
                    </w:rPr>
                    <w:t>3.402</w:t>
                  </w:r>
                </w:p>
              </w:tc>
              <w:tc>
                <w:tcPr>
                  <w:tcW w:w="580" w:type="pct"/>
                  <w:vAlign w:val="center"/>
                </w:tcPr>
                <w:p w14:paraId="2555CE01">
                  <w:pPr>
                    <w:adjustRightInd w:val="0"/>
                    <w:snapToGrid w:val="0"/>
                    <w:jc w:val="center"/>
                    <w:rPr>
                      <w:rFonts w:hint="default" w:eastAsia="宋体"/>
                      <w:bCs/>
                      <w:sz w:val="21"/>
                      <w:szCs w:val="21"/>
                      <w:lang w:val="en-US" w:eastAsia="zh-CN"/>
                    </w:rPr>
                  </w:pPr>
                  <w:r>
                    <w:rPr>
                      <w:rFonts w:hint="eastAsia"/>
                      <w:bCs/>
                      <w:sz w:val="21"/>
                      <w:szCs w:val="21"/>
                    </w:rPr>
                    <w:t>0.</w:t>
                  </w:r>
                  <w:r>
                    <w:rPr>
                      <w:rFonts w:hint="eastAsia"/>
                      <w:bCs/>
                      <w:sz w:val="21"/>
                      <w:szCs w:val="21"/>
                      <w:lang w:val="en-US" w:eastAsia="zh-CN"/>
                    </w:rPr>
                    <w:t>378</w:t>
                  </w:r>
                </w:p>
              </w:tc>
              <w:tc>
                <w:tcPr>
                  <w:tcW w:w="692" w:type="pct"/>
                  <w:vAlign w:val="center"/>
                </w:tcPr>
                <w:p w14:paraId="67CCBFDF">
                  <w:pPr>
                    <w:adjustRightInd w:val="0"/>
                    <w:snapToGrid w:val="0"/>
                    <w:jc w:val="center"/>
                    <w:rPr>
                      <w:rFonts w:hint="default" w:eastAsia="宋体"/>
                      <w:bCs/>
                      <w:sz w:val="21"/>
                      <w:szCs w:val="21"/>
                      <w:lang w:val="en-US" w:eastAsia="zh-CN"/>
                    </w:rPr>
                  </w:pPr>
                  <w:r>
                    <w:rPr>
                      <w:rFonts w:hint="eastAsia"/>
                      <w:bCs/>
                      <w:sz w:val="21"/>
                      <w:szCs w:val="21"/>
                    </w:rPr>
                    <w:t>0.0</w:t>
                  </w:r>
                  <w:r>
                    <w:rPr>
                      <w:rFonts w:hint="eastAsia"/>
                      <w:bCs/>
                      <w:sz w:val="21"/>
                      <w:szCs w:val="21"/>
                      <w:lang w:val="en-US" w:eastAsia="zh-CN"/>
                    </w:rPr>
                    <w:t>525</w:t>
                  </w:r>
                </w:p>
              </w:tc>
              <w:tc>
                <w:tcPr>
                  <w:tcW w:w="820" w:type="pct"/>
                  <w:vAlign w:val="center"/>
                </w:tcPr>
                <w:p w14:paraId="34E9C11A">
                  <w:pPr>
                    <w:adjustRightInd w:val="0"/>
                    <w:snapToGrid w:val="0"/>
                    <w:jc w:val="center"/>
                    <w:rPr>
                      <w:rFonts w:hint="default" w:eastAsia="宋体"/>
                      <w:bCs/>
                      <w:sz w:val="21"/>
                      <w:szCs w:val="21"/>
                      <w:lang w:val="en-US" w:eastAsia="zh-CN"/>
                    </w:rPr>
                  </w:pPr>
                  <w:r>
                    <w:rPr>
                      <w:rFonts w:hint="eastAsia"/>
                      <w:bCs/>
                      <w:sz w:val="21"/>
                      <w:szCs w:val="21"/>
                      <w:lang w:val="en-US" w:eastAsia="zh-CN"/>
                    </w:rPr>
                    <w:t>4.375</w:t>
                  </w:r>
                </w:p>
              </w:tc>
              <w:tc>
                <w:tcPr>
                  <w:tcW w:w="580" w:type="pct"/>
                  <w:vAlign w:val="center"/>
                </w:tcPr>
                <w:p w14:paraId="06A1DC4A">
                  <w:pPr>
                    <w:adjustRightInd w:val="0"/>
                    <w:snapToGrid w:val="0"/>
                    <w:jc w:val="center"/>
                    <w:rPr>
                      <w:rFonts w:hint="default" w:eastAsia="宋体"/>
                      <w:bCs/>
                      <w:sz w:val="21"/>
                      <w:szCs w:val="21"/>
                      <w:lang w:val="en-US" w:eastAsia="zh-CN"/>
                    </w:rPr>
                  </w:pPr>
                  <w:r>
                    <w:rPr>
                      <w:rFonts w:hint="eastAsia"/>
                      <w:bCs/>
                      <w:sz w:val="21"/>
                      <w:szCs w:val="21"/>
                      <w:lang w:val="en-US" w:eastAsia="zh-CN"/>
                    </w:rPr>
                    <w:t>0.42</w:t>
                  </w:r>
                </w:p>
              </w:tc>
              <w:tc>
                <w:tcPr>
                  <w:tcW w:w="693" w:type="pct"/>
                  <w:vAlign w:val="center"/>
                </w:tcPr>
                <w:p w14:paraId="0A8CAE32">
                  <w:pPr>
                    <w:adjustRightInd w:val="0"/>
                    <w:snapToGrid w:val="0"/>
                    <w:jc w:val="center"/>
                    <w:rPr>
                      <w:rFonts w:hint="default" w:eastAsia="宋体"/>
                      <w:bCs/>
                      <w:sz w:val="21"/>
                      <w:szCs w:val="21"/>
                      <w:lang w:val="en-US" w:eastAsia="zh-CN"/>
                    </w:rPr>
                  </w:pPr>
                  <w:r>
                    <w:rPr>
                      <w:rFonts w:hint="eastAsia"/>
                      <w:bCs/>
                      <w:sz w:val="21"/>
                      <w:szCs w:val="21"/>
                    </w:rPr>
                    <w:t>0.</w:t>
                  </w:r>
                  <w:r>
                    <w:rPr>
                      <w:rFonts w:hint="eastAsia"/>
                      <w:bCs/>
                      <w:sz w:val="21"/>
                      <w:szCs w:val="21"/>
                      <w:lang w:val="en-US" w:eastAsia="zh-CN"/>
                    </w:rPr>
                    <w:t>0583</w:t>
                  </w:r>
                </w:p>
              </w:tc>
            </w:tr>
            <w:tr w14:paraId="2FBA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00" w:type="pct"/>
                  <w:gridSpan w:val="8"/>
                  <w:vAlign w:val="center"/>
                </w:tcPr>
                <w:p w14:paraId="679A9106">
                  <w:pPr>
                    <w:autoSpaceDE w:val="0"/>
                    <w:adjustRightInd w:val="0"/>
                    <w:snapToGrid w:val="0"/>
                    <w:rPr>
                      <w:bCs/>
                      <w:sz w:val="21"/>
                      <w:szCs w:val="21"/>
                    </w:rPr>
                  </w:pPr>
                  <w:r>
                    <w:rPr>
                      <w:b/>
                      <w:bCs/>
                      <w:sz w:val="21"/>
                      <w:szCs w:val="21"/>
                    </w:rPr>
                    <w:t>注：</w:t>
                  </w:r>
                  <w:r>
                    <w:rPr>
                      <w:rFonts w:hint="eastAsia"/>
                      <w:b/>
                      <w:bCs/>
                      <w:sz w:val="21"/>
                      <w:szCs w:val="21"/>
                    </w:rPr>
                    <w:t>新能源线缆车间风机风量为12000m</w:t>
                  </w:r>
                  <w:r>
                    <w:rPr>
                      <w:rFonts w:hint="eastAsia"/>
                      <w:b/>
                      <w:bCs/>
                      <w:sz w:val="21"/>
                      <w:szCs w:val="21"/>
                      <w:vertAlign w:val="superscript"/>
                    </w:rPr>
                    <w:t>3</w:t>
                  </w:r>
                  <w:r>
                    <w:rPr>
                      <w:rFonts w:hint="eastAsia"/>
                      <w:b/>
                      <w:bCs/>
                      <w:sz w:val="21"/>
                      <w:szCs w:val="21"/>
                    </w:rPr>
                    <w:t>/h，处理后经15m高排气筒排放.</w:t>
                  </w:r>
                </w:p>
              </w:tc>
            </w:tr>
          </w:tbl>
          <w:p w14:paraId="7289DB5F">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ascii="Times New Roman Regular" w:hAnsi="Times New Roman Regular" w:eastAsia="宋体" w:cs="Times New Roman Regular"/>
                <w:color w:val="000000" w:themeColor="text1"/>
                <w:szCs w:val="24"/>
                <w14:textFill>
                  <w14:solidFill>
                    <w14:schemeClr w14:val="tx1"/>
                  </w14:solidFill>
                </w14:textFill>
              </w:rPr>
              <w:t>（4）食堂油烟废气</w:t>
            </w:r>
          </w:p>
          <w:p w14:paraId="2DB1C665">
            <w:pPr>
              <w:pStyle w:val="5"/>
              <w:keepNext/>
              <w:spacing w:before="0"/>
              <w:ind w:firstLine="480" w:firstLineChars="200"/>
              <w:jc w:val="left"/>
              <w:rPr>
                <w:rFonts w:ascii="Times New Roman Regular" w:hAnsi="Times New Roman Regular" w:eastAsia="宋体" w:cs="Times New Roman Regular"/>
                <w:color w:val="000000" w:themeColor="text1"/>
                <w:szCs w:val="24"/>
                <w14:textFill>
                  <w14:solidFill>
                    <w14:schemeClr w14:val="tx1"/>
                  </w14:solidFill>
                </w14:textFill>
              </w:rPr>
            </w:pPr>
            <w:r>
              <w:rPr>
                <w:rFonts w:hint="eastAsia" w:ascii="Times New Roman Regular" w:hAnsi="Times New Roman Regular" w:eastAsia="宋体" w:cs="Times New Roman Regular"/>
                <w:color w:val="000000" w:themeColor="text1"/>
                <w:szCs w:val="24"/>
                <w14:textFill>
                  <w14:solidFill>
                    <w14:schemeClr w14:val="tx1"/>
                  </w14:solidFill>
                </w14:textFill>
              </w:rPr>
              <w:t>本项目设置食堂，为厂内员工提供就餐。食堂使用天然气和电作为燃料，属于清洁能源，燃烧后产生CO</w:t>
            </w:r>
            <w:r>
              <w:rPr>
                <w:rFonts w:hint="eastAsia" w:ascii="Times New Roman Regular" w:hAnsi="Times New Roman Regular" w:eastAsia="宋体" w:cs="Times New Roman Regular"/>
                <w:color w:val="000000" w:themeColor="text1"/>
                <w:szCs w:val="24"/>
                <w:vertAlign w:val="subscript"/>
                <w14:textFill>
                  <w14:solidFill>
                    <w14:schemeClr w14:val="tx1"/>
                  </w14:solidFill>
                </w14:textFill>
              </w:rPr>
              <w:t>2</w:t>
            </w:r>
            <w:r>
              <w:rPr>
                <w:rFonts w:hint="eastAsia" w:ascii="Times New Roman Regular" w:hAnsi="Times New Roman Regular" w:eastAsia="宋体" w:cs="Times New Roman Regular"/>
                <w:color w:val="000000" w:themeColor="text1"/>
                <w:szCs w:val="24"/>
                <w14:textFill>
                  <w14:solidFill>
                    <w14:schemeClr w14:val="tx1"/>
                  </w14:solidFill>
                </w14:textFill>
              </w:rPr>
              <w:t>和水，对环境影响较小，运营期食堂产生的废气主要为油烟废气，食堂使用时间每天2小时，年使用时间600h。项目人均日食用油量30g，折算每餐使用油量10g，食堂早、中、晚就餐人数120人，则食用油使用量为1.08t/a，油烟产生量按照使用量的3%计，则食堂油烟产生量约为0.0324t/a，产生速率约为0.054kg/h，产生浓度约7.5mg/m</w:t>
            </w:r>
            <w:r>
              <w:rPr>
                <w:rFonts w:hint="eastAsia" w:ascii="Times New Roman Regular" w:hAnsi="Times New Roman Regular" w:eastAsia="宋体" w:cs="Times New Roman Regular"/>
                <w:color w:val="000000" w:themeColor="text1"/>
                <w:szCs w:val="24"/>
                <w:vertAlign w:val="superscript"/>
                <w14:textFill>
                  <w14:solidFill>
                    <w14:schemeClr w14:val="tx1"/>
                  </w14:solidFill>
                </w14:textFill>
              </w:rPr>
              <w:t>3</w:t>
            </w:r>
            <w:r>
              <w:rPr>
                <w:rFonts w:hint="eastAsia" w:ascii="Times New Roman Regular" w:hAnsi="Times New Roman Regular" w:eastAsia="宋体" w:cs="Times New Roman Regular"/>
                <w:color w:val="000000" w:themeColor="text1"/>
                <w:szCs w:val="24"/>
                <w14:textFill>
                  <w14:solidFill>
                    <w14:schemeClr w14:val="tx1"/>
                  </w14:solidFill>
                </w14:textFill>
              </w:rPr>
              <w:t>，食堂安装有油烟净化设备，油烟经油烟机净化后通过高于楼顶的烟道达标排放，油烟去除效率按85%计，油烟机风量按照7200m</w:t>
            </w:r>
            <w:r>
              <w:rPr>
                <w:rFonts w:hint="eastAsia" w:ascii="Times New Roman Regular" w:hAnsi="Times New Roman Regular" w:eastAsia="宋体" w:cs="Times New Roman Regular"/>
                <w:color w:val="000000" w:themeColor="text1"/>
                <w:szCs w:val="24"/>
                <w:vertAlign w:val="superscript"/>
                <w14:textFill>
                  <w14:solidFill>
                    <w14:schemeClr w14:val="tx1"/>
                  </w14:solidFill>
                </w14:textFill>
              </w:rPr>
              <w:t>3</w:t>
            </w:r>
            <w:r>
              <w:rPr>
                <w:rFonts w:hint="eastAsia" w:ascii="Times New Roman Regular" w:hAnsi="Times New Roman Regular" w:eastAsia="宋体" w:cs="Times New Roman Regular"/>
                <w:color w:val="000000" w:themeColor="text1"/>
                <w:szCs w:val="24"/>
                <w14:textFill>
                  <w14:solidFill>
                    <w14:schemeClr w14:val="tx1"/>
                  </w14:solidFill>
                </w14:textFill>
              </w:rPr>
              <w:t>/h计，油烟排放量为4.86kg/a，排放速率约为0.0081kg/h，排放浓度 1.12mg/m</w:t>
            </w:r>
            <w:r>
              <w:rPr>
                <w:rFonts w:hint="eastAsia" w:ascii="Times New Roman Regular" w:hAnsi="Times New Roman Regular" w:eastAsia="宋体" w:cs="Times New Roman Regular"/>
                <w:color w:val="000000" w:themeColor="text1"/>
                <w:szCs w:val="24"/>
                <w:vertAlign w:val="superscript"/>
                <w14:textFill>
                  <w14:solidFill>
                    <w14:schemeClr w14:val="tx1"/>
                  </w14:solidFill>
                </w14:textFill>
              </w:rPr>
              <w:t>3</w:t>
            </w:r>
            <w:r>
              <w:rPr>
                <w:rFonts w:hint="eastAsia" w:ascii="Times New Roman Regular" w:hAnsi="Times New Roman Regular" w:eastAsia="宋体" w:cs="Times New Roman Regular"/>
                <w:color w:val="000000" w:themeColor="text1"/>
                <w:szCs w:val="24"/>
                <w14:textFill>
                  <w14:solidFill>
                    <w14:schemeClr w14:val="tx1"/>
                  </w14:solidFill>
                </w14:textFill>
              </w:rPr>
              <w:t>，因此满足《饮食业油烟排放标准》(试行)(GB18483-2001)大型类标准（2.0mg/m</w:t>
            </w:r>
            <w:r>
              <w:rPr>
                <w:rFonts w:hint="eastAsia" w:ascii="Times New Roman Regular" w:hAnsi="Times New Roman Regular" w:eastAsia="宋体" w:cs="Times New Roman Regular"/>
                <w:color w:val="000000" w:themeColor="text1"/>
                <w:szCs w:val="24"/>
                <w:vertAlign w:val="superscript"/>
                <w14:textFill>
                  <w14:solidFill>
                    <w14:schemeClr w14:val="tx1"/>
                  </w14:solidFill>
                </w14:textFill>
              </w:rPr>
              <w:t>3</w:t>
            </w:r>
            <w:r>
              <w:rPr>
                <w:rFonts w:hint="eastAsia" w:ascii="Times New Roman Regular" w:hAnsi="Times New Roman Regular" w:eastAsia="宋体" w:cs="Times New Roman Regular"/>
                <w:color w:val="000000" w:themeColor="text1"/>
                <w:szCs w:val="24"/>
                <w14:textFill>
                  <w14:solidFill>
                    <w14:schemeClr w14:val="tx1"/>
                  </w14:solidFill>
                </w14:textFill>
              </w:rPr>
              <w:t>）要求。</w:t>
            </w:r>
          </w:p>
          <w:p w14:paraId="1814E656">
            <w:pPr>
              <w:adjustRightInd w:val="0"/>
              <w:snapToGrid w:val="0"/>
              <w:spacing w:before="156" w:beforeLines="50"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建设项目有组织废气</w:t>
            </w:r>
            <w:r>
              <w:rPr>
                <w:rFonts w:hint="eastAsia"/>
                <w:bCs/>
                <w:color w:val="000000" w:themeColor="text1"/>
                <w:lang w:val="en-US" w:eastAsia="zh-CN"/>
                <w14:textFill>
                  <w14:solidFill>
                    <w14:schemeClr w14:val="tx1"/>
                  </w14:solidFill>
                </w14:textFill>
              </w:rPr>
              <w:t>排放</w:t>
            </w:r>
            <w:r>
              <w:rPr>
                <w:rFonts w:hint="eastAsia"/>
                <w:bCs/>
                <w:color w:val="000000" w:themeColor="text1"/>
                <w14:textFill>
                  <w14:solidFill>
                    <w14:schemeClr w14:val="tx1"/>
                  </w14:solidFill>
                </w14:textFill>
              </w:rPr>
              <w:t>情况详见表4.2-5。</w:t>
            </w:r>
          </w:p>
          <w:p w14:paraId="288FA542">
            <w:pPr>
              <w:autoSpaceDE w:val="0"/>
              <w:adjustRightInd w:val="0"/>
              <w:snapToGrid w:val="0"/>
              <w:jc w:val="center"/>
              <w:rPr>
                <w:rFonts w:hint="eastAsia"/>
                <w:b/>
                <w:bCs/>
              </w:rPr>
            </w:pPr>
            <w:r>
              <w:rPr>
                <w:b/>
                <w:bCs/>
              </w:rPr>
              <w:t>表</w:t>
            </w:r>
            <w:r>
              <w:rPr>
                <w:rFonts w:hint="eastAsia"/>
                <w:b/>
                <w:bCs/>
              </w:rPr>
              <w:t>4.2</w:t>
            </w:r>
            <w:r>
              <w:rPr>
                <w:b/>
                <w:bCs/>
              </w:rPr>
              <w:t>-</w:t>
            </w:r>
            <w:r>
              <w:rPr>
                <w:rFonts w:hint="eastAsia"/>
                <w:b/>
                <w:bCs/>
                <w:lang w:val="en-US" w:eastAsia="zh-CN"/>
              </w:rPr>
              <w:t>5</w:t>
            </w:r>
            <w:r>
              <w:rPr>
                <w:rFonts w:hint="eastAsia"/>
                <w:b/>
                <w:bCs/>
              </w:rPr>
              <w:t xml:space="preserve"> </w:t>
            </w:r>
            <w:r>
              <w:rPr>
                <w:b/>
                <w:bCs/>
              </w:rPr>
              <w:t xml:space="preserve"> </w:t>
            </w:r>
            <w:r>
              <w:rPr>
                <w:rFonts w:hint="eastAsia"/>
                <w:b/>
                <w:bCs/>
              </w:rPr>
              <w:t>项目有组织废气排放情况汇总</w:t>
            </w:r>
          </w:p>
          <w:tbl>
            <w:tblPr>
              <w:tblStyle w:val="15"/>
              <w:tblW w:w="79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420"/>
              <w:gridCol w:w="653"/>
              <w:gridCol w:w="482"/>
              <w:gridCol w:w="662"/>
              <w:gridCol w:w="530"/>
              <w:gridCol w:w="1068"/>
              <w:gridCol w:w="399"/>
              <w:gridCol w:w="586"/>
              <w:gridCol w:w="522"/>
              <w:gridCol w:w="562"/>
              <w:gridCol w:w="509"/>
              <w:gridCol w:w="436"/>
              <w:gridCol w:w="545"/>
            </w:tblGrid>
            <w:tr w14:paraId="72F7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339" w:type="pct"/>
                  <w:vMerge w:val="restart"/>
                  <w:vAlign w:val="center"/>
                </w:tcPr>
                <w:p w14:paraId="06A01995">
                  <w:pPr>
                    <w:adjustRightInd w:val="0"/>
                    <w:snapToGrid w:val="0"/>
                    <w:jc w:val="center"/>
                    <w:rPr>
                      <w:rFonts w:hint="default" w:eastAsia="宋体"/>
                      <w:b/>
                      <w:bCs w:val="0"/>
                      <w:sz w:val="21"/>
                      <w:szCs w:val="21"/>
                      <w:lang w:val="en-US" w:eastAsia="zh-CN"/>
                    </w:rPr>
                  </w:pPr>
                  <w:r>
                    <w:rPr>
                      <w:rFonts w:hint="eastAsia"/>
                      <w:b/>
                      <w:bCs w:val="0"/>
                      <w:sz w:val="21"/>
                      <w:szCs w:val="21"/>
                      <w:lang w:val="en-US" w:eastAsia="zh-CN"/>
                    </w:rPr>
                    <w:t>排气筒编号</w:t>
                  </w:r>
                </w:p>
              </w:tc>
              <w:tc>
                <w:tcPr>
                  <w:tcW w:w="265" w:type="pct"/>
                  <w:vMerge w:val="restart"/>
                  <w:vAlign w:val="center"/>
                </w:tcPr>
                <w:p w14:paraId="05060D00">
                  <w:pPr>
                    <w:adjustRightInd w:val="0"/>
                    <w:snapToGrid w:val="0"/>
                    <w:jc w:val="center"/>
                    <w:rPr>
                      <w:rFonts w:hint="default" w:eastAsia="宋体"/>
                      <w:b/>
                      <w:bCs w:val="0"/>
                      <w:sz w:val="21"/>
                      <w:szCs w:val="21"/>
                      <w:lang w:val="en-US" w:eastAsia="zh-CN"/>
                    </w:rPr>
                  </w:pPr>
                  <w:r>
                    <w:rPr>
                      <w:rFonts w:hint="eastAsia"/>
                      <w:b/>
                      <w:bCs w:val="0"/>
                      <w:sz w:val="21"/>
                      <w:szCs w:val="21"/>
                      <w:lang w:val="en-US" w:eastAsia="zh-CN"/>
                    </w:rPr>
                    <w:t>废气污染物</w:t>
                  </w:r>
                </w:p>
              </w:tc>
              <w:tc>
                <w:tcPr>
                  <w:tcW w:w="412" w:type="pct"/>
                  <w:vMerge w:val="restart"/>
                  <w:vAlign w:val="center"/>
                </w:tcPr>
                <w:p w14:paraId="6A4A60E7">
                  <w:pPr>
                    <w:adjustRightInd w:val="0"/>
                    <w:snapToGrid w:val="0"/>
                    <w:jc w:val="center"/>
                    <w:rPr>
                      <w:rFonts w:hint="default" w:eastAsia="宋体"/>
                      <w:b/>
                      <w:bCs w:val="0"/>
                      <w:sz w:val="21"/>
                      <w:szCs w:val="21"/>
                      <w:lang w:val="en-US" w:eastAsia="zh-CN"/>
                    </w:rPr>
                  </w:pPr>
                  <w:r>
                    <w:rPr>
                      <w:rFonts w:hint="eastAsia"/>
                      <w:b/>
                      <w:bCs w:val="0"/>
                      <w:sz w:val="21"/>
                      <w:szCs w:val="21"/>
                      <w:lang w:val="en-US" w:eastAsia="zh-CN"/>
                    </w:rPr>
                    <w:t>收集废气量（t/a）</w:t>
                  </w:r>
                </w:p>
              </w:tc>
              <w:tc>
                <w:tcPr>
                  <w:tcW w:w="304" w:type="pct"/>
                  <w:vMerge w:val="restart"/>
                  <w:vAlign w:val="center"/>
                </w:tcPr>
                <w:p w14:paraId="2BE5FA50">
                  <w:pPr>
                    <w:widowControl/>
                    <w:jc w:val="center"/>
                    <w:rPr>
                      <w:rFonts w:hint="eastAsia"/>
                      <w:b/>
                      <w:bCs w:val="0"/>
                      <w:sz w:val="21"/>
                      <w:szCs w:val="21"/>
                      <w:lang w:val="en-US" w:eastAsia="zh-CN"/>
                    </w:rPr>
                  </w:pPr>
                  <w:r>
                    <w:rPr>
                      <w:rFonts w:cs="Times New Roman"/>
                      <w:b/>
                      <w:bCs/>
                      <w:color w:val="000000" w:themeColor="text1"/>
                      <w:sz w:val="21"/>
                      <w:szCs w:val="21"/>
                      <w14:textFill>
                        <w14:solidFill>
                          <w14:schemeClr w14:val="tx1"/>
                        </w14:solidFill>
                      </w14:textFill>
                    </w:rPr>
                    <w:t>年排放时间（h）</w:t>
                  </w:r>
                </w:p>
              </w:tc>
              <w:tc>
                <w:tcPr>
                  <w:tcW w:w="418" w:type="pct"/>
                  <w:vMerge w:val="restart"/>
                  <w:vAlign w:val="center"/>
                </w:tcPr>
                <w:p w14:paraId="4FA004C8">
                  <w:pPr>
                    <w:widowControl/>
                    <w:jc w:val="center"/>
                    <w:rPr>
                      <w:rFonts w:hint="eastAsia"/>
                      <w:b/>
                      <w:bCs w:val="0"/>
                      <w:sz w:val="21"/>
                      <w:szCs w:val="21"/>
                      <w:lang w:val="en-US" w:eastAsia="zh-CN"/>
                    </w:rPr>
                  </w:pPr>
                  <w:r>
                    <w:rPr>
                      <w:rFonts w:cs="Times New Roman"/>
                      <w:b/>
                      <w:bCs/>
                      <w:color w:val="000000" w:themeColor="text1"/>
                      <w:sz w:val="21"/>
                      <w:szCs w:val="21"/>
                      <w14:textFill>
                        <w14:solidFill>
                          <w14:schemeClr w14:val="tx1"/>
                        </w14:solidFill>
                      </w14:textFill>
                    </w:rPr>
                    <w:t>产生速率kg/h</w:t>
                  </w:r>
                </w:p>
              </w:tc>
              <w:tc>
                <w:tcPr>
                  <w:tcW w:w="334" w:type="pct"/>
                  <w:vMerge w:val="restart"/>
                  <w:vAlign w:val="center"/>
                </w:tcPr>
                <w:p w14:paraId="04283B55">
                  <w:pPr>
                    <w:widowControl/>
                    <w:jc w:val="center"/>
                    <w:rPr>
                      <w:rFonts w:hint="eastAsia"/>
                      <w:b/>
                      <w:bCs w:val="0"/>
                      <w:sz w:val="21"/>
                      <w:szCs w:val="21"/>
                      <w:lang w:val="en-US" w:eastAsia="zh-CN"/>
                    </w:rPr>
                  </w:pPr>
                  <w:r>
                    <w:rPr>
                      <w:rFonts w:cs="Times New Roman"/>
                      <w:b/>
                      <w:bCs/>
                      <w:color w:val="000000" w:themeColor="text1"/>
                      <w:sz w:val="21"/>
                      <w:szCs w:val="21"/>
                      <w14:textFill>
                        <w14:solidFill>
                          <w14:schemeClr w14:val="tx1"/>
                        </w14:solidFill>
                      </w14:textFill>
                    </w:rPr>
                    <w:t>产生浓度mg/m</w:t>
                  </w:r>
                  <w:r>
                    <w:rPr>
                      <w:rFonts w:cs="Times New Roman"/>
                      <w:b/>
                      <w:bCs/>
                      <w:color w:val="000000" w:themeColor="text1"/>
                      <w:sz w:val="21"/>
                      <w:szCs w:val="21"/>
                      <w:vertAlign w:val="superscript"/>
                      <w14:textFill>
                        <w14:solidFill>
                          <w14:schemeClr w14:val="tx1"/>
                        </w14:solidFill>
                      </w14:textFill>
                    </w:rPr>
                    <w:t>3</w:t>
                  </w:r>
                </w:p>
              </w:tc>
              <w:tc>
                <w:tcPr>
                  <w:tcW w:w="674" w:type="pct"/>
                  <w:vMerge w:val="restart"/>
                  <w:vAlign w:val="center"/>
                </w:tcPr>
                <w:p w14:paraId="327775E6">
                  <w:pPr>
                    <w:adjustRightInd w:val="0"/>
                    <w:snapToGrid w:val="0"/>
                    <w:jc w:val="center"/>
                    <w:rPr>
                      <w:rFonts w:hint="eastAsia" w:eastAsia="宋体"/>
                      <w:b/>
                      <w:bCs w:val="0"/>
                      <w:sz w:val="21"/>
                      <w:szCs w:val="21"/>
                      <w:lang w:val="en-US" w:eastAsia="zh-CN"/>
                    </w:rPr>
                  </w:pPr>
                  <w:r>
                    <w:rPr>
                      <w:rFonts w:hint="eastAsia"/>
                      <w:b/>
                      <w:bCs w:val="0"/>
                      <w:sz w:val="21"/>
                      <w:szCs w:val="21"/>
                      <w:lang w:val="en-US" w:eastAsia="zh-CN"/>
                    </w:rPr>
                    <w:t>处理工艺</w:t>
                  </w:r>
                </w:p>
              </w:tc>
              <w:tc>
                <w:tcPr>
                  <w:tcW w:w="252" w:type="pct"/>
                  <w:vMerge w:val="restart"/>
                  <w:vAlign w:val="center"/>
                </w:tcPr>
                <w:p w14:paraId="1354351F">
                  <w:pPr>
                    <w:adjustRightInd w:val="0"/>
                    <w:snapToGrid w:val="0"/>
                    <w:jc w:val="center"/>
                    <w:rPr>
                      <w:rFonts w:hint="default" w:eastAsia="宋体"/>
                      <w:b/>
                      <w:bCs w:val="0"/>
                      <w:sz w:val="21"/>
                      <w:szCs w:val="21"/>
                      <w:lang w:val="en-US" w:eastAsia="zh-CN"/>
                    </w:rPr>
                  </w:pPr>
                  <w:r>
                    <w:rPr>
                      <w:rFonts w:hint="eastAsia"/>
                      <w:b/>
                      <w:bCs w:val="0"/>
                      <w:sz w:val="21"/>
                      <w:szCs w:val="21"/>
                      <w:lang w:val="en-US" w:eastAsia="zh-CN"/>
                    </w:rPr>
                    <w:t>处理效率%</w:t>
                  </w:r>
                </w:p>
              </w:tc>
              <w:tc>
                <w:tcPr>
                  <w:tcW w:w="370" w:type="pct"/>
                  <w:vMerge w:val="restart"/>
                  <w:vAlign w:val="center"/>
                </w:tcPr>
                <w:p w14:paraId="6F8B80F0">
                  <w:pPr>
                    <w:adjustRightInd w:val="0"/>
                    <w:snapToGrid w:val="0"/>
                    <w:jc w:val="center"/>
                    <w:rPr>
                      <w:b/>
                      <w:bCs w:val="0"/>
                      <w:sz w:val="21"/>
                      <w:szCs w:val="21"/>
                    </w:rPr>
                  </w:pPr>
                  <w:r>
                    <w:rPr>
                      <w:rFonts w:hint="eastAsia"/>
                      <w:b/>
                      <w:bCs w:val="0"/>
                      <w:sz w:val="21"/>
                      <w:szCs w:val="21"/>
                      <w:lang w:val="en-US" w:eastAsia="zh-CN"/>
                    </w:rPr>
                    <w:t>废气排放量（t/a）</w:t>
                  </w:r>
                </w:p>
              </w:tc>
              <w:tc>
                <w:tcPr>
                  <w:tcW w:w="329" w:type="pct"/>
                  <w:vMerge w:val="restart"/>
                  <w:vAlign w:val="center"/>
                </w:tcPr>
                <w:p w14:paraId="08C37955">
                  <w:pPr>
                    <w:adjustRightInd w:val="0"/>
                    <w:snapToGrid w:val="0"/>
                    <w:jc w:val="center"/>
                    <w:rPr>
                      <w:b/>
                      <w:bCs w:val="0"/>
                      <w:sz w:val="21"/>
                      <w:szCs w:val="21"/>
                    </w:rPr>
                  </w:pPr>
                  <w:r>
                    <w:rPr>
                      <w:b/>
                      <w:bCs w:val="0"/>
                      <w:sz w:val="21"/>
                      <w:szCs w:val="21"/>
                    </w:rPr>
                    <w:t>排放速率（kg/h）</w:t>
                  </w:r>
                </w:p>
              </w:tc>
              <w:tc>
                <w:tcPr>
                  <w:tcW w:w="355" w:type="pct"/>
                  <w:vMerge w:val="restart"/>
                  <w:vAlign w:val="center"/>
                </w:tcPr>
                <w:p w14:paraId="3E20DF2C">
                  <w:pPr>
                    <w:adjustRightInd w:val="0"/>
                    <w:snapToGrid w:val="0"/>
                    <w:jc w:val="center"/>
                    <w:rPr>
                      <w:b/>
                      <w:bCs w:val="0"/>
                      <w:sz w:val="21"/>
                      <w:szCs w:val="21"/>
                    </w:rPr>
                  </w:pPr>
                  <w:r>
                    <w:rPr>
                      <w:b/>
                      <w:bCs w:val="0"/>
                      <w:sz w:val="21"/>
                      <w:szCs w:val="21"/>
                    </w:rPr>
                    <w:t>排放浓度（mg/m</w:t>
                  </w:r>
                  <w:r>
                    <w:rPr>
                      <w:b/>
                      <w:bCs w:val="0"/>
                      <w:sz w:val="21"/>
                      <w:szCs w:val="21"/>
                      <w:vertAlign w:val="superscript"/>
                    </w:rPr>
                    <w:t>3</w:t>
                  </w:r>
                  <w:r>
                    <w:rPr>
                      <w:b/>
                      <w:bCs w:val="0"/>
                      <w:sz w:val="21"/>
                      <w:szCs w:val="21"/>
                    </w:rPr>
                    <w:t>）</w:t>
                  </w:r>
                </w:p>
              </w:tc>
              <w:tc>
                <w:tcPr>
                  <w:tcW w:w="597" w:type="pct"/>
                  <w:gridSpan w:val="2"/>
                  <w:vAlign w:val="center"/>
                </w:tcPr>
                <w:p w14:paraId="72C23DA4">
                  <w:pPr>
                    <w:adjustRightInd w:val="0"/>
                    <w:snapToGrid w:val="0"/>
                    <w:jc w:val="center"/>
                    <w:rPr>
                      <w:rFonts w:hint="default" w:eastAsia="宋体"/>
                      <w:b/>
                      <w:bCs w:val="0"/>
                      <w:sz w:val="21"/>
                      <w:szCs w:val="21"/>
                      <w:lang w:val="en-US" w:eastAsia="zh-CN"/>
                    </w:rPr>
                  </w:pPr>
                  <w:r>
                    <w:rPr>
                      <w:rFonts w:hint="eastAsia"/>
                      <w:b/>
                      <w:bCs w:val="0"/>
                      <w:sz w:val="21"/>
                      <w:szCs w:val="21"/>
                      <w:lang w:val="en-US" w:eastAsia="zh-CN"/>
                    </w:rPr>
                    <w:t>排放标准</w:t>
                  </w:r>
                </w:p>
              </w:tc>
              <w:tc>
                <w:tcPr>
                  <w:tcW w:w="344" w:type="pct"/>
                  <w:vMerge w:val="restart"/>
                  <w:vAlign w:val="center"/>
                </w:tcPr>
                <w:p w14:paraId="32933F6D">
                  <w:pPr>
                    <w:adjustRightInd w:val="0"/>
                    <w:snapToGrid w:val="0"/>
                    <w:jc w:val="center"/>
                    <w:rPr>
                      <w:rFonts w:hint="default"/>
                      <w:b/>
                      <w:bCs w:val="0"/>
                      <w:sz w:val="21"/>
                      <w:szCs w:val="21"/>
                      <w:lang w:val="en-US" w:eastAsia="zh-CN"/>
                    </w:rPr>
                  </w:pPr>
                  <w:r>
                    <w:rPr>
                      <w:rFonts w:hint="eastAsia"/>
                      <w:b/>
                      <w:bCs w:val="0"/>
                      <w:sz w:val="21"/>
                      <w:szCs w:val="21"/>
                      <w:lang w:val="en-US" w:eastAsia="zh-CN"/>
                    </w:rPr>
                    <w:t>是否达标</w:t>
                  </w:r>
                </w:p>
              </w:tc>
            </w:tr>
            <w:tr w14:paraId="7D59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339" w:type="pct"/>
                  <w:vMerge w:val="continue"/>
                  <w:vAlign w:val="center"/>
                </w:tcPr>
                <w:p w14:paraId="606964B7">
                  <w:pPr>
                    <w:adjustRightInd w:val="0"/>
                    <w:snapToGrid w:val="0"/>
                    <w:jc w:val="center"/>
                    <w:rPr>
                      <w:sz w:val="21"/>
                      <w:szCs w:val="21"/>
                    </w:rPr>
                  </w:pPr>
                </w:p>
              </w:tc>
              <w:tc>
                <w:tcPr>
                  <w:tcW w:w="265" w:type="pct"/>
                  <w:vMerge w:val="continue"/>
                  <w:vAlign w:val="center"/>
                </w:tcPr>
                <w:p w14:paraId="096AC361">
                  <w:pPr>
                    <w:adjustRightInd w:val="0"/>
                    <w:snapToGrid w:val="0"/>
                    <w:jc w:val="center"/>
                    <w:rPr>
                      <w:sz w:val="21"/>
                      <w:szCs w:val="21"/>
                    </w:rPr>
                  </w:pPr>
                </w:p>
              </w:tc>
              <w:tc>
                <w:tcPr>
                  <w:tcW w:w="412" w:type="pct"/>
                  <w:vMerge w:val="continue"/>
                  <w:vAlign w:val="center"/>
                </w:tcPr>
                <w:p w14:paraId="50952353">
                  <w:pPr>
                    <w:adjustRightInd w:val="0"/>
                    <w:snapToGrid w:val="0"/>
                    <w:jc w:val="center"/>
                    <w:rPr>
                      <w:sz w:val="21"/>
                      <w:szCs w:val="21"/>
                    </w:rPr>
                  </w:pPr>
                </w:p>
              </w:tc>
              <w:tc>
                <w:tcPr>
                  <w:tcW w:w="304" w:type="pct"/>
                  <w:vMerge w:val="continue"/>
                  <w:vAlign w:val="center"/>
                </w:tcPr>
                <w:p w14:paraId="69C353CC">
                  <w:pPr>
                    <w:adjustRightInd w:val="0"/>
                    <w:snapToGrid w:val="0"/>
                    <w:jc w:val="center"/>
                    <w:rPr>
                      <w:sz w:val="21"/>
                      <w:szCs w:val="21"/>
                    </w:rPr>
                  </w:pPr>
                </w:p>
              </w:tc>
              <w:tc>
                <w:tcPr>
                  <w:tcW w:w="418" w:type="pct"/>
                  <w:vMerge w:val="continue"/>
                  <w:vAlign w:val="center"/>
                </w:tcPr>
                <w:p w14:paraId="66B00090">
                  <w:pPr>
                    <w:adjustRightInd w:val="0"/>
                    <w:snapToGrid w:val="0"/>
                    <w:jc w:val="center"/>
                    <w:rPr>
                      <w:sz w:val="21"/>
                      <w:szCs w:val="21"/>
                    </w:rPr>
                  </w:pPr>
                </w:p>
              </w:tc>
              <w:tc>
                <w:tcPr>
                  <w:tcW w:w="334" w:type="pct"/>
                  <w:vMerge w:val="continue"/>
                  <w:vAlign w:val="center"/>
                </w:tcPr>
                <w:p w14:paraId="4670B38D">
                  <w:pPr>
                    <w:adjustRightInd w:val="0"/>
                    <w:snapToGrid w:val="0"/>
                    <w:jc w:val="center"/>
                    <w:rPr>
                      <w:sz w:val="21"/>
                      <w:szCs w:val="21"/>
                    </w:rPr>
                  </w:pPr>
                </w:p>
              </w:tc>
              <w:tc>
                <w:tcPr>
                  <w:tcW w:w="674" w:type="pct"/>
                  <w:vMerge w:val="continue"/>
                  <w:vAlign w:val="center"/>
                </w:tcPr>
                <w:p w14:paraId="6C681E9B">
                  <w:pPr>
                    <w:adjustRightInd w:val="0"/>
                    <w:snapToGrid w:val="0"/>
                    <w:jc w:val="center"/>
                    <w:rPr>
                      <w:sz w:val="21"/>
                      <w:szCs w:val="21"/>
                    </w:rPr>
                  </w:pPr>
                </w:p>
              </w:tc>
              <w:tc>
                <w:tcPr>
                  <w:tcW w:w="252" w:type="pct"/>
                  <w:vMerge w:val="continue"/>
                  <w:vAlign w:val="center"/>
                </w:tcPr>
                <w:p w14:paraId="2B8ED851">
                  <w:pPr>
                    <w:adjustRightInd w:val="0"/>
                    <w:snapToGrid w:val="0"/>
                    <w:jc w:val="center"/>
                    <w:rPr>
                      <w:sz w:val="21"/>
                      <w:szCs w:val="21"/>
                    </w:rPr>
                  </w:pPr>
                </w:p>
              </w:tc>
              <w:tc>
                <w:tcPr>
                  <w:tcW w:w="370" w:type="pct"/>
                  <w:vMerge w:val="continue"/>
                  <w:vAlign w:val="center"/>
                </w:tcPr>
                <w:p w14:paraId="70EAFBB4">
                  <w:pPr>
                    <w:adjustRightInd w:val="0"/>
                    <w:snapToGrid w:val="0"/>
                    <w:jc w:val="center"/>
                    <w:rPr>
                      <w:sz w:val="21"/>
                      <w:szCs w:val="21"/>
                    </w:rPr>
                  </w:pPr>
                </w:p>
              </w:tc>
              <w:tc>
                <w:tcPr>
                  <w:tcW w:w="329" w:type="pct"/>
                  <w:vMerge w:val="continue"/>
                  <w:vAlign w:val="center"/>
                </w:tcPr>
                <w:p w14:paraId="57B8A836">
                  <w:pPr>
                    <w:adjustRightInd w:val="0"/>
                    <w:snapToGrid w:val="0"/>
                    <w:jc w:val="center"/>
                    <w:rPr>
                      <w:sz w:val="21"/>
                      <w:szCs w:val="21"/>
                    </w:rPr>
                  </w:pPr>
                </w:p>
              </w:tc>
              <w:tc>
                <w:tcPr>
                  <w:tcW w:w="355" w:type="pct"/>
                  <w:vMerge w:val="continue"/>
                  <w:vAlign w:val="center"/>
                </w:tcPr>
                <w:p w14:paraId="1841E002">
                  <w:pPr>
                    <w:adjustRightInd w:val="0"/>
                    <w:snapToGrid w:val="0"/>
                    <w:jc w:val="center"/>
                    <w:rPr>
                      <w:sz w:val="21"/>
                      <w:szCs w:val="21"/>
                    </w:rPr>
                  </w:pPr>
                </w:p>
              </w:tc>
              <w:tc>
                <w:tcPr>
                  <w:tcW w:w="321" w:type="pct"/>
                  <w:vAlign w:val="center"/>
                </w:tcPr>
                <w:p w14:paraId="77C35447">
                  <w:pPr>
                    <w:widowControl/>
                    <w:jc w:val="center"/>
                    <w:rPr>
                      <w:b/>
                      <w:sz w:val="21"/>
                      <w:szCs w:val="21"/>
                    </w:rPr>
                  </w:pPr>
                  <w:r>
                    <w:rPr>
                      <w:rFonts w:cs="Times New Roman"/>
                      <w:b/>
                      <w:bCs/>
                      <w:color w:val="000000" w:themeColor="text1"/>
                      <w:sz w:val="21"/>
                      <w:szCs w:val="21"/>
                      <w14:textFill>
                        <w14:solidFill>
                          <w14:schemeClr w14:val="tx1"/>
                        </w14:solidFill>
                      </w14:textFill>
                    </w:rPr>
                    <w:t>最高允许排放浓度(mg/m</w:t>
                  </w:r>
                  <w:r>
                    <w:rPr>
                      <w:rFonts w:cs="Times New Roman"/>
                      <w:b/>
                      <w:bCs/>
                      <w:color w:val="000000" w:themeColor="text1"/>
                      <w:sz w:val="21"/>
                      <w:szCs w:val="21"/>
                      <w:vertAlign w:val="superscript"/>
                      <w14:textFill>
                        <w14:solidFill>
                          <w14:schemeClr w14:val="tx1"/>
                        </w14:solidFill>
                      </w14:textFill>
                    </w:rPr>
                    <w:t>3</w:t>
                  </w:r>
                  <w:r>
                    <w:rPr>
                      <w:rFonts w:cs="Times New Roman"/>
                      <w:b/>
                      <w:bCs/>
                      <w:color w:val="000000" w:themeColor="text1"/>
                      <w:sz w:val="21"/>
                      <w:szCs w:val="21"/>
                      <w14:textFill>
                        <w14:solidFill>
                          <w14:schemeClr w14:val="tx1"/>
                        </w14:solidFill>
                      </w14:textFill>
                    </w:rPr>
                    <w:t>)</w:t>
                  </w:r>
                </w:p>
              </w:tc>
              <w:tc>
                <w:tcPr>
                  <w:tcW w:w="275" w:type="pct"/>
                  <w:vAlign w:val="center"/>
                </w:tcPr>
                <w:p w14:paraId="752F17CA">
                  <w:pPr>
                    <w:widowControl/>
                    <w:jc w:val="center"/>
                    <w:rPr>
                      <w:b/>
                      <w:sz w:val="21"/>
                      <w:szCs w:val="21"/>
                    </w:rPr>
                  </w:pPr>
                  <w:r>
                    <w:rPr>
                      <w:rFonts w:cs="Times New Roman"/>
                      <w:b/>
                      <w:bCs/>
                      <w:color w:val="000000" w:themeColor="text1"/>
                      <w:sz w:val="21"/>
                      <w:szCs w:val="21"/>
                      <w14:textFill>
                        <w14:solidFill>
                          <w14:schemeClr w14:val="tx1"/>
                        </w14:solidFill>
                      </w14:textFill>
                    </w:rPr>
                    <w:t>排放速率kg/h</w:t>
                  </w:r>
                </w:p>
              </w:tc>
              <w:tc>
                <w:tcPr>
                  <w:tcW w:w="344" w:type="pct"/>
                  <w:vMerge w:val="continue"/>
                  <w:vAlign w:val="center"/>
                </w:tcPr>
                <w:p w14:paraId="729E0150">
                  <w:pPr>
                    <w:widowControl/>
                    <w:jc w:val="center"/>
                    <w:rPr>
                      <w:rFonts w:cs="Times New Roman"/>
                      <w:b/>
                      <w:bCs/>
                      <w:color w:val="000000" w:themeColor="text1"/>
                      <w:sz w:val="21"/>
                      <w:szCs w:val="21"/>
                      <w14:textFill>
                        <w14:solidFill>
                          <w14:schemeClr w14:val="tx1"/>
                        </w14:solidFill>
                      </w14:textFill>
                    </w:rPr>
                  </w:pPr>
                </w:p>
              </w:tc>
            </w:tr>
            <w:tr w14:paraId="3A9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restart"/>
                  <w:vAlign w:val="center"/>
                </w:tcPr>
                <w:p w14:paraId="70D4C35F">
                  <w:pPr>
                    <w:adjustRightInd w:val="0"/>
                    <w:snapToGrid w:val="0"/>
                    <w:jc w:val="center"/>
                    <w:rPr>
                      <w:rFonts w:hint="default" w:eastAsia="宋体"/>
                      <w:b w:val="0"/>
                      <w:bCs/>
                      <w:sz w:val="21"/>
                      <w:szCs w:val="21"/>
                      <w:lang w:val="en-US" w:eastAsia="zh-CN"/>
                    </w:rPr>
                  </w:pPr>
                  <w:r>
                    <w:rPr>
                      <w:rFonts w:hint="eastAsia"/>
                      <w:b w:val="0"/>
                      <w:bCs/>
                      <w:sz w:val="21"/>
                      <w:szCs w:val="21"/>
                      <w:lang w:val="en-US" w:eastAsia="zh-CN"/>
                    </w:rPr>
                    <w:t>DA001</w:t>
                  </w:r>
                </w:p>
              </w:tc>
              <w:tc>
                <w:tcPr>
                  <w:tcW w:w="265" w:type="pct"/>
                  <w:vAlign w:val="center"/>
                </w:tcPr>
                <w:p w14:paraId="298A50BC">
                  <w:pPr>
                    <w:widowControl/>
                    <w:jc w:val="center"/>
                    <w:rPr>
                      <w:bCs/>
                      <w:sz w:val="21"/>
                      <w:szCs w:val="21"/>
                    </w:rPr>
                  </w:pPr>
                  <w:r>
                    <w:rPr>
                      <w:rFonts w:hint="eastAsia"/>
                      <w:color w:val="000000"/>
                      <w:kern w:val="0"/>
                      <w:sz w:val="21"/>
                      <w:szCs w:val="21"/>
                    </w:rPr>
                    <w:t>非甲烷总烃</w:t>
                  </w:r>
                </w:p>
              </w:tc>
              <w:tc>
                <w:tcPr>
                  <w:tcW w:w="412" w:type="pct"/>
                  <w:vAlign w:val="center"/>
                </w:tcPr>
                <w:p w14:paraId="5E59B2EF">
                  <w:pPr>
                    <w:adjustRightInd w:val="0"/>
                    <w:snapToGrid w:val="0"/>
                    <w:jc w:val="center"/>
                    <w:rPr>
                      <w:bCs/>
                      <w:sz w:val="21"/>
                      <w:szCs w:val="21"/>
                    </w:rPr>
                  </w:pPr>
                  <w:r>
                    <w:rPr>
                      <w:rFonts w:hint="eastAsia"/>
                      <w:bCs/>
                      <w:szCs w:val="21"/>
                      <w:lang w:val="en-US" w:eastAsia="zh-CN"/>
                    </w:rPr>
                    <w:t>6.9751</w:t>
                  </w:r>
                </w:p>
              </w:tc>
              <w:tc>
                <w:tcPr>
                  <w:tcW w:w="304" w:type="pct"/>
                  <w:vAlign w:val="center"/>
                </w:tcPr>
                <w:p w14:paraId="3F5DB36D">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3125443C">
                  <w:pPr>
                    <w:adjustRightInd w:val="0"/>
                    <w:snapToGrid w:val="0"/>
                    <w:jc w:val="center"/>
                    <w:rPr>
                      <w:rFonts w:hint="default" w:eastAsia="宋体"/>
                      <w:bCs/>
                      <w:sz w:val="21"/>
                      <w:szCs w:val="21"/>
                      <w:lang w:val="en-US" w:eastAsia="zh-CN"/>
                    </w:rPr>
                  </w:pPr>
                  <w:r>
                    <w:rPr>
                      <w:rFonts w:hint="eastAsia"/>
                      <w:bCs/>
                      <w:sz w:val="21"/>
                      <w:szCs w:val="21"/>
                      <w:lang w:val="en-US" w:eastAsia="zh-CN"/>
                    </w:rPr>
                    <w:t>0.969</w:t>
                  </w:r>
                </w:p>
              </w:tc>
              <w:tc>
                <w:tcPr>
                  <w:tcW w:w="334" w:type="pct"/>
                  <w:vAlign w:val="center"/>
                </w:tcPr>
                <w:p w14:paraId="3C30AE7D">
                  <w:pPr>
                    <w:adjustRightInd w:val="0"/>
                    <w:snapToGrid w:val="0"/>
                    <w:jc w:val="center"/>
                    <w:rPr>
                      <w:rFonts w:hint="default" w:eastAsia="宋体"/>
                      <w:bCs/>
                      <w:sz w:val="21"/>
                      <w:szCs w:val="21"/>
                      <w:lang w:val="en-US" w:eastAsia="zh-CN"/>
                    </w:rPr>
                  </w:pPr>
                  <w:r>
                    <w:rPr>
                      <w:rFonts w:hint="eastAsia"/>
                      <w:bCs/>
                      <w:sz w:val="21"/>
                      <w:szCs w:val="21"/>
                      <w:lang w:val="en-US" w:eastAsia="zh-CN"/>
                    </w:rPr>
                    <w:t>80.75</w:t>
                  </w:r>
                </w:p>
              </w:tc>
              <w:tc>
                <w:tcPr>
                  <w:tcW w:w="674" w:type="pct"/>
                  <w:vMerge w:val="restart"/>
                  <w:vAlign w:val="center"/>
                </w:tcPr>
                <w:p w14:paraId="1A93AAD8">
                  <w:pPr>
                    <w:widowControl/>
                    <w:adjustRightInd/>
                    <w:snapToGrid/>
                    <w:jc w:val="center"/>
                    <w:rPr>
                      <w:bCs/>
                      <w:sz w:val="21"/>
                      <w:szCs w:val="21"/>
                    </w:rPr>
                  </w:pPr>
                  <w:r>
                    <w:rPr>
                      <w:rFonts w:hint="eastAsia"/>
                      <w:color w:val="000000"/>
                      <w:kern w:val="0"/>
                      <w:sz w:val="21"/>
                      <w:szCs w:val="21"/>
                    </w:rPr>
                    <w:t>设置</w:t>
                  </w:r>
                  <w:r>
                    <w:rPr>
                      <w:rFonts w:hint="eastAsia"/>
                      <w:color w:val="000000"/>
                      <w:kern w:val="0"/>
                      <w:sz w:val="21"/>
                      <w:szCs w:val="21"/>
                      <w:lang w:val="en-US" w:eastAsia="zh-CN"/>
                    </w:rPr>
                    <w:t>管道/</w:t>
                  </w:r>
                  <w:r>
                    <w:rPr>
                      <w:rFonts w:hint="eastAsia"/>
                      <w:color w:val="000000"/>
                      <w:kern w:val="0"/>
                      <w:sz w:val="21"/>
                      <w:szCs w:val="21"/>
                    </w:rPr>
                    <w:t>集气罩并加设软帘收集废气，通入“1</w:t>
                  </w:r>
                  <w:r>
                    <w:rPr>
                      <w:color w:val="000000"/>
                      <w:kern w:val="0"/>
                      <w:sz w:val="21"/>
                      <w:szCs w:val="21"/>
                    </w:rPr>
                    <w:t>#</w:t>
                  </w:r>
                  <w:r>
                    <w:rPr>
                      <w:rFonts w:hint="eastAsia"/>
                      <w:color w:val="000000"/>
                      <w:kern w:val="0"/>
                      <w:sz w:val="21"/>
                      <w:szCs w:val="21"/>
                    </w:rPr>
                    <w:t>碱水喷淋塔+除雾+二级活性炭吸附装置”处理</w:t>
                  </w:r>
                </w:p>
              </w:tc>
              <w:tc>
                <w:tcPr>
                  <w:tcW w:w="252" w:type="pct"/>
                  <w:vAlign w:val="center"/>
                </w:tcPr>
                <w:p w14:paraId="62D65BC1">
                  <w:pPr>
                    <w:adjustRightInd w:val="0"/>
                    <w:snapToGrid w:val="0"/>
                    <w:jc w:val="center"/>
                    <w:rPr>
                      <w:rFonts w:hint="default" w:eastAsia="宋体"/>
                      <w:bCs/>
                      <w:sz w:val="21"/>
                      <w:szCs w:val="21"/>
                      <w:lang w:val="en-US" w:eastAsia="zh-CN"/>
                    </w:rPr>
                  </w:pPr>
                  <w:r>
                    <w:rPr>
                      <w:rFonts w:hint="eastAsia"/>
                      <w:bCs/>
                      <w:sz w:val="21"/>
                      <w:szCs w:val="21"/>
                      <w:lang w:val="en-US" w:eastAsia="zh-CN"/>
                    </w:rPr>
                    <w:t>90</w:t>
                  </w:r>
                </w:p>
              </w:tc>
              <w:tc>
                <w:tcPr>
                  <w:tcW w:w="370" w:type="pct"/>
                  <w:vAlign w:val="center"/>
                </w:tcPr>
                <w:p w14:paraId="73196AF3">
                  <w:pPr>
                    <w:adjustRightInd w:val="0"/>
                    <w:snapToGrid w:val="0"/>
                    <w:jc w:val="center"/>
                    <w:rPr>
                      <w:bCs/>
                      <w:sz w:val="21"/>
                      <w:szCs w:val="21"/>
                    </w:rPr>
                  </w:pPr>
                  <w:r>
                    <w:rPr>
                      <w:rFonts w:hint="eastAsia"/>
                      <w:bCs/>
                      <w:szCs w:val="21"/>
                    </w:rPr>
                    <w:t>0.6</w:t>
                  </w:r>
                  <w:r>
                    <w:rPr>
                      <w:rFonts w:hint="eastAsia"/>
                      <w:bCs/>
                      <w:szCs w:val="21"/>
                      <w:lang w:val="en-US" w:eastAsia="zh-CN"/>
                    </w:rPr>
                    <w:t>98</w:t>
                  </w:r>
                </w:p>
              </w:tc>
              <w:tc>
                <w:tcPr>
                  <w:tcW w:w="329" w:type="pct"/>
                  <w:vAlign w:val="center"/>
                </w:tcPr>
                <w:p w14:paraId="722E020B">
                  <w:pPr>
                    <w:adjustRightInd w:val="0"/>
                    <w:snapToGrid w:val="0"/>
                    <w:jc w:val="center"/>
                    <w:rPr>
                      <w:bCs/>
                      <w:sz w:val="21"/>
                      <w:szCs w:val="21"/>
                    </w:rPr>
                  </w:pPr>
                  <w:r>
                    <w:rPr>
                      <w:rFonts w:hint="eastAsia"/>
                      <w:bCs/>
                      <w:szCs w:val="21"/>
                    </w:rPr>
                    <w:t>0.0</w:t>
                  </w:r>
                  <w:r>
                    <w:rPr>
                      <w:rFonts w:hint="eastAsia"/>
                      <w:bCs/>
                      <w:szCs w:val="21"/>
                      <w:lang w:val="en-US" w:eastAsia="zh-CN"/>
                    </w:rPr>
                    <w:t>97</w:t>
                  </w:r>
                </w:p>
              </w:tc>
              <w:tc>
                <w:tcPr>
                  <w:tcW w:w="355" w:type="pct"/>
                  <w:vAlign w:val="center"/>
                </w:tcPr>
                <w:p w14:paraId="2976FDF0">
                  <w:pPr>
                    <w:adjustRightInd w:val="0"/>
                    <w:snapToGrid w:val="0"/>
                    <w:jc w:val="center"/>
                    <w:rPr>
                      <w:bCs/>
                      <w:sz w:val="21"/>
                      <w:szCs w:val="21"/>
                    </w:rPr>
                  </w:pPr>
                  <w:r>
                    <w:rPr>
                      <w:rFonts w:hint="eastAsia"/>
                      <w:bCs/>
                      <w:szCs w:val="21"/>
                      <w:lang w:val="en-US" w:eastAsia="zh-CN"/>
                    </w:rPr>
                    <w:t>8.08</w:t>
                  </w:r>
                </w:p>
              </w:tc>
              <w:tc>
                <w:tcPr>
                  <w:tcW w:w="321" w:type="pct"/>
                  <w:vAlign w:val="center"/>
                </w:tcPr>
                <w:p w14:paraId="7D2030B5">
                  <w:pPr>
                    <w:adjustRightInd w:val="0"/>
                    <w:snapToGrid w:val="0"/>
                    <w:jc w:val="center"/>
                    <w:rPr>
                      <w:rFonts w:hint="default" w:eastAsia="宋体"/>
                      <w:bCs/>
                      <w:sz w:val="21"/>
                      <w:szCs w:val="21"/>
                      <w:lang w:val="en-US" w:eastAsia="zh-CN"/>
                    </w:rPr>
                  </w:pPr>
                  <w:r>
                    <w:rPr>
                      <w:rFonts w:hint="eastAsia"/>
                      <w:bCs/>
                      <w:sz w:val="21"/>
                      <w:szCs w:val="21"/>
                      <w:lang w:val="en-US" w:eastAsia="zh-CN"/>
                    </w:rPr>
                    <w:t>40</w:t>
                  </w:r>
                </w:p>
              </w:tc>
              <w:tc>
                <w:tcPr>
                  <w:tcW w:w="275" w:type="pct"/>
                  <w:vAlign w:val="center"/>
                </w:tcPr>
                <w:p w14:paraId="5568C0DA">
                  <w:pPr>
                    <w:adjustRightInd w:val="0"/>
                    <w:snapToGrid w:val="0"/>
                    <w:jc w:val="center"/>
                    <w:rPr>
                      <w:rFonts w:hint="default" w:eastAsia="宋体"/>
                      <w:bCs/>
                      <w:sz w:val="21"/>
                      <w:szCs w:val="21"/>
                      <w:lang w:val="en-US" w:eastAsia="zh-CN"/>
                    </w:rPr>
                  </w:pPr>
                  <w:r>
                    <w:rPr>
                      <w:rFonts w:hint="eastAsia"/>
                      <w:bCs/>
                      <w:sz w:val="21"/>
                      <w:szCs w:val="21"/>
                      <w:lang w:val="en-US" w:eastAsia="zh-CN"/>
                    </w:rPr>
                    <w:t>1.6</w:t>
                  </w:r>
                </w:p>
              </w:tc>
              <w:tc>
                <w:tcPr>
                  <w:tcW w:w="344" w:type="pct"/>
                  <w:vAlign w:val="center"/>
                </w:tcPr>
                <w:p w14:paraId="2C38DF31">
                  <w:pPr>
                    <w:adjustRightInd w:val="0"/>
                    <w:snapToGrid w:val="0"/>
                    <w:jc w:val="center"/>
                    <w:rPr>
                      <w:rFonts w:hint="eastAsia" w:eastAsia="宋体"/>
                      <w:bCs/>
                      <w:sz w:val="21"/>
                      <w:szCs w:val="21"/>
                      <w:lang w:val="en-US" w:eastAsia="zh-CN"/>
                    </w:rPr>
                  </w:pPr>
                  <w:r>
                    <w:rPr>
                      <w:rFonts w:hint="eastAsia"/>
                      <w:bCs/>
                      <w:sz w:val="21"/>
                      <w:szCs w:val="21"/>
                      <w:lang w:val="en-US" w:eastAsia="zh-CN"/>
                    </w:rPr>
                    <w:t>达标</w:t>
                  </w:r>
                </w:p>
              </w:tc>
            </w:tr>
            <w:tr w14:paraId="731A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continue"/>
                  <w:vAlign w:val="center"/>
                </w:tcPr>
                <w:p w14:paraId="6E49EEBC">
                  <w:pPr>
                    <w:adjustRightInd w:val="0"/>
                    <w:snapToGrid w:val="0"/>
                    <w:jc w:val="center"/>
                    <w:rPr>
                      <w:rFonts w:hint="eastAsia"/>
                      <w:b w:val="0"/>
                      <w:bCs/>
                      <w:sz w:val="21"/>
                      <w:szCs w:val="21"/>
                      <w:lang w:val="en-US" w:eastAsia="zh-CN"/>
                    </w:rPr>
                  </w:pPr>
                </w:p>
              </w:tc>
              <w:tc>
                <w:tcPr>
                  <w:tcW w:w="265" w:type="pct"/>
                  <w:vAlign w:val="center"/>
                </w:tcPr>
                <w:p w14:paraId="3768965F">
                  <w:pPr>
                    <w:widowControl/>
                    <w:jc w:val="center"/>
                    <w:rPr>
                      <w:rFonts w:hint="default" w:eastAsia="宋体"/>
                      <w:color w:val="000000"/>
                      <w:kern w:val="0"/>
                      <w:sz w:val="21"/>
                      <w:szCs w:val="21"/>
                      <w:lang w:val="en-US" w:eastAsia="zh-CN"/>
                    </w:rPr>
                  </w:pPr>
                  <w:r>
                    <w:rPr>
                      <w:rFonts w:hint="eastAsia"/>
                      <w:color w:val="000000"/>
                      <w:kern w:val="0"/>
                      <w:sz w:val="21"/>
                      <w:szCs w:val="21"/>
                      <w:lang w:val="en-US" w:eastAsia="zh-CN"/>
                    </w:rPr>
                    <w:t>HCl</w:t>
                  </w:r>
                </w:p>
              </w:tc>
              <w:tc>
                <w:tcPr>
                  <w:tcW w:w="412" w:type="pct"/>
                  <w:vAlign w:val="center"/>
                </w:tcPr>
                <w:p w14:paraId="780F5E91">
                  <w:pPr>
                    <w:adjustRightInd w:val="0"/>
                    <w:snapToGrid w:val="0"/>
                    <w:jc w:val="center"/>
                    <w:rPr>
                      <w:bCs/>
                      <w:sz w:val="21"/>
                      <w:szCs w:val="21"/>
                    </w:rPr>
                  </w:pPr>
                  <w:r>
                    <w:rPr>
                      <w:rFonts w:hint="eastAsia"/>
                      <w:bCs/>
                      <w:szCs w:val="21"/>
                    </w:rPr>
                    <w:t>0.01</w:t>
                  </w:r>
                  <w:r>
                    <w:rPr>
                      <w:rFonts w:hint="eastAsia"/>
                      <w:bCs/>
                      <w:szCs w:val="21"/>
                      <w:lang w:val="en-US" w:eastAsia="zh-CN"/>
                    </w:rPr>
                    <w:t>35</w:t>
                  </w:r>
                </w:p>
              </w:tc>
              <w:tc>
                <w:tcPr>
                  <w:tcW w:w="304" w:type="pct"/>
                  <w:vAlign w:val="center"/>
                </w:tcPr>
                <w:p w14:paraId="0AC44CE9">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31D169D9">
                  <w:pPr>
                    <w:adjustRightInd w:val="0"/>
                    <w:snapToGrid w:val="0"/>
                    <w:jc w:val="center"/>
                    <w:rPr>
                      <w:rFonts w:hint="default" w:eastAsia="宋体"/>
                      <w:bCs/>
                      <w:sz w:val="21"/>
                      <w:szCs w:val="21"/>
                      <w:lang w:val="en-US" w:eastAsia="zh-CN"/>
                    </w:rPr>
                  </w:pPr>
                  <w:r>
                    <w:rPr>
                      <w:rFonts w:hint="eastAsia"/>
                      <w:bCs/>
                      <w:sz w:val="21"/>
                      <w:szCs w:val="21"/>
                      <w:lang w:val="en-US" w:eastAsia="zh-CN"/>
                    </w:rPr>
                    <w:t>0.0019</w:t>
                  </w:r>
                </w:p>
              </w:tc>
              <w:tc>
                <w:tcPr>
                  <w:tcW w:w="334" w:type="pct"/>
                  <w:vAlign w:val="center"/>
                </w:tcPr>
                <w:p w14:paraId="2207C3F1">
                  <w:pPr>
                    <w:adjustRightInd w:val="0"/>
                    <w:snapToGrid w:val="0"/>
                    <w:jc w:val="center"/>
                    <w:rPr>
                      <w:rFonts w:hint="default" w:eastAsia="宋体"/>
                      <w:bCs/>
                      <w:sz w:val="21"/>
                      <w:szCs w:val="21"/>
                      <w:lang w:val="en-US" w:eastAsia="zh-CN"/>
                    </w:rPr>
                  </w:pPr>
                  <w:r>
                    <w:rPr>
                      <w:rFonts w:hint="eastAsia"/>
                      <w:bCs/>
                      <w:sz w:val="21"/>
                      <w:szCs w:val="21"/>
                      <w:lang w:val="en-US" w:eastAsia="zh-CN"/>
                    </w:rPr>
                    <w:t>0.16</w:t>
                  </w:r>
                </w:p>
              </w:tc>
              <w:tc>
                <w:tcPr>
                  <w:tcW w:w="674" w:type="pct"/>
                  <w:vMerge w:val="continue"/>
                  <w:vAlign w:val="center"/>
                </w:tcPr>
                <w:p w14:paraId="4DF86BF7">
                  <w:pPr>
                    <w:adjustRightInd w:val="0"/>
                    <w:snapToGrid w:val="0"/>
                    <w:jc w:val="center"/>
                    <w:rPr>
                      <w:bCs/>
                      <w:sz w:val="21"/>
                      <w:szCs w:val="21"/>
                    </w:rPr>
                  </w:pPr>
                </w:p>
              </w:tc>
              <w:tc>
                <w:tcPr>
                  <w:tcW w:w="252" w:type="pct"/>
                  <w:vAlign w:val="center"/>
                </w:tcPr>
                <w:p w14:paraId="6C1675F9">
                  <w:pPr>
                    <w:adjustRightInd w:val="0"/>
                    <w:snapToGrid w:val="0"/>
                    <w:jc w:val="center"/>
                    <w:rPr>
                      <w:rFonts w:hint="default"/>
                      <w:bCs/>
                      <w:sz w:val="21"/>
                      <w:szCs w:val="21"/>
                      <w:lang w:val="en-US" w:eastAsia="zh-CN"/>
                    </w:rPr>
                  </w:pPr>
                  <w:r>
                    <w:rPr>
                      <w:rFonts w:hint="eastAsia"/>
                      <w:bCs/>
                      <w:sz w:val="21"/>
                      <w:szCs w:val="21"/>
                      <w:lang w:val="en-US" w:eastAsia="zh-CN"/>
                    </w:rPr>
                    <w:t>95</w:t>
                  </w:r>
                </w:p>
              </w:tc>
              <w:tc>
                <w:tcPr>
                  <w:tcW w:w="370" w:type="pct"/>
                  <w:vAlign w:val="center"/>
                </w:tcPr>
                <w:p w14:paraId="6835C49C">
                  <w:pPr>
                    <w:adjustRightInd w:val="0"/>
                    <w:snapToGrid w:val="0"/>
                    <w:jc w:val="center"/>
                    <w:rPr>
                      <w:bCs/>
                      <w:sz w:val="21"/>
                      <w:szCs w:val="21"/>
                    </w:rPr>
                  </w:pPr>
                  <w:r>
                    <w:rPr>
                      <w:rFonts w:hint="eastAsia"/>
                      <w:bCs/>
                      <w:szCs w:val="21"/>
                    </w:rPr>
                    <w:t>0.00</w:t>
                  </w:r>
                  <w:r>
                    <w:rPr>
                      <w:rFonts w:hint="eastAsia"/>
                      <w:bCs/>
                      <w:szCs w:val="21"/>
                      <w:lang w:val="en-US" w:eastAsia="zh-CN"/>
                    </w:rPr>
                    <w:t>07</w:t>
                  </w:r>
                </w:p>
              </w:tc>
              <w:tc>
                <w:tcPr>
                  <w:tcW w:w="329" w:type="pct"/>
                  <w:vAlign w:val="center"/>
                </w:tcPr>
                <w:p w14:paraId="41E09BC6">
                  <w:pPr>
                    <w:adjustRightInd w:val="0"/>
                    <w:snapToGrid w:val="0"/>
                    <w:jc w:val="center"/>
                    <w:rPr>
                      <w:bCs/>
                      <w:sz w:val="21"/>
                      <w:szCs w:val="21"/>
                    </w:rPr>
                  </w:pPr>
                  <w:r>
                    <w:rPr>
                      <w:rFonts w:hint="eastAsia"/>
                      <w:bCs/>
                      <w:szCs w:val="21"/>
                    </w:rPr>
                    <w:t>0.0001</w:t>
                  </w:r>
                </w:p>
              </w:tc>
              <w:tc>
                <w:tcPr>
                  <w:tcW w:w="355" w:type="pct"/>
                  <w:vAlign w:val="center"/>
                </w:tcPr>
                <w:p w14:paraId="0B45111C">
                  <w:pPr>
                    <w:adjustRightInd w:val="0"/>
                    <w:snapToGrid w:val="0"/>
                    <w:jc w:val="center"/>
                    <w:rPr>
                      <w:bCs/>
                      <w:sz w:val="21"/>
                      <w:szCs w:val="21"/>
                    </w:rPr>
                  </w:pPr>
                  <w:r>
                    <w:rPr>
                      <w:rFonts w:hint="eastAsia"/>
                      <w:bCs/>
                      <w:szCs w:val="21"/>
                    </w:rPr>
                    <w:t>0.0083</w:t>
                  </w:r>
                </w:p>
              </w:tc>
              <w:tc>
                <w:tcPr>
                  <w:tcW w:w="321" w:type="pct"/>
                  <w:vAlign w:val="center"/>
                </w:tcPr>
                <w:p w14:paraId="4E8F40DC">
                  <w:pPr>
                    <w:adjustRightInd w:val="0"/>
                    <w:snapToGrid w:val="0"/>
                    <w:jc w:val="center"/>
                    <w:rPr>
                      <w:rFonts w:hint="default" w:eastAsia="宋体"/>
                      <w:bCs/>
                      <w:sz w:val="21"/>
                      <w:szCs w:val="21"/>
                      <w:lang w:val="en-US" w:eastAsia="zh-CN"/>
                    </w:rPr>
                  </w:pPr>
                  <w:r>
                    <w:rPr>
                      <w:rFonts w:hint="eastAsia"/>
                      <w:bCs/>
                      <w:sz w:val="21"/>
                      <w:szCs w:val="21"/>
                      <w:lang w:val="en-US" w:eastAsia="zh-CN"/>
                    </w:rPr>
                    <w:t>100</w:t>
                  </w:r>
                </w:p>
              </w:tc>
              <w:tc>
                <w:tcPr>
                  <w:tcW w:w="275" w:type="pct"/>
                  <w:vAlign w:val="center"/>
                </w:tcPr>
                <w:p w14:paraId="489A0A7F">
                  <w:pPr>
                    <w:adjustRightInd w:val="0"/>
                    <w:snapToGrid w:val="0"/>
                    <w:jc w:val="center"/>
                    <w:rPr>
                      <w:rFonts w:hint="default" w:eastAsia="宋体"/>
                      <w:bCs/>
                      <w:sz w:val="21"/>
                      <w:szCs w:val="21"/>
                      <w:lang w:val="en-US" w:eastAsia="zh-CN"/>
                    </w:rPr>
                  </w:pPr>
                  <w:r>
                    <w:rPr>
                      <w:rFonts w:hint="eastAsia"/>
                      <w:bCs/>
                      <w:sz w:val="21"/>
                      <w:szCs w:val="21"/>
                      <w:lang w:val="en-US" w:eastAsia="zh-CN"/>
                    </w:rPr>
                    <w:t>0.26</w:t>
                  </w:r>
                </w:p>
              </w:tc>
              <w:tc>
                <w:tcPr>
                  <w:tcW w:w="344" w:type="pct"/>
                  <w:vAlign w:val="center"/>
                </w:tcPr>
                <w:p w14:paraId="7DF6DD52">
                  <w:pPr>
                    <w:adjustRightInd w:val="0"/>
                    <w:snapToGrid w:val="0"/>
                    <w:jc w:val="center"/>
                    <w:rPr>
                      <w:rFonts w:hint="eastAsia" w:eastAsia="宋体"/>
                      <w:bCs/>
                      <w:sz w:val="21"/>
                      <w:szCs w:val="21"/>
                      <w:lang w:val="en-US" w:eastAsia="zh-CN"/>
                    </w:rPr>
                  </w:pPr>
                  <w:r>
                    <w:rPr>
                      <w:rFonts w:hint="eastAsia"/>
                      <w:bCs/>
                      <w:sz w:val="21"/>
                      <w:szCs w:val="21"/>
                      <w:lang w:val="en-US" w:eastAsia="zh-CN"/>
                    </w:rPr>
                    <w:t>达标</w:t>
                  </w:r>
                </w:p>
              </w:tc>
            </w:tr>
            <w:tr w14:paraId="0FBE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restart"/>
                  <w:vAlign w:val="center"/>
                </w:tcPr>
                <w:p w14:paraId="50244485">
                  <w:pPr>
                    <w:adjustRightInd w:val="0"/>
                    <w:snapToGrid w:val="0"/>
                    <w:jc w:val="center"/>
                    <w:rPr>
                      <w:rFonts w:hint="eastAsia"/>
                      <w:b w:val="0"/>
                      <w:bCs/>
                      <w:sz w:val="21"/>
                      <w:szCs w:val="21"/>
                      <w:lang w:val="en-US" w:eastAsia="zh-CN"/>
                    </w:rPr>
                  </w:pPr>
                  <w:r>
                    <w:rPr>
                      <w:rFonts w:hint="eastAsia"/>
                      <w:b w:val="0"/>
                      <w:bCs/>
                      <w:sz w:val="21"/>
                      <w:szCs w:val="21"/>
                      <w:lang w:val="en-US" w:eastAsia="zh-CN"/>
                    </w:rPr>
                    <w:t>DA002</w:t>
                  </w:r>
                </w:p>
              </w:tc>
              <w:tc>
                <w:tcPr>
                  <w:tcW w:w="265" w:type="pct"/>
                  <w:vAlign w:val="center"/>
                </w:tcPr>
                <w:p w14:paraId="1A383A62">
                  <w:pPr>
                    <w:widowControl/>
                    <w:jc w:val="center"/>
                    <w:rPr>
                      <w:rFonts w:hint="eastAsia"/>
                      <w:color w:val="000000"/>
                      <w:kern w:val="0"/>
                      <w:sz w:val="21"/>
                      <w:szCs w:val="21"/>
                      <w:lang w:val="en-US" w:eastAsia="zh-CN"/>
                    </w:rPr>
                  </w:pPr>
                  <w:r>
                    <w:rPr>
                      <w:rFonts w:hint="eastAsia"/>
                      <w:color w:val="000000"/>
                      <w:kern w:val="0"/>
                      <w:sz w:val="21"/>
                      <w:szCs w:val="21"/>
                    </w:rPr>
                    <w:t>非甲烷总烃</w:t>
                  </w:r>
                </w:p>
              </w:tc>
              <w:tc>
                <w:tcPr>
                  <w:tcW w:w="412" w:type="pct"/>
                  <w:vAlign w:val="center"/>
                </w:tcPr>
                <w:p w14:paraId="0A062AA8">
                  <w:pPr>
                    <w:adjustRightInd w:val="0"/>
                    <w:snapToGrid w:val="0"/>
                    <w:jc w:val="center"/>
                    <w:rPr>
                      <w:rFonts w:hint="default" w:eastAsia="宋体"/>
                      <w:bCs/>
                      <w:sz w:val="21"/>
                      <w:szCs w:val="21"/>
                      <w:lang w:val="en-US" w:eastAsia="zh-CN"/>
                    </w:rPr>
                  </w:pPr>
                  <w:r>
                    <w:rPr>
                      <w:rFonts w:hint="eastAsia"/>
                      <w:bCs/>
                      <w:sz w:val="21"/>
                      <w:szCs w:val="21"/>
                    </w:rPr>
                    <w:t>1.</w:t>
                  </w:r>
                  <w:r>
                    <w:rPr>
                      <w:rFonts w:hint="eastAsia"/>
                      <w:bCs/>
                      <w:sz w:val="21"/>
                      <w:szCs w:val="21"/>
                      <w:lang w:val="en-US" w:eastAsia="zh-CN"/>
                    </w:rPr>
                    <w:t>35</w:t>
                  </w:r>
                </w:p>
              </w:tc>
              <w:tc>
                <w:tcPr>
                  <w:tcW w:w="304" w:type="pct"/>
                  <w:vAlign w:val="center"/>
                </w:tcPr>
                <w:p w14:paraId="635985F7">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223035B3">
                  <w:pPr>
                    <w:adjustRightInd w:val="0"/>
                    <w:snapToGrid w:val="0"/>
                    <w:jc w:val="center"/>
                    <w:rPr>
                      <w:rFonts w:hint="default" w:eastAsia="宋体"/>
                      <w:bCs/>
                      <w:sz w:val="21"/>
                      <w:szCs w:val="21"/>
                      <w:lang w:val="en-US" w:eastAsia="zh-CN"/>
                    </w:rPr>
                  </w:pPr>
                  <w:r>
                    <w:rPr>
                      <w:rFonts w:hint="eastAsia"/>
                      <w:bCs/>
                      <w:sz w:val="21"/>
                      <w:szCs w:val="21"/>
                      <w:lang w:val="en-US" w:eastAsia="zh-CN"/>
                    </w:rPr>
                    <w:t>0.1875</w:t>
                  </w:r>
                </w:p>
              </w:tc>
              <w:tc>
                <w:tcPr>
                  <w:tcW w:w="334" w:type="pct"/>
                  <w:vAlign w:val="center"/>
                </w:tcPr>
                <w:p w14:paraId="0D344345">
                  <w:pPr>
                    <w:adjustRightInd w:val="0"/>
                    <w:snapToGrid w:val="0"/>
                    <w:jc w:val="center"/>
                    <w:rPr>
                      <w:rFonts w:hint="default" w:eastAsia="宋体"/>
                      <w:bCs/>
                      <w:sz w:val="21"/>
                      <w:szCs w:val="21"/>
                      <w:lang w:val="en-US" w:eastAsia="zh-CN"/>
                    </w:rPr>
                  </w:pPr>
                  <w:r>
                    <w:rPr>
                      <w:rFonts w:hint="eastAsia"/>
                      <w:bCs/>
                      <w:sz w:val="21"/>
                      <w:szCs w:val="21"/>
                      <w:lang w:val="en-US" w:eastAsia="zh-CN"/>
                    </w:rPr>
                    <w:t>15.625</w:t>
                  </w:r>
                </w:p>
              </w:tc>
              <w:tc>
                <w:tcPr>
                  <w:tcW w:w="674" w:type="pct"/>
                  <w:vMerge w:val="restart"/>
                  <w:vAlign w:val="center"/>
                </w:tcPr>
                <w:p w14:paraId="1451B075">
                  <w:pPr>
                    <w:adjustRightInd w:val="0"/>
                    <w:snapToGrid w:val="0"/>
                    <w:jc w:val="center"/>
                    <w:rPr>
                      <w:bCs/>
                      <w:sz w:val="21"/>
                      <w:szCs w:val="21"/>
                    </w:rPr>
                  </w:pPr>
                  <w:r>
                    <w:rPr>
                      <w:rFonts w:hint="eastAsia"/>
                      <w:color w:val="000000"/>
                      <w:kern w:val="0"/>
                      <w:sz w:val="21"/>
                      <w:szCs w:val="21"/>
                    </w:rPr>
                    <w:t>设置集气罩并加设软帘收集废气，通入“1</w:t>
                  </w:r>
                  <w:r>
                    <w:rPr>
                      <w:color w:val="000000"/>
                      <w:kern w:val="0"/>
                      <w:sz w:val="21"/>
                      <w:szCs w:val="21"/>
                    </w:rPr>
                    <w:t>#</w:t>
                  </w:r>
                  <w:r>
                    <w:rPr>
                      <w:rFonts w:hint="eastAsia"/>
                      <w:color w:val="000000"/>
                      <w:kern w:val="0"/>
                      <w:sz w:val="21"/>
                      <w:szCs w:val="21"/>
                    </w:rPr>
                    <w:t>碱水喷淋塔+除雾+二级活性炭吸附装置”处理</w:t>
                  </w:r>
                </w:p>
              </w:tc>
              <w:tc>
                <w:tcPr>
                  <w:tcW w:w="252" w:type="pct"/>
                  <w:vAlign w:val="center"/>
                </w:tcPr>
                <w:p w14:paraId="313948EB">
                  <w:pPr>
                    <w:adjustRightInd w:val="0"/>
                    <w:snapToGrid w:val="0"/>
                    <w:jc w:val="center"/>
                    <w:rPr>
                      <w:rFonts w:hint="default"/>
                      <w:bCs/>
                      <w:sz w:val="21"/>
                      <w:szCs w:val="21"/>
                      <w:lang w:val="en-US" w:eastAsia="zh-CN"/>
                    </w:rPr>
                  </w:pPr>
                  <w:r>
                    <w:rPr>
                      <w:rFonts w:hint="eastAsia"/>
                      <w:bCs/>
                      <w:sz w:val="21"/>
                      <w:szCs w:val="21"/>
                      <w:lang w:val="en-US" w:eastAsia="zh-CN"/>
                    </w:rPr>
                    <w:t>90</w:t>
                  </w:r>
                </w:p>
              </w:tc>
              <w:tc>
                <w:tcPr>
                  <w:tcW w:w="370" w:type="pct"/>
                  <w:vAlign w:val="center"/>
                </w:tcPr>
                <w:p w14:paraId="1D09B7B7">
                  <w:pPr>
                    <w:adjustRightInd w:val="0"/>
                    <w:snapToGrid w:val="0"/>
                    <w:jc w:val="center"/>
                    <w:rPr>
                      <w:rFonts w:hint="eastAsia"/>
                      <w:bCs/>
                      <w:sz w:val="21"/>
                      <w:szCs w:val="21"/>
                    </w:rPr>
                  </w:pPr>
                  <w:r>
                    <w:rPr>
                      <w:rFonts w:hint="eastAsia"/>
                      <w:bCs/>
                      <w:sz w:val="21"/>
                      <w:szCs w:val="21"/>
                    </w:rPr>
                    <w:t>0.1</w:t>
                  </w:r>
                  <w:r>
                    <w:rPr>
                      <w:rFonts w:hint="eastAsia"/>
                      <w:bCs/>
                      <w:sz w:val="21"/>
                      <w:szCs w:val="21"/>
                      <w:lang w:val="en-US" w:eastAsia="zh-CN"/>
                    </w:rPr>
                    <w:t>35</w:t>
                  </w:r>
                </w:p>
              </w:tc>
              <w:tc>
                <w:tcPr>
                  <w:tcW w:w="329" w:type="pct"/>
                  <w:vAlign w:val="center"/>
                </w:tcPr>
                <w:p w14:paraId="0A8A3E68">
                  <w:pPr>
                    <w:adjustRightInd w:val="0"/>
                    <w:snapToGrid w:val="0"/>
                    <w:jc w:val="center"/>
                    <w:rPr>
                      <w:rFonts w:hint="eastAsia"/>
                      <w:bCs/>
                      <w:sz w:val="21"/>
                      <w:szCs w:val="21"/>
                    </w:rPr>
                  </w:pPr>
                  <w:r>
                    <w:rPr>
                      <w:rFonts w:hint="eastAsia"/>
                      <w:bCs/>
                      <w:sz w:val="21"/>
                      <w:szCs w:val="21"/>
                    </w:rPr>
                    <w:t>0.01</w:t>
                  </w:r>
                  <w:r>
                    <w:rPr>
                      <w:rFonts w:hint="eastAsia"/>
                      <w:bCs/>
                      <w:sz w:val="21"/>
                      <w:szCs w:val="21"/>
                      <w:lang w:val="en-US" w:eastAsia="zh-CN"/>
                    </w:rPr>
                    <w:t>88</w:t>
                  </w:r>
                </w:p>
              </w:tc>
              <w:tc>
                <w:tcPr>
                  <w:tcW w:w="355" w:type="pct"/>
                  <w:vAlign w:val="center"/>
                </w:tcPr>
                <w:p w14:paraId="65B92E43">
                  <w:pPr>
                    <w:adjustRightInd w:val="0"/>
                    <w:snapToGrid w:val="0"/>
                    <w:jc w:val="center"/>
                    <w:rPr>
                      <w:rFonts w:hint="eastAsia"/>
                      <w:bCs/>
                      <w:sz w:val="21"/>
                      <w:szCs w:val="21"/>
                    </w:rPr>
                  </w:pPr>
                  <w:r>
                    <w:rPr>
                      <w:rFonts w:hint="eastAsia"/>
                      <w:bCs/>
                      <w:sz w:val="21"/>
                      <w:szCs w:val="21"/>
                    </w:rPr>
                    <w:t>1.</w:t>
                  </w:r>
                  <w:r>
                    <w:rPr>
                      <w:rFonts w:hint="eastAsia"/>
                      <w:bCs/>
                      <w:sz w:val="21"/>
                      <w:szCs w:val="21"/>
                      <w:lang w:val="en-US" w:eastAsia="zh-CN"/>
                    </w:rPr>
                    <w:t>567</w:t>
                  </w:r>
                </w:p>
              </w:tc>
              <w:tc>
                <w:tcPr>
                  <w:tcW w:w="321" w:type="pct"/>
                  <w:vAlign w:val="center"/>
                </w:tcPr>
                <w:p w14:paraId="1F982E32">
                  <w:pPr>
                    <w:adjustRightInd w:val="0"/>
                    <w:snapToGrid w:val="0"/>
                    <w:jc w:val="center"/>
                    <w:rPr>
                      <w:rFonts w:hint="eastAsia"/>
                      <w:bCs/>
                      <w:sz w:val="21"/>
                      <w:szCs w:val="21"/>
                      <w:lang w:val="en-US" w:eastAsia="zh-CN"/>
                    </w:rPr>
                  </w:pPr>
                  <w:r>
                    <w:rPr>
                      <w:rFonts w:hint="eastAsia"/>
                      <w:bCs/>
                      <w:sz w:val="21"/>
                      <w:szCs w:val="21"/>
                      <w:lang w:val="en-US" w:eastAsia="zh-CN"/>
                    </w:rPr>
                    <w:t>40</w:t>
                  </w:r>
                </w:p>
              </w:tc>
              <w:tc>
                <w:tcPr>
                  <w:tcW w:w="275" w:type="pct"/>
                  <w:vAlign w:val="center"/>
                </w:tcPr>
                <w:p w14:paraId="0CB02979">
                  <w:pPr>
                    <w:adjustRightInd w:val="0"/>
                    <w:snapToGrid w:val="0"/>
                    <w:jc w:val="center"/>
                    <w:rPr>
                      <w:rFonts w:hint="eastAsia"/>
                      <w:bCs/>
                      <w:sz w:val="21"/>
                      <w:szCs w:val="21"/>
                      <w:lang w:val="en-US" w:eastAsia="zh-CN"/>
                    </w:rPr>
                  </w:pPr>
                  <w:r>
                    <w:rPr>
                      <w:rFonts w:hint="eastAsia"/>
                      <w:bCs/>
                      <w:sz w:val="21"/>
                      <w:szCs w:val="21"/>
                      <w:lang w:val="en-US" w:eastAsia="zh-CN"/>
                    </w:rPr>
                    <w:t>1.6</w:t>
                  </w:r>
                </w:p>
              </w:tc>
              <w:tc>
                <w:tcPr>
                  <w:tcW w:w="344" w:type="pct"/>
                  <w:vAlign w:val="center"/>
                </w:tcPr>
                <w:p w14:paraId="6452B98C">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07389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continue"/>
                  <w:vAlign w:val="center"/>
                </w:tcPr>
                <w:p w14:paraId="32157DC6">
                  <w:pPr>
                    <w:adjustRightInd w:val="0"/>
                    <w:snapToGrid w:val="0"/>
                    <w:jc w:val="center"/>
                    <w:rPr>
                      <w:rFonts w:hint="eastAsia"/>
                      <w:b w:val="0"/>
                      <w:bCs/>
                      <w:sz w:val="21"/>
                      <w:szCs w:val="21"/>
                      <w:lang w:val="en-US" w:eastAsia="zh-CN"/>
                    </w:rPr>
                  </w:pPr>
                </w:p>
              </w:tc>
              <w:tc>
                <w:tcPr>
                  <w:tcW w:w="265" w:type="pct"/>
                  <w:vAlign w:val="center"/>
                </w:tcPr>
                <w:p w14:paraId="60422E6F">
                  <w:pPr>
                    <w:widowControl/>
                    <w:jc w:val="center"/>
                    <w:rPr>
                      <w:rFonts w:hint="eastAsia"/>
                      <w:color w:val="000000"/>
                      <w:kern w:val="0"/>
                      <w:sz w:val="21"/>
                      <w:szCs w:val="21"/>
                      <w:lang w:val="en-US" w:eastAsia="zh-CN"/>
                    </w:rPr>
                  </w:pPr>
                  <w:r>
                    <w:rPr>
                      <w:rFonts w:hint="eastAsia"/>
                      <w:color w:val="000000"/>
                      <w:kern w:val="0"/>
                      <w:sz w:val="21"/>
                      <w:szCs w:val="21"/>
                      <w:lang w:val="en-US" w:eastAsia="zh-CN"/>
                    </w:rPr>
                    <w:t>HCl</w:t>
                  </w:r>
                </w:p>
              </w:tc>
              <w:tc>
                <w:tcPr>
                  <w:tcW w:w="412" w:type="pct"/>
                  <w:vAlign w:val="center"/>
                </w:tcPr>
                <w:p w14:paraId="04ADC521">
                  <w:pPr>
                    <w:adjustRightInd w:val="0"/>
                    <w:snapToGrid w:val="0"/>
                    <w:jc w:val="center"/>
                    <w:rPr>
                      <w:rFonts w:hint="default" w:eastAsia="宋体"/>
                      <w:bCs/>
                      <w:sz w:val="21"/>
                      <w:szCs w:val="21"/>
                      <w:lang w:val="en-US" w:eastAsia="zh-CN"/>
                    </w:rPr>
                  </w:pPr>
                  <w:r>
                    <w:rPr>
                      <w:rFonts w:hint="eastAsia"/>
                      <w:bCs/>
                      <w:sz w:val="21"/>
                      <w:szCs w:val="21"/>
                    </w:rPr>
                    <w:t>0.00</w:t>
                  </w:r>
                  <w:r>
                    <w:rPr>
                      <w:rFonts w:hint="eastAsia"/>
                      <w:bCs/>
                      <w:sz w:val="21"/>
                      <w:szCs w:val="21"/>
                      <w:lang w:val="en-US" w:eastAsia="zh-CN"/>
                    </w:rPr>
                    <w:t>68</w:t>
                  </w:r>
                </w:p>
              </w:tc>
              <w:tc>
                <w:tcPr>
                  <w:tcW w:w="304" w:type="pct"/>
                  <w:vAlign w:val="center"/>
                </w:tcPr>
                <w:p w14:paraId="42C5BB9D">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35A9D427">
                  <w:pPr>
                    <w:adjustRightInd w:val="0"/>
                    <w:snapToGrid w:val="0"/>
                    <w:jc w:val="center"/>
                    <w:rPr>
                      <w:rFonts w:hint="default" w:eastAsia="宋体"/>
                      <w:bCs/>
                      <w:sz w:val="21"/>
                      <w:szCs w:val="21"/>
                      <w:lang w:val="en-US" w:eastAsia="zh-CN"/>
                    </w:rPr>
                  </w:pPr>
                  <w:r>
                    <w:rPr>
                      <w:rFonts w:hint="eastAsia"/>
                      <w:bCs/>
                      <w:sz w:val="21"/>
                      <w:szCs w:val="21"/>
                      <w:lang w:val="en-US" w:eastAsia="zh-CN"/>
                    </w:rPr>
                    <w:t>0.0009</w:t>
                  </w:r>
                </w:p>
              </w:tc>
              <w:tc>
                <w:tcPr>
                  <w:tcW w:w="334" w:type="pct"/>
                  <w:vAlign w:val="center"/>
                </w:tcPr>
                <w:p w14:paraId="628CF91D">
                  <w:pPr>
                    <w:adjustRightInd w:val="0"/>
                    <w:snapToGrid w:val="0"/>
                    <w:jc w:val="center"/>
                    <w:rPr>
                      <w:rFonts w:hint="eastAsia"/>
                      <w:bCs/>
                      <w:sz w:val="21"/>
                      <w:szCs w:val="21"/>
                    </w:rPr>
                  </w:pPr>
                  <w:r>
                    <w:rPr>
                      <w:rFonts w:hint="eastAsia"/>
                      <w:bCs/>
                      <w:sz w:val="21"/>
                      <w:szCs w:val="21"/>
                      <w:lang w:val="en-US" w:eastAsia="zh-CN"/>
                    </w:rPr>
                    <w:t>0.075</w:t>
                  </w:r>
                </w:p>
              </w:tc>
              <w:tc>
                <w:tcPr>
                  <w:tcW w:w="674" w:type="pct"/>
                  <w:vMerge w:val="continue"/>
                  <w:vAlign w:val="center"/>
                </w:tcPr>
                <w:p w14:paraId="38347EDF">
                  <w:pPr>
                    <w:adjustRightInd w:val="0"/>
                    <w:snapToGrid w:val="0"/>
                    <w:jc w:val="center"/>
                    <w:rPr>
                      <w:bCs/>
                      <w:sz w:val="21"/>
                      <w:szCs w:val="21"/>
                    </w:rPr>
                  </w:pPr>
                </w:p>
              </w:tc>
              <w:tc>
                <w:tcPr>
                  <w:tcW w:w="252" w:type="pct"/>
                  <w:vAlign w:val="center"/>
                </w:tcPr>
                <w:p w14:paraId="1294EC30">
                  <w:pPr>
                    <w:adjustRightInd w:val="0"/>
                    <w:snapToGrid w:val="0"/>
                    <w:jc w:val="center"/>
                    <w:rPr>
                      <w:rFonts w:hint="default"/>
                      <w:bCs/>
                      <w:sz w:val="21"/>
                      <w:szCs w:val="21"/>
                      <w:lang w:val="en-US" w:eastAsia="zh-CN"/>
                    </w:rPr>
                  </w:pPr>
                  <w:r>
                    <w:rPr>
                      <w:rFonts w:hint="eastAsia"/>
                      <w:bCs/>
                      <w:sz w:val="21"/>
                      <w:szCs w:val="21"/>
                      <w:lang w:val="en-US" w:eastAsia="zh-CN"/>
                    </w:rPr>
                    <w:t>95</w:t>
                  </w:r>
                </w:p>
              </w:tc>
              <w:tc>
                <w:tcPr>
                  <w:tcW w:w="370" w:type="pct"/>
                  <w:vAlign w:val="center"/>
                </w:tcPr>
                <w:p w14:paraId="7CFB105A">
                  <w:pPr>
                    <w:adjustRightInd w:val="0"/>
                    <w:snapToGrid w:val="0"/>
                    <w:jc w:val="center"/>
                    <w:rPr>
                      <w:rFonts w:hint="eastAsia"/>
                      <w:bCs/>
                      <w:sz w:val="21"/>
                      <w:szCs w:val="21"/>
                    </w:rPr>
                  </w:pPr>
                  <w:r>
                    <w:rPr>
                      <w:rFonts w:hint="eastAsia"/>
                      <w:bCs/>
                      <w:sz w:val="21"/>
                      <w:szCs w:val="21"/>
                    </w:rPr>
                    <w:t>0.000</w:t>
                  </w:r>
                  <w:r>
                    <w:rPr>
                      <w:rFonts w:hint="eastAsia"/>
                      <w:bCs/>
                      <w:sz w:val="21"/>
                      <w:szCs w:val="21"/>
                      <w:lang w:val="en-US" w:eastAsia="zh-CN"/>
                    </w:rPr>
                    <w:t>3</w:t>
                  </w:r>
                </w:p>
              </w:tc>
              <w:tc>
                <w:tcPr>
                  <w:tcW w:w="329" w:type="pct"/>
                  <w:vAlign w:val="center"/>
                </w:tcPr>
                <w:p w14:paraId="222E58A5">
                  <w:pPr>
                    <w:adjustRightInd w:val="0"/>
                    <w:snapToGrid w:val="0"/>
                    <w:jc w:val="center"/>
                    <w:rPr>
                      <w:rFonts w:hint="eastAsia"/>
                      <w:bCs/>
                      <w:sz w:val="21"/>
                      <w:szCs w:val="21"/>
                    </w:rPr>
                  </w:pPr>
                  <w:r>
                    <w:rPr>
                      <w:rFonts w:hint="eastAsia"/>
                      <w:bCs/>
                      <w:sz w:val="21"/>
                      <w:szCs w:val="21"/>
                    </w:rPr>
                    <w:t>0.000</w:t>
                  </w:r>
                  <w:r>
                    <w:rPr>
                      <w:rFonts w:hint="eastAsia"/>
                      <w:bCs/>
                      <w:sz w:val="21"/>
                      <w:szCs w:val="21"/>
                      <w:lang w:val="en-US" w:eastAsia="zh-CN"/>
                    </w:rPr>
                    <w:t>04</w:t>
                  </w:r>
                </w:p>
              </w:tc>
              <w:tc>
                <w:tcPr>
                  <w:tcW w:w="355" w:type="pct"/>
                  <w:vAlign w:val="center"/>
                </w:tcPr>
                <w:p w14:paraId="47C765DD">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33</w:t>
                  </w:r>
                </w:p>
              </w:tc>
              <w:tc>
                <w:tcPr>
                  <w:tcW w:w="321" w:type="pct"/>
                  <w:vAlign w:val="center"/>
                </w:tcPr>
                <w:p w14:paraId="75F731A9">
                  <w:pPr>
                    <w:adjustRightInd w:val="0"/>
                    <w:snapToGrid w:val="0"/>
                    <w:jc w:val="center"/>
                    <w:rPr>
                      <w:rFonts w:hint="eastAsia"/>
                      <w:bCs/>
                      <w:sz w:val="21"/>
                      <w:szCs w:val="21"/>
                      <w:lang w:val="en-US" w:eastAsia="zh-CN"/>
                    </w:rPr>
                  </w:pPr>
                  <w:r>
                    <w:rPr>
                      <w:rFonts w:hint="eastAsia"/>
                      <w:bCs/>
                      <w:sz w:val="21"/>
                      <w:szCs w:val="21"/>
                      <w:lang w:val="en-US" w:eastAsia="zh-CN"/>
                    </w:rPr>
                    <w:t>100</w:t>
                  </w:r>
                </w:p>
              </w:tc>
              <w:tc>
                <w:tcPr>
                  <w:tcW w:w="275" w:type="pct"/>
                  <w:vAlign w:val="center"/>
                </w:tcPr>
                <w:p w14:paraId="2620538F">
                  <w:pPr>
                    <w:adjustRightInd w:val="0"/>
                    <w:snapToGrid w:val="0"/>
                    <w:jc w:val="center"/>
                    <w:rPr>
                      <w:rFonts w:hint="eastAsia"/>
                      <w:bCs/>
                      <w:sz w:val="21"/>
                      <w:szCs w:val="21"/>
                      <w:lang w:val="en-US" w:eastAsia="zh-CN"/>
                    </w:rPr>
                  </w:pPr>
                  <w:r>
                    <w:rPr>
                      <w:rFonts w:hint="eastAsia"/>
                      <w:bCs/>
                      <w:sz w:val="21"/>
                      <w:szCs w:val="21"/>
                      <w:lang w:val="en-US" w:eastAsia="zh-CN"/>
                    </w:rPr>
                    <w:t>0.26</w:t>
                  </w:r>
                </w:p>
              </w:tc>
              <w:tc>
                <w:tcPr>
                  <w:tcW w:w="344" w:type="pct"/>
                  <w:vAlign w:val="center"/>
                </w:tcPr>
                <w:p w14:paraId="4E5DF0F4">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04B3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restart"/>
                  <w:vAlign w:val="center"/>
                </w:tcPr>
                <w:p w14:paraId="0B824F53">
                  <w:pPr>
                    <w:adjustRightInd w:val="0"/>
                    <w:snapToGrid w:val="0"/>
                    <w:jc w:val="center"/>
                    <w:rPr>
                      <w:rFonts w:hint="eastAsia"/>
                      <w:b w:val="0"/>
                      <w:bCs/>
                      <w:sz w:val="21"/>
                      <w:szCs w:val="21"/>
                      <w:lang w:val="en-US" w:eastAsia="zh-CN"/>
                    </w:rPr>
                  </w:pPr>
                  <w:r>
                    <w:rPr>
                      <w:rFonts w:hint="eastAsia"/>
                      <w:b w:val="0"/>
                      <w:bCs/>
                      <w:sz w:val="21"/>
                      <w:szCs w:val="21"/>
                      <w:lang w:val="en-US" w:eastAsia="zh-CN"/>
                    </w:rPr>
                    <w:t>DA003</w:t>
                  </w:r>
                </w:p>
              </w:tc>
              <w:tc>
                <w:tcPr>
                  <w:tcW w:w="265" w:type="pct"/>
                  <w:vAlign w:val="center"/>
                </w:tcPr>
                <w:p w14:paraId="1AD24DDE">
                  <w:pPr>
                    <w:widowControl/>
                    <w:jc w:val="center"/>
                    <w:rPr>
                      <w:rFonts w:hint="eastAsia"/>
                      <w:color w:val="000000"/>
                      <w:kern w:val="0"/>
                      <w:sz w:val="21"/>
                      <w:szCs w:val="21"/>
                      <w:lang w:val="en-US" w:eastAsia="zh-CN"/>
                    </w:rPr>
                  </w:pPr>
                  <w:r>
                    <w:rPr>
                      <w:rFonts w:hint="eastAsia"/>
                      <w:color w:val="000000"/>
                      <w:kern w:val="0"/>
                      <w:sz w:val="21"/>
                      <w:szCs w:val="21"/>
                    </w:rPr>
                    <w:t>非甲烷总烃</w:t>
                  </w:r>
                </w:p>
              </w:tc>
              <w:tc>
                <w:tcPr>
                  <w:tcW w:w="412" w:type="pct"/>
                  <w:vAlign w:val="center"/>
                </w:tcPr>
                <w:p w14:paraId="30C80AED">
                  <w:pPr>
                    <w:adjustRightInd w:val="0"/>
                    <w:snapToGrid w:val="0"/>
                    <w:jc w:val="center"/>
                    <w:rPr>
                      <w:rFonts w:hint="eastAsia"/>
                      <w:bCs/>
                      <w:sz w:val="21"/>
                      <w:szCs w:val="21"/>
                    </w:rPr>
                  </w:pPr>
                  <w:r>
                    <w:rPr>
                      <w:rFonts w:hint="eastAsia"/>
                      <w:bCs/>
                      <w:sz w:val="21"/>
                      <w:szCs w:val="21"/>
                    </w:rPr>
                    <w:t>1.</w:t>
                  </w:r>
                  <w:r>
                    <w:rPr>
                      <w:rFonts w:hint="eastAsia"/>
                      <w:bCs/>
                      <w:sz w:val="21"/>
                      <w:szCs w:val="21"/>
                      <w:lang w:val="en-US" w:eastAsia="zh-CN"/>
                    </w:rPr>
                    <w:t>35</w:t>
                  </w:r>
                </w:p>
              </w:tc>
              <w:tc>
                <w:tcPr>
                  <w:tcW w:w="304" w:type="pct"/>
                  <w:vAlign w:val="center"/>
                </w:tcPr>
                <w:p w14:paraId="70DD94BF">
                  <w:pPr>
                    <w:adjustRightInd w:val="0"/>
                    <w:snapToGrid w:val="0"/>
                    <w:jc w:val="center"/>
                    <w:rPr>
                      <w:rFonts w:hint="eastAsia"/>
                      <w:bCs/>
                      <w:sz w:val="21"/>
                      <w:szCs w:val="21"/>
                    </w:rPr>
                  </w:pPr>
                  <w:r>
                    <w:rPr>
                      <w:rFonts w:hint="eastAsia"/>
                      <w:bCs/>
                      <w:sz w:val="21"/>
                      <w:szCs w:val="21"/>
                      <w:lang w:val="en-US" w:eastAsia="zh-CN"/>
                    </w:rPr>
                    <w:t>7200</w:t>
                  </w:r>
                </w:p>
              </w:tc>
              <w:tc>
                <w:tcPr>
                  <w:tcW w:w="418" w:type="pct"/>
                  <w:vAlign w:val="center"/>
                </w:tcPr>
                <w:p w14:paraId="52BCDB2D">
                  <w:pPr>
                    <w:adjustRightInd w:val="0"/>
                    <w:snapToGrid w:val="0"/>
                    <w:jc w:val="center"/>
                    <w:rPr>
                      <w:rFonts w:hint="eastAsia"/>
                      <w:bCs/>
                      <w:sz w:val="21"/>
                      <w:szCs w:val="21"/>
                    </w:rPr>
                  </w:pPr>
                  <w:r>
                    <w:rPr>
                      <w:rFonts w:hint="eastAsia"/>
                      <w:bCs/>
                      <w:sz w:val="21"/>
                      <w:szCs w:val="21"/>
                      <w:lang w:val="en-US" w:eastAsia="zh-CN"/>
                    </w:rPr>
                    <w:t>0.1875</w:t>
                  </w:r>
                </w:p>
              </w:tc>
              <w:tc>
                <w:tcPr>
                  <w:tcW w:w="334" w:type="pct"/>
                  <w:vAlign w:val="center"/>
                </w:tcPr>
                <w:p w14:paraId="0835C6DE">
                  <w:pPr>
                    <w:adjustRightInd w:val="0"/>
                    <w:snapToGrid w:val="0"/>
                    <w:jc w:val="center"/>
                    <w:rPr>
                      <w:rFonts w:hint="eastAsia"/>
                      <w:bCs/>
                      <w:sz w:val="21"/>
                      <w:szCs w:val="21"/>
                    </w:rPr>
                  </w:pPr>
                  <w:r>
                    <w:rPr>
                      <w:rFonts w:hint="eastAsia"/>
                      <w:bCs/>
                      <w:sz w:val="21"/>
                      <w:szCs w:val="21"/>
                      <w:lang w:val="en-US" w:eastAsia="zh-CN"/>
                    </w:rPr>
                    <w:t>15.625</w:t>
                  </w:r>
                </w:p>
              </w:tc>
              <w:tc>
                <w:tcPr>
                  <w:tcW w:w="674" w:type="pct"/>
                  <w:vMerge w:val="restart"/>
                  <w:vAlign w:val="center"/>
                </w:tcPr>
                <w:p w14:paraId="6C4A44E1">
                  <w:pPr>
                    <w:adjustRightInd w:val="0"/>
                    <w:snapToGrid w:val="0"/>
                    <w:jc w:val="center"/>
                    <w:rPr>
                      <w:bCs/>
                      <w:sz w:val="21"/>
                      <w:szCs w:val="21"/>
                    </w:rPr>
                  </w:pPr>
                  <w:r>
                    <w:rPr>
                      <w:rFonts w:hint="eastAsia"/>
                      <w:color w:val="000000"/>
                      <w:kern w:val="0"/>
                      <w:sz w:val="21"/>
                      <w:szCs w:val="21"/>
                    </w:rPr>
                    <w:t>设置集气罩并加设软帘收集废气，通入“1</w:t>
                  </w:r>
                  <w:r>
                    <w:rPr>
                      <w:color w:val="000000"/>
                      <w:kern w:val="0"/>
                      <w:sz w:val="21"/>
                      <w:szCs w:val="21"/>
                    </w:rPr>
                    <w:t>#</w:t>
                  </w:r>
                  <w:r>
                    <w:rPr>
                      <w:rFonts w:hint="eastAsia"/>
                      <w:color w:val="000000"/>
                      <w:kern w:val="0"/>
                      <w:sz w:val="21"/>
                      <w:szCs w:val="21"/>
                    </w:rPr>
                    <w:t>碱水喷淋塔+除雾+二级活性炭吸附装置”处理</w:t>
                  </w:r>
                </w:p>
              </w:tc>
              <w:tc>
                <w:tcPr>
                  <w:tcW w:w="252" w:type="pct"/>
                  <w:vAlign w:val="center"/>
                </w:tcPr>
                <w:p w14:paraId="6704346A">
                  <w:pPr>
                    <w:adjustRightInd w:val="0"/>
                    <w:snapToGrid w:val="0"/>
                    <w:jc w:val="center"/>
                    <w:rPr>
                      <w:rFonts w:hint="default"/>
                      <w:bCs/>
                      <w:sz w:val="21"/>
                      <w:szCs w:val="21"/>
                      <w:lang w:val="en-US" w:eastAsia="zh-CN"/>
                    </w:rPr>
                  </w:pPr>
                  <w:r>
                    <w:rPr>
                      <w:rFonts w:hint="eastAsia"/>
                      <w:bCs/>
                      <w:sz w:val="21"/>
                      <w:szCs w:val="21"/>
                      <w:lang w:val="en-US" w:eastAsia="zh-CN"/>
                    </w:rPr>
                    <w:t>90</w:t>
                  </w:r>
                </w:p>
              </w:tc>
              <w:tc>
                <w:tcPr>
                  <w:tcW w:w="370" w:type="pct"/>
                  <w:vAlign w:val="center"/>
                </w:tcPr>
                <w:p w14:paraId="33D9FC0F">
                  <w:pPr>
                    <w:adjustRightInd w:val="0"/>
                    <w:snapToGrid w:val="0"/>
                    <w:jc w:val="center"/>
                    <w:rPr>
                      <w:rFonts w:hint="eastAsia"/>
                      <w:bCs/>
                      <w:sz w:val="21"/>
                      <w:szCs w:val="21"/>
                    </w:rPr>
                  </w:pPr>
                  <w:r>
                    <w:rPr>
                      <w:rFonts w:hint="eastAsia"/>
                      <w:bCs/>
                      <w:sz w:val="21"/>
                      <w:szCs w:val="21"/>
                    </w:rPr>
                    <w:t>0.1</w:t>
                  </w:r>
                  <w:r>
                    <w:rPr>
                      <w:rFonts w:hint="eastAsia"/>
                      <w:bCs/>
                      <w:sz w:val="21"/>
                      <w:szCs w:val="21"/>
                      <w:lang w:val="en-US" w:eastAsia="zh-CN"/>
                    </w:rPr>
                    <w:t>35</w:t>
                  </w:r>
                </w:p>
              </w:tc>
              <w:tc>
                <w:tcPr>
                  <w:tcW w:w="329" w:type="pct"/>
                  <w:vAlign w:val="center"/>
                </w:tcPr>
                <w:p w14:paraId="6F8BF454">
                  <w:pPr>
                    <w:adjustRightInd w:val="0"/>
                    <w:snapToGrid w:val="0"/>
                    <w:jc w:val="center"/>
                    <w:rPr>
                      <w:rFonts w:hint="eastAsia"/>
                      <w:bCs/>
                      <w:sz w:val="21"/>
                      <w:szCs w:val="21"/>
                    </w:rPr>
                  </w:pPr>
                  <w:r>
                    <w:rPr>
                      <w:rFonts w:hint="eastAsia"/>
                      <w:bCs/>
                      <w:sz w:val="21"/>
                      <w:szCs w:val="21"/>
                    </w:rPr>
                    <w:t>0.01</w:t>
                  </w:r>
                  <w:r>
                    <w:rPr>
                      <w:rFonts w:hint="eastAsia"/>
                      <w:bCs/>
                      <w:sz w:val="21"/>
                      <w:szCs w:val="21"/>
                      <w:lang w:val="en-US" w:eastAsia="zh-CN"/>
                    </w:rPr>
                    <w:t>88</w:t>
                  </w:r>
                </w:p>
              </w:tc>
              <w:tc>
                <w:tcPr>
                  <w:tcW w:w="355" w:type="pct"/>
                  <w:vAlign w:val="center"/>
                </w:tcPr>
                <w:p w14:paraId="07C54B15">
                  <w:pPr>
                    <w:adjustRightInd w:val="0"/>
                    <w:snapToGrid w:val="0"/>
                    <w:jc w:val="center"/>
                    <w:rPr>
                      <w:rFonts w:hint="eastAsia"/>
                      <w:bCs/>
                      <w:sz w:val="21"/>
                      <w:szCs w:val="21"/>
                    </w:rPr>
                  </w:pPr>
                  <w:r>
                    <w:rPr>
                      <w:rFonts w:hint="eastAsia"/>
                      <w:bCs/>
                      <w:sz w:val="21"/>
                      <w:szCs w:val="21"/>
                    </w:rPr>
                    <w:t>1.</w:t>
                  </w:r>
                  <w:r>
                    <w:rPr>
                      <w:rFonts w:hint="eastAsia"/>
                      <w:bCs/>
                      <w:sz w:val="21"/>
                      <w:szCs w:val="21"/>
                      <w:lang w:val="en-US" w:eastAsia="zh-CN"/>
                    </w:rPr>
                    <w:t>567</w:t>
                  </w:r>
                </w:p>
              </w:tc>
              <w:tc>
                <w:tcPr>
                  <w:tcW w:w="321" w:type="pct"/>
                  <w:vAlign w:val="center"/>
                </w:tcPr>
                <w:p w14:paraId="59E0721D">
                  <w:pPr>
                    <w:adjustRightInd w:val="0"/>
                    <w:snapToGrid w:val="0"/>
                    <w:jc w:val="center"/>
                    <w:rPr>
                      <w:rFonts w:hint="eastAsia"/>
                      <w:bCs/>
                      <w:sz w:val="21"/>
                      <w:szCs w:val="21"/>
                      <w:lang w:val="en-US" w:eastAsia="zh-CN"/>
                    </w:rPr>
                  </w:pPr>
                  <w:r>
                    <w:rPr>
                      <w:rFonts w:hint="eastAsia"/>
                      <w:bCs/>
                      <w:sz w:val="21"/>
                      <w:szCs w:val="21"/>
                      <w:lang w:val="en-US" w:eastAsia="zh-CN"/>
                    </w:rPr>
                    <w:t>40</w:t>
                  </w:r>
                </w:p>
              </w:tc>
              <w:tc>
                <w:tcPr>
                  <w:tcW w:w="275" w:type="pct"/>
                  <w:vAlign w:val="center"/>
                </w:tcPr>
                <w:p w14:paraId="3E55E6E1">
                  <w:pPr>
                    <w:adjustRightInd w:val="0"/>
                    <w:snapToGrid w:val="0"/>
                    <w:jc w:val="center"/>
                    <w:rPr>
                      <w:rFonts w:hint="eastAsia"/>
                      <w:bCs/>
                      <w:sz w:val="21"/>
                      <w:szCs w:val="21"/>
                      <w:lang w:val="en-US" w:eastAsia="zh-CN"/>
                    </w:rPr>
                  </w:pPr>
                  <w:r>
                    <w:rPr>
                      <w:rFonts w:hint="eastAsia"/>
                      <w:bCs/>
                      <w:sz w:val="21"/>
                      <w:szCs w:val="21"/>
                      <w:lang w:val="en-US" w:eastAsia="zh-CN"/>
                    </w:rPr>
                    <w:t>1.6</w:t>
                  </w:r>
                </w:p>
              </w:tc>
              <w:tc>
                <w:tcPr>
                  <w:tcW w:w="344" w:type="pct"/>
                  <w:vAlign w:val="center"/>
                </w:tcPr>
                <w:p w14:paraId="7D7180E9">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675D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continue"/>
                  <w:vAlign w:val="center"/>
                </w:tcPr>
                <w:p w14:paraId="70570CE8">
                  <w:pPr>
                    <w:adjustRightInd w:val="0"/>
                    <w:snapToGrid w:val="0"/>
                    <w:jc w:val="center"/>
                    <w:rPr>
                      <w:rFonts w:hint="eastAsia"/>
                      <w:b w:val="0"/>
                      <w:bCs/>
                      <w:sz w:val="21"/>
                      <w:szCs w:val="21"/>
                      <w:lang w:val="en-US" w:eastAsia="zh-CN"/>
                    </w:rPr>
                  </w:pPr>
                </w:p>
              </w:tc>
              <w:tc>
                <w:tcPr>
                  <w:tcW w:w="265" w:type="pct"/>
                  <w:vAlign w:val="center"/>
                </w:tcPr>
                <w:p w14:paraId="5A25175E">
                  <w:pPr>
                    <w:widowControl/>
                    <w:jc w:val="center"/>
                    <w:rPr>
                      <w:rFonts w:hint="eastAsia"/>
                      <w:color w:val="000000"/>
                      <w:kern w:val="0"/>
                      <w:sz w:val="21"/>
                      <w:szCs w:val="21"/>
                      <w:lang w:val="en-US" w:eastAsia="zh-CN"/>
                    </w:rPr>
                  </w:pPr>
                  <w:r>
                    <w:rPr>
                      <w:rFonts w:hint="eastAsia"/>
                      <w:color w:val="000000"/>
                      <w:kern w:val="0"/>
                      <w:sz w:val="21"/>
                      <w:szCs w:val="21"/>
                      <w:lang w:val="en-US" w:eastAsia="zh-CN"/>
                    </w:rPr>
                    <w:t>HCl</w:t>
                  </w:r>
                </w:p>
              </w:tc>
              <w:tc>
                <w:tcPr>
                  <w:tcW w:w="412" w:type="pct"/>
                  <w:vAlign w:val="center"/>
                </w:tcPr>
                <w:p w14:paraId="0FC13764">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68</w:t>
                  </w:r>
                </w:p>
              </w:tc>
              <w:tc>
                <w:tcPr>
                  <w:tcW w:w="304" w:type="pct"/>
                  <w:vAlign w:val="center"/>
                </w:tcPr>
                <w:p w14:paraId="4142F075">
                  <w:pPr>
                    <w:adjustRightInd w:val="0"/>
                    <w:snapToGrid w:val="0"/>
                    <w:jc w:val="center"/>
                    <w:rPr>
                      <w:rFonts w:hint="eastAsia"/>
                      <w:bCs/>
                      <w:sz w:val="21"/>
                      <w:szCs w:val="21"/>
                    </w:rPr>
                  </w:pPr>
                  <w:r>
                    <w:rPr>
                      <w:rFonts w:hint="eastAsia"/>
                      <w:bCs/>
                      <w:sz w:val="21"/>
                      <w:szCs w:val="21"/>
                      <w:lang w:val="en-US" w:eastAsia="zh-CN"/>
                    </w:rPr>
                    <w:t>7200</w:t>
                  </w:r>
                </w:p>
              </w:tc>
              <w:tc>
                <w:tcPr>
                  <w:tcW w:w="418" w:type="pct"/>
                  <w:vAlign w:val="center"/>
                </w:tcPr>
                <w:p w14:paraId="47E34182">
                  <w:pPr>
                    <w:adjustRightInd w:val="0"/>
                    <w:snapToGrid w:val="0"/>
                    <w:jc w:val="center"/>
                    <w:rPr>
                      <w:rFonts w:hint="eastAsia"/>
                      <w:bCs/>
                      <w:sz w:val="21"/>
                      <w:szCs w:val="21"/>
                    </w:rPr>
                  </w:pPr>
                  <w:r>
                    <w:rPr>
                      <w:rFonts w:hint="eastAsia"/>
                      <w:bCs/>
                      <w:sz w:val="21"/>
                      <w:szCs w:val="21"/>
                      <w:lang w:val="en-US" w:eastAsia="zh-CN"/>
                    </w:rPr>
                    <w:t>0.0009</w:t>
                  </w:r>
                </w:p>
              </w:tc>
              <w:tc>
                <w:tcPr>
                  <w:tcW w:w="334" w:type="pct"/>
                  <w:vAlign w:val="center"/>
                </w:tcPr>
                <w:p w14:paraId="21BDB175">
                  <w:pPr>
                    <w:adjustRightInd w:val="0"/>
                    <w:snapToGrid w:val="0"/>
                    <w:jc w:val="center"/>
                    <w:rPr>
                      <w:rFonts w:hint="eastAsia"/>
                      <w:bCs/>
                      <w:sz w:val="21"/>
                      <w:szCs w:val="21"/>
                    </w:rPr>
                  </w:pPr>
                  <w:r>
                    <w:rPr>
                      <w:rFonts w:hint="eastAsia"/>
                      <w:bCs/>
                      <w:sz w:val="21"/>
                      <w:szCs w:val="21"/>
                      <w:lang w:val="en-US" w:eastAsia="zh-CN"/>
                    </w:rPr>
                    <w:t>0.075</w:t>
                  </w:r>
                </w:p>
              </w:tc>
              <w:tc>
                <w:tcPr>
                  <w:tcW w:w="674" w:type="pct"/>
                  <w:vMerge w:val="continue"/>
                  <w:vAlign w:val="center"/>
                </w:tcPr>
                <w:p w14:paraId="3BEFF204">
                  <w:pPr>
                    <w:adjustRightInd w:val="0"/>
                    <w:snapToGrid w:val="0"/>
                    <w:jc w:val="center"/>
                    <w:rPr>
                      <w:bCs/>
                      <w:sz w:val="21"/>
                      <w:szCs w:val="21"/>
                    </w:rPr>
                  </w:pPr>
                </w:p>
              </w:tc>
              <w:tc>
                <w:tcPr>
                  <w:tcW w:w="252" w:type="pct"/>
                  <w:vAlign w:val="center"/>
                </w:tcPr>
                <w:p w14:paraId="78423F81">
                  <w:pPr>
                    <w:adjustRightInd w:val="0"/>
                    <w:snapToGrid w:val="0"/>
                    <w:jc w:val="center"/>
                    <w:rPr>
                      <w:rFonts w:hint="default"/>
                      <w:bCs/>
                      <w:sz w:val="21"/>
                      <w:szCs w:val="21"/>
                      <w:lang w:val="en-US" w:eastAsia="zh-CN"/>
                    </w:rPr>
                  </w:pPr>
                  <w:r>
                    <w:rPr>
                      <w:rFonts w:hint="eastAsia"/>
                      <w:bCs/>
                      <w:sz w:val="21"/>
                      <w:szCs w:val="21"/>
                      <w:lang w:val="en-US" w:eastAsia="zh-CN"/>
                    </w:rPr>
                    <w:t>95</w:t>
                  </w:r>
                </w:p>
              </w:tc>
              <w:tc>
                <w:tcPr>
                  <w:tcW w:w="370" w:type="pct"/>
                  <w:vAlign w:val="center"/>
                </w:tcPr>
                <w:p w14:paraId="1711E6BF">
                  <w:pPr>
                    <w:adjustRightInd w:val="0"/>
                    <w:snapToGrid w:val="0"/>
                    <w:jc w:val="center"/>
                    <w:rPr>
                      <w:rFonts w:hint="eastAsia"/>
                      <w:bCs/>
                      <w:sz w:val="21"/>
                      <w:szCs w:val="21"/>
                    </w:rPr>
                  </w:pPr>
                  <w:r>
                    <w:rPr>
                      <w:rFonts w:hint="eastAsia"/>
                      <w:bCs/>
                      <w:sz w:val="21"/>
                      <w:szCs w:val="21"/>
                    </w:rPr>
                    <w:t>0.000</w:t>
                  </w:r>
                  <w:r>
                    <w:rPr>
                      <w:rFonts w:hint="eastAsia"/>
                      <w:bCs/>
                      <w:sz w:val="21"/>
                      <w:szCs w:val="21"/>
                      <w:lang w:val="en-US" w:eastAsia="zh-CN"/>
                    </w:rPr>
                    <w:t>3</w:t>
                  </w:r>
                </w:p>
              </w:tc>
              <w:tc>
                <w:tcPr>
                  <w:tcW w:w="329" w:type="pct"/>
                  <w:vAlign w:val="center"/>
                </w:tcPr>
                <w:p w14:paraId="11C1D51E">
                  <w:pPr>
                    <w:adjustRightInd w:val="0"/>
                    <w:snapToGrid w:val="0"/>
                    <w:jc w:val="center"/>
                    <w:rPr>
                      <w:rFonts w:hint="eastAsia"/>
                      <w:bCs/>
                      <w:sz w:val="21"/>
                      <w:szCs w:val="21"/>
                    </w:rPr>
                  </w:pPr>
                  <w:r>
                    <w:rPr>
                      <w:rFonts w:hint="eastAsia"/>
                      <w:bCs/>
                      <w:sz w:val="21"/>
                      <w:szCs w:val="21"/>
                    </w:rPr>
                    <w:t>0.000</w:t>
                  </w:r>
                  <w:r>
                    <w:rPr>
                      <w:rFonts w:hint="eastAsia"/>
                      <w:bCs/>
                      <w:sz w:val="21"/>
                      <w:szCs w:val="21"/>
                      <w:lang w:val="en-US" w:eastAsia="zh-CN"/>
                    </w:rPr>
                    <w:t>04</w:t>
                  </w:r>
                </w:p>
              </w:tc>
              <w:tc>
                <w:tcPr>
                  <w:tcW w:w="355" w:type="pct"/>
                  <w:vAlign w:val="center"/>
                </w:tcPr>
                <w:p w14:paraId="0CA507F2">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33</w:t>
                  </w:r>
                </w:p>
              </w:tc>
              <w:tc>
                <w:tcPr>
                  <w:tcW w:w="321" w:type="pct"/>
                  <w:vAlign w:val="center"/>
                </w:tcPr>
                <w:p w14:paraId="74C6384D">
                  <w:pPr>
                    <w:adjustRightInd w:val="0"/>
                    <w:snapToGrid w:val="0"/>
                    <w:jc w:val="center"/>
                    <w:rPr>
                      <w:rFonts w:hint="eastAsia"/>
                      <w:bCs/>
                      <w:sz w:val="21"/>
                      <w:szCs w:val="21"/>
                      <w:lang w:val="en-US" w:eastAsia="zh-CN"/>
                    </w:rPr>
                  </w:pPr>
                  <w:r>
                    <w:rPr>
                      <w:rFonts w:hint="eastAsia"/>
                      <w:bCs/>
                      <w:sz w:val="21"/>
                      <w:szCs w:val="21"/>
                      <w:lang w:val="en-US" w:eastAsia="zh-CN"/>
                    </w:rPr>
                    <w:t>100</w:t>
                  </w:r>
                </w:p>
              </w:tc>
              <w:tc>
                <w:tcPr>
                  <w:tcW w:w="275" w:type="pct"/>
                  <w:vAlign w:val="center"/>
                </w:tcPr>
                <w:p w14:paraId="144477D4">
                  <w:pPr>
                    <w:adjustRightInd w:val="0"/>
                    <w:snapToGrid w:val="0"/>
                    <w:jc w:val="center"/>
                    <w:rPr>
                      <w:rFonts w:hint="eastAsia"/>
                      <w:bCs/>
                      <w:sz w:val="21"/>
                      <w:szCs w:val="21"/>
                      <w:lang w:val="en-US" w:eastAsia="zh-CN"/>
                    </w:rPr>
                  </w:pPr>
                  <w:r>
                    <w:rPr>
                      <w:rFonts w:hint="eastAsia"/>
                      <w:bCs/>
                      <w:sz w:val="21"/>
                      <w:szCs w:val="21"/>
                      <w:lang w:val="en-US" w:eastAsia="zh-CN"/>
                    </w:rPr>
                    <w:t>0.26</w:t>
                  </w:r>
                </w:p>
              </w:tc>
              <w:tc>
                <w:tcPr>
                  <w:tcW w:w="344" w:type="pct"/>
                  <w:vAlign w:val="center"/>
                </w:tcPr>
                <w:p w14:paraId="51CA5DC5">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6BE4F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restart"/>
                  <w:vAlign w:val="center"/>
                </w:tcPr>
                <w:p w14:paraId="02A8CF6F">
                  <w:pPr>
                    <w:adjustRightInd w:val="0"/>
                    <w:snapToGrid w:val="0"/>
                    <w:jc w:val="center"/>
                    <w:rPr>
                      <w:rFonts w:hint="eastAsia"/>
                      <w:b w:val="0"/>
                      <w:bCs/>
                      <w:sz w:val="21"/>
                      <w:szCs w:val="21"/>
                      <w:lang w:val="en-US" w:eastAsia="zh-CN"/>
                    </w:rPr>
                  </w:pPr>
                  <w:r>
                    <w:rPr>
                      <w:rFonts w:hint="eastAsia"/>
                      <w:b w:val="0"/>
                      <w:bCs/>
                      <w:sz w:val="21"/>
                      <w:szCs w:val="21"/>
                      <w:lang w:val="en-US" w:eastAsia="zh-CN"/>
                    </w:rPr>
                    <w:t>DA004</w:t>
                  </w:r>
                </w:p>
              </w:tc>
              <w:tc>
                <w:tcPr>
                  <w:tcW w:w="265" w:type="pct"/>
                  <w:vAlign w:val="center"/>
                </w:tcPr>
                <w:p w14:paraId="65B62574">
                  <w:pPr>
                    <w:adjustRightInd w:val="0"/>
                    <w:snapToGrid w:val="0"/>
                    <w:jc w:val="center"/>
                    <w:rPr>
                      <w:rFonts w:hint="eastAsia"/>
                      <w:bCs/>
                      <w:color w:val="000000"/>
                      <w:kern w:val="0"/>
                      <w:sz w:val="21"/>
                      <w:szCs w:val="21"/>
                      <w:lang w:val="en-US" w:eastAsia="zh-CN"/>
                    </w:rPr>
                  </w:pPr>
                  <w:r>
                    <w:rPr>
                      <w:b w:val="0"/>
                      <w:bCs/>
                      <w:sz w:val="21"/>
                      <w:szCs w:val="21"/>
                    </w:rPr>
                    <w:t>非甲烷总烃</w:t>
                  </w:r>
                </w:p>
              </w:tc>
              <w:tc>
                <w:tcPr>
                  <w:tcW w:w="412" w:type="pct"/>
                  <w:vAlign w:val="center"/>
                </w:tcPr>
                <w:p w14:paraId="65B4435E">
                  <w:pPr>
                    <w:adjustRightInd w:val="0"/>
                    <w:snapToGrid w:val="0"/>
                    <w:jc w:val="center"/>
                    <w:rPr>
                      <w:rFonts w:hint="default" w:eastAsia="宋体"/>
                      <w:bCs/>
                      <w:sz w:val="21"/>
                      <w:szCs w:val="21"/>
                      <w:lang w:val="en-US" w:eastAsia="zh-CN"/>
                    </w:rPr>
                  </w:pPr>
                  <w:r>
                    <w:rPr>
                      <w:rFonts w:hint="eastAsia"/>
                      <w:bCs/>
                      <w:sz w:val="21"/>
                      <w:szCs w:val="21"/>
                      <w:lang w:val="en-US" w:eastAsia="zh-CN"/>
                    </w:rPr>
                    <w:t>8.1</w:t>
                  </w:r>
                </w:p>
              </w:tc>
              <w:tc>
                <w:tcPr>
                  <w:tcW w:w="304" w:type="pct"/>
                  <w:vAlign w:val="center"/>
                </w:tcPr>
                <w:p w14:paraId="7A3DC17E">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3B89B7C1">
                  <w:pPr>
                    <w:adjustRightInd w:val="0"/>
                    <w:snapToGrid w:val="0"/>
                    <w:jc w:val="center"/>
                    <w:rPr>
                      <w:rFonts w:hint="default" w:eastAsia="宋体"/>
                      <w:bCs/>
                      <w:sz w:val="21"/>
                      <w:szCs w:val="21"/>
                      <w:lang w:val="en-US" w:eastAsia="zh-CN"/>
                    </w:rPr>
                  </w:pPr>
                  <w:r>
                    <w:rPr>
                      <w:rFonts w:hint="eastAsia"/>
                      <w:bCs/>
                      <w:sz w:val="21"/>
                      <w:szCs w:val="21"/>
                      <w:lang w:val="en-US" w:eastAsia="zh-CN"/>
                    </w:rPr>
                    <w:t>1.125</w:t>
                  </w:r>
                </w:p>
              </w:tc>
              <w:tc>
                <w:tcPr>
                  <w:tcW w:w="334" w:type="pct"/>
                  <w:vAlign w:val="center"/>
                </w:tcPr>
                <w:p w14:paraId="7766E0A8">
                  <w:pPr>
                    <w:adjustRightInd w:val="0"/>
                    <w:snapToGrid w:val="0"/>
                    <w:jc w:val="center"/>
                    <w:rPr>
                      <w:rFonts w:hint="default" w:eastAsia="宋体"/>
                      <w:bCs/>
                      <w:sz w:val="21"/>
                      <w:szCs w:val="21"/>
                      <w:lang w:val="en-US" w:eastAsia="zh-CN"/>
                    </w:rPr>
                  </w:pPr>
                  <w:r>
                    <w:rPr>
                      <w:rFonts w:hint="eastAsia"/>
                      <w:bCs/>
                      <w:sz w:val="21"/>
                      <w:szCs w:val="21"/>
                      <w:lang w:val="en-US" w:eastAsia="zh-CN"/>
                    </w:rPr>
                    <w:t>93.75</w:t>
                  </w:r>
                </w:p>
              </w:tc>
              <w:tc>
                <w:tcPr>
                  <w:tcW w:w="674" w:type="pct"/>
                  <w:vMerge w:val="restart"/>
                  <w:vAlign w:val="center"/>
                </w:tcPr>
                <w:p w14:paraId="14A8035E">
                  <w:pPr>
                    <w:adjustRightInd w:val="0"/>
                    <w:snapToGrid w:val="0"/>
                    <w:jc w:val="center"/>
                    <w:rPr>
                      <w:bCs/>
                      <w:sz w:val="21"/>
                      <w:szCs w:val="21"/>
                    </w:rPr>
                  </w:pPr>
                  <w:r>
                    <w:rPr>
                      <w:rFonts w:hint="eastAsia"/>
                      <w:color w:val="000000"/>
                      <w:kern w:val="0"/>
                      <w:sz w:val="21"/>
                      <w:szCs w:val="21"/>
                    </w:rPr>
                    <w:t>设置集气罩并加设软帘收集废气，通入“1</w:t>
                  </w:r>
                  <w:r>
                    <w:rPr>
                      <w:color w:val="000000"/>
                      <w:kern w:val="0"/>
                      <w:sz w:val="21"/>
                      <w:szCs w:val="21"/>
                    </w:rPr>
                    <w:t>#</w:t>
                  </w:r>
                  <w:r>
                    <w:rPr>
                      <w:rFonts w:hint="eastAsia"/>
                      <w:color w:val="000000"/>
                      <w:kern w:val="0"/>
                      <w:sz w:val="21"/>
                      <w:szCs w:val="21"/>
                    </w:rPr>
                    <w:t>碱水喷淋塔+除雾+二级活性炭吸附装置”处理</w:t>
                  </w:r>
                </w:p>
              </w:tc>
              <w:tc>
                <w:tcPr>
                  <w:tcW w:w="252" w:type="pct"/>
                  <w:vAlign w:val="center"/>
                </w:tcPr>
                <w:p w14:paraId="2FC31829">
                  <w:pPr>
                    <w:adjustRightInd w:val="0"/>
                    <w:snapToGrid w:val="0"/>
                    <w:jc w:val="center"/>
                    <w:rPr>
                      <w:rFonts w:hint="default"/>
                      <w:bCs/>
                      <w:sz w:val="21"/>
                      <w:szCs w:val="21"/>
                      <w:lang w:val="en-US" w:eastAsia="zh-CN"/>
                    </w:rPr>
                  </w:pPr>
                  <w:r>
                    <w:rPr>
                      <w:rFonts w:hint="eastAsia"/>
                      <w:bCs/>
                      <w:sz w:val="21"/>
                      <w:szCs w:val="21"/>
                      <w:lang w:val="en-US" w:eastAsia="zh-CN"/>
                    </w:rPr>
                    <w:t>90</w:t>
                  </w:r>
                </w:p>
              </w:tc>
              <w:tc>
                <w:tcPr>
                  <w:tcW w:w="370" w:type="pct"/>
                  <w:vAlign w:val="center"/>
                </w:tcPr>
                <w:p w14:paraId="22D07D8E">
                  <w:pPr>
                    <w:adjustRightInd w:val="0"/>
                    <w:snapToGrid w:val="0"/>
                    <w:jc w:val="center"/>
                    <w:rPr>
                      <w:rFonts w:hint="eastAsia"/>
                      <w:bCs/>
                      <w:sz w:val="21"/>
                      <w:szCs w:val="21"/>
                    </w:rPr>
                  </w:pPr>
                  <w:r>
                    <w:rPr>
                      <w:rFonts w:hint="eastAsia"/>
                      <w:bCs/>
                      <w:sz w:val="21"/>
                      <w:szCs w:val="21"/>
                      <w:lang w:val="en-US" w:eastAsia="zh-CN"/>
                    </w:rPr>
                    <w:t>0.81</w:t>
                  </w:r>
                </w:p>
              </w:tc>
              <w:tc>
                <w:tcPr>
                  <w:tcW w:w="329" w:type="pct"/>
                  <w:vAlign w:val="center"/>
                </w:tcPr>
                <w:p w14:paraId="5A25D422">
                  <w:pPr>
                    <w:adjustRightInd w:val="0"/>
                    <w:snapToGrid w:val="0"/>
                    <w:jc w:val="center"/>
                    <w:rPr>
                      <w:rFonts w:hint="eastAsia"/>
                      <w:bCs/>
                      <w:sz w:val="21"/>
                      <w:szCs w:val="21"/>
                    </w:rPr>
                  </w:pPr>
                  <w:r>
                    <w:rPr>
                      <w:rFonts w:hint="eastAsia"/>
                      <w:bCs/>
                      <w:sz w:val="21"/>
                      <w:szCs w:val="21"/>
                    </w:rPr>
                    <w:t>0.1</w:t>
                  </w:r>
                  <w:r>
                    <w:rPr>
                      <w:rFonts w:hint="eastAsia"/>
                      <w:bCs/>
                      <w:sz w:val="21"/>
                      <w:szCs w:val="21"/>
                      <w:lang w:val="en-US" w:eastAsia="zh-CN"/>
                    </w:rPr>
                    <w:t>125</w:t>
                  </w:r>
                </w:p>
              </w:tc>
              <w:tc>
                <w:tcPr>
                  <w:tcW w:w="355" w:type="pct"/>
                  <w:vAlign w:val="center"/>
                </w:tcPr>
                <w:p w14:paraId="69FB3F33">
                  <w:pPr>
                    <w:adjustRightInd w:val="0"/>
                    <w:snapToGrid w:val="0"/>
                    <w:jc w:val="center"/>
                    <w:rPr>
                      <w:rFonts w:hint="eastAsia"/>
                      <w:bCs/>
                      <w:sz w:val="21"/>
                      <w:szCs w:val="21"/>
                    </w:rPr>
                  </w:pPr>
                  <w:r>
                    <w:rPr>
                      <w:rFonts w:hint="eastAsia"/>
                      <w:bCs/>
                      <w:sz w:val="21"/>
                      <w:szCs w:val="21"/>
                      <w:lang w:val="en-US" w:eastAsia="zh-CN"/>
                    </w:rPr>
                    <w:t>9.375</w:t>
                  </w:r>
                </w:p>
              </w:tc>
              <w:tc>
                <w:tcPr>
                  <w:tcW w:w="321" w:type="pct"/>
                  <w:vAlign w:val="center"/>
                </w:tcPr>
                <w:p w14:paraId="666BC40A">
                  <w:pPr>
                    <w:adjustRightInd w:val="0"/>
                    <w:snapToGrid w:val="0"/>
                    <w:jc w:val="center"/>
                    <w:rPr>
                      <w:rFonts w:hint="eastAsia"/>
                      <w:bCs/>
                      <w:sz w:val="21"/>
                      <w:szCs w:val="21"/>
                      <w:lang w:val="en-US" w:eastAsia="zh-CN"/>
                    </w:rPr>
                  </w:pPr>
                  <w:r>
                    <w:rPr>
                      <w:rFonts w:hint="eastAsia"/>
                      <w:bCs/>
                      <w:sz w:val="21"/>
                      <w:szCs w:val="21"/>
                      <w:lang w:val="en-US" w:eastAsia="zh-CN"/>
                    </w:rPr>
                    <w:t>40</w:t>
                  </w:r>
                </w:p>
              </w:tc>
              <w:tc>
                <w:tcPr>
                  <w:tcW w:w="275" w:type="pct"/>
                  <w:vAlign w:val="center"/>
                </w:tcPr>
                <w:p w14:paraId="639B9F74">
                  <w:pPr>
                    <w:adjustRightInd w:val="0"/>
                    <w:snapToGrid w:val="0"/>
                    <w:jc w:val="center"/>
                    <w:rPr>
                      <w:rFonts w:hint="eastAsia"/>
                      <w:bCs/>
                      <w:sz w:val="21"/>
                      <w:szCs w:val="21"/>
                      <w:lang w:val="en-US" w:eastAsia="zh-CN"/>
                    </w:rPr>
                  </w:pPr>
                  <w:r>
                    <w:rPr>
                      <w:rFonts w:hint="eastAsia"/>
                      <w:bCs/>
                      <w:sz w:val="21"/>
                      <w:szCs w:val="21"/>
                      <w:lang w:val="en-US" w:eastAsia="zh-CN"/>
                    </w:rPr>
                    <w:t>1.6</w:t>
                  </w:r>
                </w:p>
              </w:tc>
              <w:tc>
                <w:tcPr>
                  <w:tcW w:w="344" w:type="pct"/>
                  <w:vAlign w:val="center"/>
                </w:tcPr>
                <w:p w14:paraId="5C760F02">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7E14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continue"/>
                  <w:vAlign w:val="center"/>
                </w:tcPr>
                <w:p w14:paraId="53B3651A">
                  <w:pPr>
                    <w:adjustRightInd w:val="0"/>
                    <w:snapToGrid w:val="0"/>
                    <w:jc w:val="center"/>
                    <w:rPr>
                      <w:rFonts w:hint="eastAsia"/>
                      <w:b w:val="0"/>
                      <w:bCs/>
                      <w:sz w:val="21"/>
                      <w:szCs w:val="21"/>
                      <w:lang w:val="en-US" w:eastAsia="zh-CN"/>
                    </w:rPr>
                  </w:pPr>
                </w:p>
              </w:tc>
              <w:tc>
                <w:tcPr>
                  <w:tcW w:w="265" w:type="pct"/>
                  <w:vAlign w:val="center"/>
                </w:tcPr>
                <w:p w14:paraId="6A665721">
                  <w:pPr>
                    <w:adjustRightInd w:val="0"/>
                    <w:snapToGrid w:val="0"/>
                    <w:jc w:val="center"/>
                    <w:rPr>
                      <w:rFonts w:hint="eastAsia"/>
                      <w:bCs/>
                      <w:color w:val="000000"/>
                      <w:kern w:val="0"/>
                      <w:sz w:val="21"/>
                      <w:szCs w:val="21"/>
                      <w:lang w:val="en-US" w:eastAsia="zh-CN"/>
                    </w:rPr>
                  </w:pPr>
                  <w:r>
                    <w:rPr>
                      <w:rFonts w:hint="eastAsia"/>
                      <w:b w:val="0"/>
                      <w:bCs/>
                      <w:sz w:val="21"/>
                      <w:szCs w:val="21"/>
                    </w:rPr>
                    <w:t>HCl</w:t>
                  </w:r>
                </w:p>
              </w:tc>
              <w:tc>
                <w:tcPr>
                  <w:tcW w:w="412" w:type="pct"/>
                  <w:vAlign w:val="center"/>
                </w:tcPr>
                <w:p w14:paraId="383458D0">
                  <w:pPr>
                    <w:adjustRightInd w:val="0"/>
                    <w:snapToGrid w:val="0"/>
                    <w:jc w:val="center"/>
                    <w:rPr>
                      <w:rFonts w:hint="default" w:eastAsia="宋体"/>
                      <w:bCs/>
                      <w:sz w:val="21"/>
                      <w:szCs w:val="21"/>
                      <w:lang w:val="en-US" w:eastAsia="zh-CN"/>
                    </w:rPr>
                  </w:pPr>
                  <w:r>
                    <w:rPr>
                      <w:rFonts w:hint="eastAsia"/>
                      <w:bCs/>
                      <w:sz w:val="21"/>
                      <w:szCs w:val="21"/>
                    </w:rPr>
                    <w:t>0.0</w:t>
                  </w:r>
                  <w:r>
                    <w:rPr>
                      <w:rFonts w:hint="eastAsia"/>
                      <w:bCs/>
                      <w:sz w:val="21"/>
                      <w:szCs w:val="21"/>
                      <w:lang w:val="en-US" w:eastAsia="zh-CN"/>
                    </w:rPr>
                    <w:t>405</w:t>
                  </w:r>
                </w:p>
              </w:tc>
              <w:tc>
                <w:tcPr>
                  <w:tcW w:w="304" w:type="pct"/>
                  <w:vAlign w:val="center"/>
                </w:tcPr>
                <w:p w14:paraId="6DAE57ED">
                  <w:pPr>
                    <w:adjustRightInd w:val="0"/>
                    <w:snapToGrid w:val="0"/>
                    <w:jc w:val="center"/>
                    <w:rPr>
                      <w:rFonts w:hint="default" w:eastAsia="宋体"/>
                      <w:bCs/>
                      <w:sz w:val="21"/>
                      <w:szCs w:val="21"/>
                      <w:lang w:val="en-US" w:eastAsia="zh-CN"/>
                    </w:rPr>
                  </w:pPr>
                  <w:r>
                    <w:rPr>
                      <w:rFonts w:hint="eastAsia"/>
                      <w:bCs/>
                      <w:sz w:val="21"/>
                      <w:szCs w:val="21"/>
                      <w:lang w:val="en-US" w:eastAsia="zh-CN"/>
                    </w:rPr>
                    <w:t>7200</w:t>
                  </w:r>
                </w:p>
              </w:tc>
              <w:tc>
                <w:tcPr>
                  <w:tcW w:w="418" w:type="pct"/>
                  <w:vAlign w:val="center"/>
                </w:tcPr>
                <w:p w14:paraId="686EB592">
                  <w:pPr>
                    <w:adjustRightInd w:val="0"/>
                    <w:snapToGrid w:val="0"/>
                    <w:jc w:val="center"/>
                    <w:rPr>
                      <w:rFonts w:hint="default" w:eastAsia="宋体"/>
                      <w:bCs/>
                      <w:sz w:val="21"/>
                      <w:szCs w:val="21"/>
                      <w:lang w:val="en-US" w:eastAsia="zh-CN"/>
                    </w:rPr>
                  </w:pPr>
                  <w:r>
                    <w:rPr>
                      <w:rFonts w:hint="eastAsia"/>
                      <w:bCs/>
                      <w:sz w:val="21"/>
                      <w:szCs w:val="21"/>
                      <w:lang w:val="en-US" w:eastAsia="zh-CN"/>
                    </w:rPr>
                    <w:t>0.0056</w:t>
                  </w:r>
                </w:p>
              </w:tc>
              <w:tc>
                <w:tcPr>
                  <w:tcW w:w="334" w:type="pct"/>
                  <w:vAlign w:val="center"/>
                </w:tcPr>
                <w:p w14:paraId="5D792FBF">
                  <w:pPr>
                    <w:adjustRightInd w:val="0"/>
                    <w:snapToGrid w:val="0"/>
                    <w:jc w:val="center"/>
                    <w:rPr>
                      <w:rFonts w:hint="default" w:eastAsia="宋体"/>
                      <w:bCs/>
                      <w:sz w:val="21"/>
                      <w:szCs w:val="21"/>
                      <w:lang w:val="en-US" w:eastAsia="zh-CN"/>
                    </w:rPr>
                  </w:pPr>
                  <w:r>
                    <w:rPr>
                      <w:rFonts w:hint="eastAsia"/>
                      <w:bCs/>
                      <w:sz w:val="21"/>
                      <w:szCs w:val="21"/>
                      <w:lang w:val="en-US" w:eastAsia="zh-CN"/>
                    </w:rPr>
                    <w:t>0.4667</w:t>
                  </w:r>
                </w:p>
              </w:tc>
              <w:tc>
                <w:tcPr>
                  <w:tcW w:w="674" w:type="pct"/>
                  <w:vMerge w:val="continue"/>
                  <w:vAlign w:val="center"/>
                </w:tcPr>
                <w:p w14:paraId="47EDBBE1">
                  <w:pPr>
                    <w:adjustRightInd w:val="0"/>
                    <w:snapToGrid w:val="0"/>
                    <w:jc w:val="center"/>
                    <w:rPr>
                      <w:bCs/>
                      <w:sz w:val="21"/>
                      <w:szCs w:val="21"/>
                    </w:rPr>
                  </w:pPr>
                </w:p>
              </w:tc>
              <w:tc>
                <w:tcPr>
                  <w:tcW w:w="252" w:type="pct"/>
                  <w:vAlign w:val="center"/>
                </w:tcPr>
                <w:p w14:paraId="2A7224EA">
                  <w:pPr>
                    <w:adjustRightInd w:val="0"/>
                    <w:snapToGrid w:val="0"/>
                    <w:jc w:val="center"/>
                    <w:rPr>
                      <w:rFonts w:hint="default"/>
                      <w:bCs/>
                      <w:sz w:val="21"/>
                      <w:szCs w:val="21"/>
                      <w:lang w:val="en-US" w:eastAsia="zh-CN"/>
                    </w:rPr>
                  </w:pPr>
                  <w:r>
                    <w:rPr>
                      <w:rFonts w:hint="eastAsia"/>
                      <w:bCs/>
                      <w:sz w:val="21"/>
                      <w:szCs w:val="21"/>
                      <w:lang w:val="en-US" w:eastAsia="zh-CN"/>
                    </w:rPr>
                    <w:t>95</w:t>
                  </w:r>
                </w:p>
              </w:tc>
              <w:tc>
                <w:tcPr>
                  <w:tcW w:w="370" w:type="pct"/>
                  <w:vAlign w:val="center"/>
                </w:tcPr>
                <w:p w14:paraId="5687160A">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2</w:t>
                  </w:r>
                </w:p>
              </w:tc>
              <w:tc>
                <w:tcPr>
                  <w:tcW w:w="329" w:type="pct"/>
                  <w:vAlign w:val="center"/>
                </w:tcPr>
                <w:p w14:paraId="715FBF23">
                  <w:pPr>
                    <w:adjustRightInd w:val="0"/>
                    <w:snapToGrid w:val="0"/>
                    <w:jc w:val="center"/>
                    <w:rPr>
                      <w:rFonts w:hint="eastAsia"/>
                      <w:bCs/>
                      <w:sz w:val="21"/>
                      <w:szCs w:val="21"/>
                    </w:rPr>
                  </w:pPr>
                  <w:r>
                    <w:rPr>
                      <w:rFonts w:hint="eastAsia"/>
                      <w:bCs/>
                      <w:sz w:val="21"/>
                      <w:szCs w:val="21"/>
                    </w:rPr>
                    <w:t>0.0003</w:t>
                  </w:r>
                </w:p>
              </w:tc>
              <w:tc>
                <w:tcPr>
                  <w:tcW w:w="355" w:type="pct"/>
                  <w:vAlign w:val="center"/>
                </w:tcPr>
                <w:p w14:paraId="37668EF1">
                  <w:pPr>
                    <w:adjustRightInd w:val="0"/>
                    <w:snapToGrid w:val="0"/>
                    <w:jc w:val="center"/>
                    <w:rPr>
                      <w:rFonts w:hint="eastAsia"/>
                      <w:bCs/>
                      <w:sz w:val="21"/>
                      <w:szCs w:val="21"/>
                    </w:rPr>
                  </w:pPr>
                  <w:r>
                    <w:rPr>
                      <w:rFonts w:hint="eastAsia"/>
                      <w:bCs/>
                      <w:sz w:val="21"/>
                      <w:szCs w:val="21"/>
                    </w:rPr>
                    <w:t>0.025</w:t>
                  </w:r>
                </w:p>
              </w:tc>
              <w:tc>
                <w:tcPr>
                  <w:tcW w:w="321" w:type="pct"/>
                  <w:vAlign w:val="center"/>
                </w:tcPr>
                <w:p w14:paraId="0DBC9C33">
                  <w:pPr>
                    <w:adjustRightInd w:val="0"/>
                    <w:snapToGrid w:val="0"/>
                    <w:jc w:val="center"/>
                    <w:rPr>
                      <w:rFonts w:hint="eastAsia"/>
                      <w:bCs/>
                      <w:sz w:val="21"/>
                      <w:szCs w:val="21"/>
                      <w:lang w:val="en-US" w:eastAsia="zh-CN"/>
                    </w:rPr>
                  </w:pPr>
                  <w:r>
                    <w:rPr>
                      <w:rFonts w:hint="eastAsia"/>
                      <w:bCs/>
                      <w:sz w:val="21"/>
                      <w:szCs w:val="21"/>
                      <w:lang w:val="en-US" w:eastAsia="zh-CN"/>
                    </w:rPr>
                    <w:t>100</w:t>
                  </w:r>
                </w:p>
              </w:tc>
              <w:tc>
                <w:tcPr>
                  <w:tcW w:w="275" w:type="pct"/>
                  <w:vAlign w:val="center"/>
                </w:tcPr>
                <w:p w14:paraId="57041D79">
                  <w:pPr>
                    <w:adjustRightInd w:val="0"/>
                    <w:snapToGrid w:val="0"/>
                    <w:jc w:val="center"/>
                    <w:rPr>
                      <w:rFonts w:hint="eastAsia"/>
                      <w:bCs/>
                      <w:sz w:val="21"/>
                      <w:szCs w:val="21"/>
                      <w:lang w:val="en-US" w:eastAsia="zh-CN"/>
                    </w:rPr>
                  </w:pPr>
                  <w:r>
                    <w:rPr>
                      <w:rFonts w:hint="eastAsia"/>
                      <w:bCs/>
                      <w:sz w:val="21"/>
                      <w:szCs w:val="21"/>
                      <w:lang w:val="en-US" w:eastAsia="zh-CN"/>
                    </w:rPr>
                    <w:t>0.26</w:t>
                  </w:r>
                </w:p>
              </w:tc>
              <w:tc>
                <w:tcPr>
                  <w:tcW w:w="344" w:type="pct"/>
                  <w:vAlign w:val="center"/>
                </w:tcPr>
                <w:p w14:paraId="3940CEF5">
                  <w:pPr>
                    <w:adjustRightInd w:val="0"/>
                    <w:snapToGrid w:val="0"/>
                    <w:jc w:val="center"/>
                    <w:rPr>
                      <w:rFonts w:hint="eastAsia"/>
                      <w:bCs/>
                      <w:sz w:val="21"/>
                      <w:szCs w:val="21"/>
                      <w:lang w:val="en-US" w:eastAsia="zh-CN"/>
                    </w:rPr>
                  </w:pPr>
                  <w:r>
                    <w:rPr>
                      <w:rFonts w:hint="eastAsia"/>
                      <w:bCs/>
                      <w:sz w:val="21"/>
                      <w:szCs w:val="21"/>
                      <w:lang w:val="en-US" w:eastAsia="zh-CN"/>
                    </w:rPr>
                    <w:t>达标</w:t>
                  </w:r>
                </w:p>
              </w:tc>
            </w:tr>
            <w:tr w14:paraId="1B991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39" w:type="pct"/>
                  <w:vMerge w:val="continue"/>
                  <w:vAlign w:val="center"/>
                </w:tcPr>
                <w:p w14:paraId="1590A28E">
                  <w:pPr>
                    <w:adjustRightInd w:val="0"/>
                    <w:snapToGrid w:val="0"/>
                    <w:jc w:val="center"/>
                    <w:rPr>
                      <w:rFonts w:hint="eastAsia"/>
                      <w:b w:val="0"/>
                      <w:bCs/>
                      <w:sz w:val="21"/>
                      <w:szCs w:val="21"/>
                      <w:lang w:val="en-US" w:eastAsia="zh-CN"/>
                    </w:rPr>
                  </w:pPr>
                </w:p>
              </w:tc>
              <w:tc>
                <w:tcPr>
                  <w:tcW w:w="265" w:type="pct"/>
                  <w:vAlign w:val="center"/>
                </w:tcPr>
                <w:p w14:paraId="5A95021A">
                  <w:pPr>
                    <w:adjustRightInd w:val="0"/>
                    <w:snapToGrid w:val="0"/>
                    <w:jc w:val="center"/>
                    <w:rPr>
                      <w:rFonts w:hint="eastAsia"/>
                      <w:bCs/>
                      <w:color w:val="000000"/>
                      <w:kern w:val="0"/>
                      <w:sz w:val="21"/>
                      <w:szCs w:val="21"/>
                      <w:lang w:val="en-US" w:eastAsia="zh-CN"/>
                    </w:rPr>
                  </w:pPr>
                  <w:r>
                    <w:rPr>
                      <w:rFonts w:hint="eastAsia"/>
                      <w:b w:val="0"/>
                      <w:bCs/>
                      <w:sz w:val="21"/>
                      <w:szCs w:val="21"/>
                    </w:rPr>
                    <w:t>颗粒物</w:t>
                  </w:r>
                </w:p>
              </w:tc>
              <w:tc>
                <w:tcPr>
                  <w:tcW w:w="412" w:type="pct"/>
                  <w:vAlign w:val="center"/>
                </w:tcPr>
                <w:p w14:paraId="4376C11B">
                  <w:pPr>
                    <w:adjustRightInd w:val="0"/>
                    <w:snapToGrid w:val="0"/>
                    <w:jc w:val="center"/>
                    <w:rPr>
                      <w:rFonts w:hint="default"/>
                      <w:bCs/>
                      <w:sz w:val="21"/>
                      <w:szCs w:val="21"/>
                      <w:lang w:val="en-US"/>
                    </w:rPr>
                  </w:pPr>
                  <w:r>
                    <w:rPr>
                      <w:rFonts w:hint="eastAsia"/>
                      <w:bCs/>
                      <w:sz w:val="21"/>
                      <w:szCs w:val="21"/>
                      <w:lang w:val="en-US" w:eastAsia="zh-CN"/>
                    </w:rPr>
                    <w:t>3.78</w:t>
                  </w:r>
                </w:p>
              </w:tc>
              <w:tc>
                <w:tcPr>
                  <w:tcW w:w="304" w:type="pct"/>
                  <w:vAlign w:val="center"/>
                </w:tcPr>
                <w:p w14:paraId="501C8A44">
                  <w:pPr>
                    <w:adjustRightInd w:val="0"/>
                    <w:snapToGrid w:val="0"/>
                    <w:jc w:val="center"/>
                    <w:rPr>
                      <w:rFonts w:hint="default"/>
                      <w:bCs/>
                      <w:sz w:val="21"/>
                      <w:szCs w:val="21"/>
                      <w:lang w:val="en-US" w:eastAsia="zh-CN"/>
                    </w:rPr>
                  </w:pPr>
                  <w:r>
                    <w:rPr>
                      <w:rFonts w:hint="eastAsia"/>
                      <w:bCs/>
                      <w:sz w:val="21"/>
                      <w:szCs w:val="21"/>
                      <w:lang w:val="en-US" w:eastAsia="zh-CN"/>
                    </w:rPr>
                    <w:t>7200</w:t>
                  </w:r>
                </w:p>
              </w:tc>
              <w:tc>
                <w:tcPr>
                  <w:tcW w:w="418" w:type="pct"/>
                  <w:vAlign w:val="center"/>
                </w:tcPr>
                <w:p w14:paraId="26E64B77">
                  <w:pPr>
                    <w:adjustRightInd w:val="0"/>
                    <w:snapToGrid w:val="0"/>
                    <w:jc w:val="center"/>
                    <w:rPr>
                      <w:rFonts w:hint="default"/>
                      <w:bCs/>
                      <w:sz w:val="21"/>
                      <w:szCs w:val="21"/>
                      <w:lang w:val="en-US" w:eastAsia="zh-CN"/>
                    </w:rPr>
                  </w:pPr>
                  <w:r>
                    <w:rPr>
                      <w:rFonts w:hint="eastAsia"/>
                      <w:bCs/>
                      <w:sz w:val="21"/>
                      <w:szCs w:val="21"/>
                      <w:lang w:val="en-US" w:eastAsia="zh-CN"/>
                    </w:rPr>
                    <w:t>0.525</w:t>
                  </w:r>
                </w:p>
              </w:tc>
              <w:tc>
                <w:tcPr>
                  <w:tcW w:w="334" w:type="pct"/>
                  <w:vAlign w:val="center"/>
                </w:tcPr>
                <w:p w14:paraId="1886F95D">
                  <w:pPr>
                    <w:adjustRightInd w:val="0"/>
                    <w:snapToGrid w:val="0"/>
                    <w:jc w:val="center"/>
                    <w:rPr>
                      <w:rFonts w:hint="default"/>
                      <w:bCs/>
                      <w:sz w:val="21"/>
                      <w:szCs w:val="21"/>
                      <w:lang w:val="en-US" w:eastAsia="zh-CN"/>
                    </w:rPr>
                  </w:pPr>
                  <w:r>
                    <w:rPr>
                      <w:rFonts w:hint="eastAsia"/>
                      <w:bCs/>
                      <w:sz w:val="21"/>
                      <w:szCs w:val="21"/>
                      <w:lang w:val="en-US" w:eastAsia="zh-CN"/>
                    </w:rPr>
                    <w:t>43.75</w:t>
                  </w:r>
                </w:p>
              </w:tc>
              <w:tc>
                <w:tcPr>
                  <w:tcW w:w="674" w:type="pct"/>
                  <w:vAlign w:val="center"/>
                </w:tcPr>
                <w:p w14:paraId="13F0BEB7">
                  <w:pPr>
                    <w:adjustRightInd w:val="0"/>
                    <w:snapToGrid w:val="0"/>
                    <w:jc w:val="center"/>
                    <w:rPr>
                      <w:bCs/>
                      <w:sz w:val="21"/>
                      <w:szCs w:val="21"/>
                    </w:rPr>
                  </w:pPr>
                  <w:r>
                    <w:rPr>
                      <w:rFonts w:hint="eastAsia"/>
                      <w:color w:val="000000"/>
                      <w:kern w:val="0"/>
                      <w:sz w:val="21"/>
                      <w:szCs w:val="21"/>
                    </w:rPr>
                    <w:t>设置集气罩并加设软帘收集废气，通入1</w:t>
                  </w:r>
                  <w:r>
                    <w:rPr>
                      <w:color w:val="000000"/>
                      <w:kern w:val="0"/>
                      <w:sz w:val="21"/>
                      <w:szCs w:val="21"/>
                    </w:rPr>
                    <w:t>#</w:t>
                  </w:r>
                  <w:r>
                    <w:rPr>
                      <w:rFonts w:hint="eastAsia"/>
                      <w:color w:val="000000"/>
                      <w:kern w:val="0"/>
                      <w:sz w:val="21"/>
                      <w:szCs w:val="21"/>
                    </w:rPr>
                    <w:t>布袋除尘器处理</w:t>
                  </w:r>
                </w:p>
              </w:tc>
              <w:tc>
                <w:tcPr>
                  <w:tcW w:w="252" w:type="pct"/>
                  <w:vAlign w:val="center"/>
                </w:tcPr>
                <w:p w14:paraId="7EC2A87E">
                  <w:pPr>
                    <w:adjustRightInd w:val="0"/>
                    <w:snapToGrid w:val="0"/>
                    <w:jc w:val="center"/>
                    <w:rPr>
                      <w:rFonts w:hint="default"/>
                      <w:bCs/>
                      <w:sz w:val="21"/>
                      <w:szCs w:val="21"/>
                      <w:lang w:val="en-US" w:eastAsia="zh-CN"/>
                    </w:rPr>
                  </w:pPr>
                  <w:r>
                    <w:rPr>
                      <w:rFonts w:hint="eastAsia"/>
                      <w:bCs/>
                      <w:sz w:val="21"/>
                      <w:szCs w:val="21"/>
                      <w:lang w:val="en-US" w:eastAsia="zh-CN"/>
                    </w:rPr>
                    <w:t>90</w:t>
                  </w:r>
                </w:p>
              </w:tc>
              <w:tc>
                <w:tcPr>
                  <w:tcW w:w="370" w:type="pct"/>
                  <w:vAlign w:val="center"/>
                </w:tcPr>
                <w:p w14:paraId="2C0A85E7">
                  <w:pPr>
                    <w:adjustRightInd w:val="0"/>
                    <w:snapToGrid w:val="0"/>
                    <w:jc w:val="center"/>
                    <w:rPr>
                      <w:rFonts w:hint="eastAsia"/>
                      <w:bCs/>
                      <w:sz w:val="21"/>
                      <w:szCs w:val="21"/>
                    </w:rPr>
                  </w:pPr>
                  <w:r>
                    <w:rPr>
                      <w:rFonts w:hint="eastAsia"/>
                      <w:bCs/>
                      <w:sz w:val="21"/>
                      <w:szCs w:val="21"/>
                    </w:rPr>
                    <w:t>0.</w:t>
                  </w:r>
                  <w:r>
                    <w:rPr>
                      <w:rFonts w:hint="eastAsia"/>
                      <w:bCs/>
                      <w:sz w:val="21"/>
                      <w:szCs w:val="21"/>
                      <w:lang w:val="en-US" w:eastAsia="zh-CN"/>
                    </w:rPr>
                    <w:t>378</w:t>
                  </w:r>
                </w:p>
              </w:tc>
              <w:tc>
                <w:tcPr>
                  <w:tcW w:w="329" w:type="pct"/>
                  <w:vAlign w:val="center"/>
                </w:tcPr>
                <w:p w14:paraId="6F875DD8">
                  <w:pPr>
                    <w:adjustRightInd w:val="0"/>
                    <w:snapToGrid w:val="0"/>
                    <w:jc w:val="center"/>
                    <w:rPr>
                      <w:rFonts w:hint="eastAsia"/>
                      <w:bCs/>
                      <w:sz w:val="21"/>
                      <w:szCs w:val="21"/>
                    </w:rPr>
                  </w:pPr>
                  <w:r>
                    <w:rPr>
                      <w:rFonts w:hint="eastAsia"/>
                      <w:bCs/>
                      <w:sz w:val="21"/>
                      <w:szCs w:val="21"/>
                    </w:rPr>
                    <w:t>0.0</w:t>
                  </w:r>
                  <w:r>
                    <w:rPr>
                      <w:rFonts w:hint="eastAsia"/>
                      <w:bCs/>
                      <w:sz w:val="21"/>
                      <w:szCs w:val="21"/>
                      <w:lang w:val="en-US" w:eastAsia="zh-CN"/>
                    </w:rPr>
                    <w:t>525</w:t>
                  </w:r>
                </w:p>
              </w:tc>
              <w:tc>
                <w:tcPr>
                  <w:tcW w:w="355" w:type="pct"/>
                  <w:vAlign w:val="center"/>
                </w:tcPr>
                <w:p w14:paraId="79170EE5">
                  <w:pPr>
                    <w:adjustRightInd w:val="0"/>
                    <w:snapToGrid w:val="0"/>
                    <w:jc w:val="center"/>
                    <w:rPr>
                      <w:rFonts w:hint="eastAsia"/>
                      <w:bCs/>
                      <w:sz w:val="21"/>
                      <w:szCs w:val="21"/>
                    </w:rPr>
                  </w:pPr>
                  <w:r>
                    <w:rPr>
                      <w:rFonts w:hint="eastAsia"/>
                      <w:bCs/>
                      <w:sz w:val="21"/>
                      <w:szCs w:val="21"/>
                      <w:lang w:val="en-US" w:eastAsia="zh-CN"/>
                    </w:rPr>
                    <w:t>4.375</w:t>
                  </w:r>
                </w:p>
              </w:tc>
              <w:tc>
                <w:tcPr>
                  <w:tcW w:w="321" w:type="pct"/>
                  <w:vAlign w:val="center"/>
                </w:tcPr>
                <w:p w14:paraId="1A56D7B2">
                  <w:pPr>
                    <w:adjustRightInd w:val="0"/>
                    <w:snapToGrid w:val="0"/>
                    <w:jc w:val="center"/>
                    <w:rPr>
                      <w:rFonts w:hint="default"/>
                      <w:bCs/>
                      <w:sz w:val="21"/>
                      <w:szCs w:val="21"/>
                      <w:lang w:val="en-US" w:eastAsia="zh-CN"/>
                    </w:rPr>
                  </w:pPr>
                  <w:r>
                    <w:rPr>
                      <w:rFonts w:hint="eastAsia"/>
                      <w:bCs/>
                      <w:sz w:val="21"/>
                      <w:szCs w:val="21"/>
                      <w:lang w:val="en-US" w:eastAsia="zh-CN"/>
                    </w:rPr>
                    <w:t>20</w:t>
                  </w:r>
                </w:p>
              </w:tc>
              <w:tc>
                <w:tcPr>
                  <w:tcW w:w="275" w:type="pct"/>
                  <w:vAlign w:val="center"/>
                </w:tcPr>
                <w:p w14:paraId="19F858B7">
                  <w:pPr>
                    <w:adjustRightInd w:val="0"/>
                    <w:snapToGrid w:val="0"/>
                    <w:jc w:val="center"/>
                    <w:rPr>
                      <w:rFonts w:hint="default"/>
                      <w:bCs/>
                      <w:sz w:val="21"/>
                      <w:szCs w:val="21"/>
                      <w:lang w:val="en-US" w:eastAsia="zh-CN"/>
                    </w:rPr>
                  </w:pPr>
                  <w:r>
                    <w:rPr>
                      <w:rFonts w:hint="eastAsia"/>
                      <w:bCs/>
                      <w:sz w:val="21"/>
                      <w:szCs w:val="21"/>
                      <w:lang w:val="en-US" w:eastAsia="zh-CN"/>
                    </w:rPr>
                    <w:t>/</w:t>
                  </w:r>
                </w:p>
              </w:tc>
              <w:tc>
                <w:tcPr>
                  <w:tcW w:w="344" w:type="pct"/>
                  <w:vAlign w:val="center"/>
                </w:tcPr>
                <w:p w14:paraId="4350843D">
                  <w:pPr>
                    <w:adjustRightInd w:val="0"/>
                    <w:snapToGrid w:val="0"/>
                    <w:jc w:val="center"/>
                    <w:rPr>
                      <w:rFonts w:hint="default"/>
                      <w:bCs/>
                      <w:sz w:val="21"/>
                      <w:szCs w:val="21"/>
                      <w:lang w:val="en-US" w:eastAsia="zh-CN"/>
                    </w:rPr>
                  </w:pPr>
                  <w:r>
                    <w:rPr>
                      <w:rFonts w:hint="eastAsia"/>
                      <w:bCs/>
                      <w:sz w:val="21"/>
                      <w:szCs w:val="21"/>
                      <w:lang w:val="en-US" w:eastAsia="zh-CN"/>
                    </w:rPr>
                    <w:t>达标</w:t>
                  </w:r>
                </w:p>
              </w:tc>
            </w:tr>
          </w:tbl>
          <w:p w14:paraId="74D53C51">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w:t>
            </w:r>
            <w:r>
              <w:rPr>
                <w:rFonts w:hint="eastAsia"/>
                <w:b/>
                <w:color w:val="000000" w:themeColor="text1"/>
                <w:lang w:val="en-US" w:eastAsia="zh-CN"/>
                <w14:textFill>
                  <w14:solidFill>
                    <w14:schemeClr w14:val="tx1"/>
                  </w14:solidFill>
                </w14:textFill>
              </w:rPr>
              <w:t>6</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项目有组织废气排放口基本情况表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674"/>
              <w:gridCol w:w="1125"/>
              <w:gridCol w:w="865"/>
              <w:gridCol w:w="776"/>
              <w:gridCol w:w="776"/>
              <w:gridCol w:w="822"/>
              <w:gridCol w:w="722"/>
              <w:gridCol w:w="754"/>
              <w:gridCol w:w="613"/>
            </w:tblGrid>
            <w:tr w14:paraId="2E71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Merge w:val="restart"/>
                  <w:vAlign w:val="center"/>
                </w:tcPr>
                <w:p w14:paraId="3377EFC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位置</w:t>
                  </w:r>
                </w:p>
              </w:tc>
              <w:tc>
                <w:tcPr>
                  <w:tcW w:w="423" w:type="pct"/>
                  <w:vMerge w:val="restart"/>
                  <w:vAlign w:val="center"/>
                </w:tcPr>
                <w:p w14:paraId="1B3684F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编号</w:t>
                  </w:r>
                </w:p>
              </w:tc>
              <w:tc>
                <w:tcPr>
                  <w:tcW w:w="1249" w:type="pct"/>
                  <w:gridSpan w:val="2"/>
                  <w:vAlign w:val="center"/>
                </w:tcPr>
                <w:p w14:paraId="159842F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排气筒坐标</w:t>
                  </w:r>
                </w:p>
              </w:tc>
              <w:tc>
                <w:tcPr>
                  <w:tcW w:w="1943" w:type="pct"/>
                  <w:gridSpan w:val="4"/>
                  <w:vAlign w:val="center"/>
                </w:tcPr>
                <w:p w14:paraId="0D4CBC0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排气筒参数</w:t>
                  </w:r>
                </w:p>
              </w:tc>
              <w:tc>
                <w:tcPr>
                  <w:tcW w:w="473" w:type="pct"/>
                  <w:vMerge w:val="restart"/>
                  <w:vAlign w:val="center"/>
                </w:tcPr>
                <w:p w14:paraId="53D6B71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污染物名称</w:t>
                  </w:r>
                </w:p>
              </w:tc>
              <w:tc>
                <w:tcPr>
                  <w:tcW w:w="384" w:type="pct"/>
                  <w:vMerge w:val="restart"/>
                  <w:vAlign w:val="center"/>
                </w:tcPr>
                <w:p w14:paraId="6F3A663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年排放时间h</w:t>
                  </w:r>
                </w:p>
              </w:tc>
            </w:tr>
            <w:tr w14:paraId="68D5E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Merge w:val="continue"/>
                  <w:vAlign w:val="center"/>
                </w:tcPr>
                <w:p w14:paraId="406D9E9D">
                  <w:pPr>
                    <w:adjustRightInd w:val="0"/>
                    <w:snapToGrid w:val="0"/>
                    <w:jc w:val="center"/>
                    <w:rPr>
                      <w:bCs/>
                      <w:color w:val="000000" w:themeColor="text1"/>
                      <w:sz w:val="21"/>
                      <w:szCs w:val="21"/>
                      <w14:textFill>
                        <w14:solidFill>
                          <w14:schemeClr w14:val="tx1"/>
                        </w14:solidFill>
                      </w14:textFill>
                    </w:rPr>
                  </w:pPr>
                </w:p>
              </w:tc>
              <w:tc>
                <w:tcPr>
                  <w:tcW w:w="423" w:type="pct"/>
                  <w:vMerge w:val="continue"/>
                  <w:vAlign w:val="center"/>
                </w:tcPr>
                <w:p w14:paraId="486AC932">
                  <w:pPr>
                    <w:adjustRightInd w:val="0"/>
                    <w:snapToGrid w:val="0"/>
                    <w:jc w:val="center"/>
                    <w:rPr>
                      <w:bCs/>
                      <w:color w:val="000000" w:themeColor="text1"/>
                      <w:sz w:val="21"/>
                      <w:szCs w:val="21"/>
                      <w14:textFill>
                        <w14:solidFill>
                          <w14:schemeClr w14:val="tx1"/>
                        </w14:solidFill>
                      </w14:textFill>
                    </w:rPr>
                  </w:pPr>
                </w:p>
              </w:tc>
              <w:tc>
                <w:tcPr>
                  <w:tcW w:w="706" w:type="pct"/>
                  <w:vAlign w:val="center"/>
                </w:tcPr>
                <w:p w14:paraId="43B56D0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经度</w:t>
                  </w:r>
                </w:p>
              </w:tc>
              <w:tc>
                <w:tcPr>
                  <w:tcW w:w="543" w:type="pct"/>
                  <w:vAlign w:val="center"/>
                </w:tcPr>
                <w:p w14:paraId="2224E55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纬度</w:t>
                  </w:r>
                </w:p>
              </w:tc>
              <w:tc>
                <w:tcPr>
                  <w:tcW w:w="487" w:type="pct"/>
                  <w:vAlign w:val="center"/>
                </w:tcPr>
                <w:p w14:paraId="7C7FD44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高度（m）</w:t>
                  </w:r>
                </w:p>
              </w:tc>
              <w:tc>
                <w:tcPr>
                  <w:tcW w:w="487" w:type="pct"/>
                  <w:vAlign w:val="center"/>
                </w:tcPr>
                <w:p w14:paraId="4EFEE00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直径（m）</w:t>
                  </w:r>
                </w:p>
              </w:tc>
              <w:tc>
                <w:tcPr>
                  <w:tcW w:w="516" w:type="pct"/>
                  <w:vAlign w:val="center"/>
                </w:tcPr>
                <w:p w14:paraId="22E4ACA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温度（</w:t>
                  </w:r>
                  <w:r>
                    <w:rPr>
                      <w:rFonts w:hint="eastAsia" w:ascii="宋体" w:hAnsi="宋体" w:cs="宋体"/>
                      <w:bCs/>
                      <w:color w:val="000000" w:themeColor="text1"/>
                      <w:sz w:val="21"/>
                      <w:szCs w:val="21"/>
                      <w14:textFill>
                        <w14:solidFill>
                          <w14:schemeClr w14:val="tx1"/>
                        </w14:solidFill>
                      </w14:textFill>
                    </w:rPr>
                    <w:t>℃</w:t>
                  </w:r>
                  <w:r>
                    <w:rPr>
                      <w:rFonts w:hint="eastAsia"/>
                      <w:bCs/>
                      <w:color w:val="000000" w:themeColor="text1"/>
                      <w:sz w:val="21"/>
                      <w:szCs w:val="21"/>
                      <w14:textFill>
                        <w14:solidFill>
                          <w14:schemeClr w14:val="tx1"/>
                        </w14:solidFill>
                      </w14:textFill>
                    </w:rPr>
                    <w:t>）</w:t>
                  </w:r>
                </w:p>
              </w:tc>
              <w:tc>
                <w:tcPr>
                  <w:tcW w:w="453" w:type="pct"/>
                  <w:vAlign w:val="center"/>
                </w:tcPr>
                <w:p w14:paraId="39BF78A7">
                  <w:pPr>
                    <w:adjustRightInd w:val="0"/>
                    <w:snapToGrid w:val="0"/>
                    <w:jc w:val="center"/>
                    <w:rPr>
                      <w:sz w:val="21"/>
                      <w:szCs w:val="21"/>
                    </w:rPr>
                  </w:pPr>
                  <w:r>
                    <w:rPr>
                      <w:rFonts w:hint="eastAsia"/>
                      <w:bCs/>
                      <w:color w:val="000000" w:themeColor="text1"/>
                      <w:sz w:val="21"/>
                      <w:szCs w:val="21"/>
                      <w14:textFill>
                        <w14:solidFill>
                          <w14:schemeClr w14:val="tx1"/>
                        </w14:solidFill>
                      </w14:textFill>
                    </w:rPr>
                    <w:t>排气量m</w:t>
                  </w:r>
                  <w:r>
                    <w:rPr>
                      <w:rFonts w:hint="eastAsia"/>
                      <w:bCs/>
                      <w:color w:val="000000" w:themeColor="text1"/>
                      <w:sz w:val="21"/>
                      <w:szCs w:val="21"/>
                      <w:vertAlign w:val="superscript"/>
                      <w14:textFill>
                        <w14:solidFill>
                          <w14:schemeClr w14:val="tx1"/>
                        </w14:solidFill>
                      </w14:textFill>
                    </w:rPr>
                    <w:t>3</w:t>
                  </w:r>
                  <w:r>
                    <w:rPr>
                      <w:rFonts w:hint="eastAsia"/>
                      <w:bCs/>
                      <w:color w:val="000000" w:themeColor="text1"/>
                      <w:sz w:val="21"/>
                      <w:szCs w:val="21"/>
                      <w14:textFill>
                        <w14:solidFill>
                          <w14:schemeClr w14:val="tx1"/>
                        </w14:solidFill>
                      </w14:textFill>
                    </w:rPr>
                    <w:t>/h</w:t>
                  </w:r>
                </w:p>
              </w:tc>
              <w:tc>
                <w:tcPr>
                  <w:tcW w:w="473" w:type="pct"/>
                  <w:vMerge w:val="continue"/>
                  <w:vAlign w:val="center"/>
                </w:tcPr>
                <w:p w14:paraId="0184622F">
                  <w:pPr>
                    <w:adjustRightInd w:val="0"/>
                    <w:snapToGrid w:val="0"/>
                    <w:jc w:val="center"/>
                    <w:rPr>
                      <w:bCs/>
                      <w:color w:val="000000" w:themeColor="text1"/>
                      <w:sz w:val="21"/>
                      <w:szCs w:val="21"/>
                      <w14:textFill>
                        <w14:solidFill>
                          <w14:schemeClr w14:val="tx1"/>
                        </w14:solidFill>
                      </w14:textFill>
                    </w:rPr>
                  </w:pPr>
                </w:p>
              </w:tc>
              <w:tc>
                <w:tcPr>
                  <w:tcW w:w="384" w:type="pct"/>
                  <w:vMerge w:val="continue"/>
                  <w:vAlign w:val="center"/>
                </w:tcPr>
                <w:p w14:paraId="4EB74B70">
                  <w:pPr>
                    <w:adjustRightInd w:val="0"/>
                    <w:snapToGrid w:val="0"/>
                    <w:jc w:val="center"/>
                    <w:rPr>
                      <w:bCs/>
                      <w:color w:val="000000" w:themeColor="text1"/>
                      <w:sz w:val="21"/>
                      <w:szCs w:val="21"/>
                      <w14:textFill>
                        <w14:solidFill>
                          <w14:schemeClr w14:val="tx1"/>
                        </w14:solidFill>
                      </w14:textFill>
                    </w:rPr>
                  </w:pPr>
                </w:p>
              </w:tc>
            </w:tr>
            <w:tr w14:paraId="19A7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Align w:val="center"/>
                </w:tcPr>
                <w:p w14:paraId="7039D52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高压生产车间</w:t>
                  </w:r>
                </w:p>
              </w:tc>
              <w:tc>
                <w:tcPr>
                  <w:tcW w:w="423" w:type="pct"/>
                  <w:vAlign w:val="center"/>
                </w:tcPr>
                <w:p w14:paraId="75B4171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DA001</w:t>
                  </w:r>
                </w:p>
              </w:tc>
              <w:tc>
                <w:tcPr>
                  <w:tcW w:w="706" w:type="pct"/>
                  <w:vAlign w:val="center"/>
                </w:tcPr>
                <w:p w14:paraId="18E664A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117.090056</w:t>
                  </w:r>
                </w:p>
              </w:tc>
              <w:tc>
                <w:tcPr>
                  <w:tcW w:w="543" w:type="pct"/>
                  <w:vAlign w:val="center"/>
                </w:tcPr>
                <w:p w14:paraId="59B06DC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32.653674</w:t>
                  </w:r>
                </w:p>
              </w:tc>
              <w:tc>
                <w:tcPr>
                  <w:tcW w:w="487" w:type="pct"/>
                  <w:vAlign w:val="center"/>
                </w:tcPr>
                <w:p w14:paraId="606F4E1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487" w:type="pct"/>
                  <w:vAlign w:val="center"/>
                </w:tcPr>
                <w:p w14:paraId="2913C56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516" w:type="pct"/>
                  <w:vAlign w:val="center"/>
                </w:tcPr>
                <w:p w14:paraId="76892D0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p>
              </w:tc>
              <w:tc>
                <w:tcPr>
                  <w:tcW w:w="453" w:type="pct"/>
                  <w:vAlign w:val="center"/>
                </w:tcPr>
                <w:p w14:paraId="079238B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12000</w:t>
                  </w:r>
                </w:p>
              </w:tc>
              <w:tc>
                <w:tcPr>
                  <w:tcW w:w="473" w:type="pct"/>
                  <w:vAlign w:val="center"/>
                </w:tcPr>
                <w:p w14:paraId="0F97B5F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非甲烷总烃、HCl</w:t>
                  </w:r>
                </w:p>
              </w:tc>
              <w:tc>
                <w:tcPr>
                  <w:tcW w:w="384" w:type="pct"/>
                  <w:vAlign w:val="center"/>
                </w:tcPr>
                <w:p w14:paraId="4A2C1ED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7200</w:t>
                  </w:r>
                </w:p>
              </w:tc>
            </w:tr>
            <w:tr w14:paraId="52866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Align w:val="center"/>
                </w:tcPr>
                <w:p w14:paraId="39E597E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新能源线缆车间</w:t>
                  </w:r>
                </w:p>
              </w:tc>
              <w:tc>
                <w:tcPr>
                  <w:tcW w:w="423" w:type="pct"/>
                  <w:vAlign w:val="center"/>
                </w:tcPr>
                <w:p w14:paraId="38023AB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DA002</w:t>
                  </w:r>
                </w:p>
              </w:tc>
              <w:tc>
                <w:tcPr>
                  <w:tcW w:w="706" w:type="pct"/>
                  <w:vAlign w:val="center"/>
                </w:tcPr>
                <w:p w14:paraId="48941DC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117.089424</w:t>
                  </w:r>
                </w:p>
              </w:tc>
              <w:tc>
                <w:tcPr>
                  <w:tcW w:w="543" w:type="pct"/>
                  <w:vAlign w:val="center"/>
                </w:tcPr>
                <w:p w14:paraId="75465EA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32.653653</w:t>
                  </w:r>
                </w:p>
              </w:tc>
              <w:tc>
                <w:tcPr>
                  <w:tcW w:w="487" w:type="pct"/>
                  <w:vAlign w:val="center"/>
                </w:tcPr>
                <w:p w14:paraId="27AB5D2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487" w:type="pct"/>
                  <w:vAlign w:val="center"/>
                </w:tcPr>
                <w:p w14:paraId="74218B7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516" w:type="pct"/>
                  <w:vAlign w:val="center"/>
                </w:tcPr>
                <w:p w14:paraId="45F130F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p>
              </w:tc>
              <w:tc>
                <w:tcPr>
                  <w:tcW w:w="453" w:type="pct"/>
                  <w:vAlign w:val="center"/>
                </w:tcPr>
                <w:p w14:paraId="50EF9B8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12000</w:t>
                  </w:r>
                </w:p>
              </w:tc>
              <w:tc>
                <w:tcPr>
                  <w:tcW w:w="473" w:type="pct"/>
                  <w:vAlign w:val="center"/>
                </w:tcPr>
                <w:p w14:paraId="132EDEF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非甲烷总烃、HCl</w:t>
                  </w:r>
                </w:p>
              </w:tc>
              <w:tc>
                <w:tcPr>
                  <w:tcW w:w="384" w:type="pct"/>
                  <w:vAlign w:val="center"/>
                </w:tcPr>
                <w:p w14:paraId="082D724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7200</w:t>
                  </w:r>
                </w:p>
              </w:tc>
            </w:tr>
            <w:tr w14:paraId="1190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Align w:val="center"/>
                </w:tcPr>
                <w:p w14:paraId="0A2A7C2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低压线缆车间</w:t>
                  </w:r>
                </w:p>
              </w:tc>
              <w:tc>
                <w:tcPr>
                  <w:tcW w:w="423" w:type="pct"/>
                  <w:vAlign w:val="center"/>
                </w:tcPr>
                <w:p w14:paraId="1AEA037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DA003</w:t>
                  </w:r>
                </w:p>
              </w:tc>
              <w:tc>
                <w:tcPr>
                  <w:tcW w:w="706" w:type="pct"/>
                  <w:vAlign w:val="center"/>
                </w:tcPr>
                <w:p w14:paraId="1E93CC8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117.089306</w:t>
                  </w:r>
                </w:p>
              </w:tc>
              <w:tc>
                <w:tcPr>
                  <w:tcW w:w="543" w:type="pct"/>
                  <w:vAlign w:val="center"/>
                </w:tcPr>
                <w:p w14:paraId="2719A71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32.654591</w:t>
                  </w:r>
                </w:p>
              </w:tc>
              <w:tc>
                <w:tcPr>
                  <w:tcW w:w="487" w:type="pct"/>
                  <w:vAlign w:val="center"/>
                </w:tcPr>
                <w:p w14:paraId="1E2BED9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487" w:type="pct"/>
                  <w:vAlign w:val="center"/>
                </w:tcPr>
                <w:p w14:paraId="16471B6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516" w:type="pct"/>
                  <w:vAlign w:val="center"/>
                </w:tcPr>
                <w:p w14:paraId="40F29B2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p>
              </w:tc>
              <w:tc>
                <w:tcPr>
                  <w:tcW w:w="453" w:type="pct"/>
                  <w:vAlign w:val="center"/>
                </w:tcPr>
                <w:p w14:paraId="363605A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12000</w:t>
                  </w:r>
                </w:p>
              </w:tc>
              <w:tc>
                <w:tcPr>
                  <w:tcW w:w="473" w:type="pct"/>
                  <w:vAlign w:val="center"/>
                </w:tcPr>
                <w:p w14:paraId="51828D4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非甲烷总烃、HCl</w:t>
                  </w:r>
                </w:p>
              </w:tc>
              <w:tc>
                <w:tcPr>
                  <w:tcW w:w="384" w:type="pct"/>
                  <w:vAlign w:val="center"/>
                </w:tcPr>
                <w:p w14:paraId="1873124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7200</w:t>
                  </w:r>
                </w:p>
              </w:tc>
            </w:tr>
            <w:tr w14:paraId="63D6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26" w:type="pct"/>
                  <w:vAlign w:val="center"/>
                </w:tcPr>
                <w:p w14:paraId="77FD6C5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塑料制品生产区</w:t>
                  </w:r>
                </w:p>
              </w:tc>
              <w:tc>
                <w:tcPr>
                  <w:tcW w:w="423" w:type="pct"/>
                  <w:vAlign w:val="center"/>
                </w:tcPr>
                <w:p w14:paraId="503284B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DA004</w:t>
                  </w:r>
                </w:p>
              </w:tc>
              <w:tc>
                <w:tcPr>
                  <w:tcW w:w="706" w:type="pct"/>
                  <w:vAlign w:val="center"/>
                </w:tcPr>
                <w:p w14:paraId="3D1B7B5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117.091430</w:t>
                  </w:r>
                </w:p>
              </w:tc>
              <w:tc>
                <w:tcPr>
                  <w:tcW w:w="543" w:type="pct"/>
                  <w:vAlign w:val="center"/>
                </w:tcPr>
                <w:p w14:paraId="6256836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32.653819</w:t>
                  </w:r>
                </w:p>
              </w:tc>
              <w:tc>
                <w:tcPr>
                  <w:tcW w:w="487" w:type="pct"/>
                  <w:vAlign w:val="center"/>
                </w:tcPr>
                <w:p w14:paraId="2BFCE4D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487" w:type="pct"/>
                  <w:vAlign w:val="center"/>
                </w:tcPr>
                <w:p w14:paraId="1FE493D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516" w:type="pct"/>
                  <w:vAlign w:val="center"/>
                </w:tcPr>
                <w:p w14:paraId="1F08FA6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p>
              </w:tc>
              <w:tc>
                <w:tcPr>
                  <w:tcW w:w="453" w:type="pct"/>
                  <w:vAlign w:val="center"/>
                </w:tcPr>
                <w:p w14:paraId="367BCE1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12000</w:t>
                  </w:r>
                </w:p>
              </w:tc>
              <w:tc>
                <w:tcPr>
                  <w:tcW w:w="473" w:type="pct"/>
                  <w:vAlign w:val="center"/>
                </w:tcPr>
                <w:p w14:paraId="469EEF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非甲烷总烃、HCl、TSP</w:t>
                  </w:r>
                </w:p>
              </w:tc>
              <w:tc>
                <w:tcPr>
                  <w:tcW w:w="384" w:type="pct"/>
                  <w:vAlign w:val="center"/>
                </w:tcPr>
                <w:p w14:paraId="5A6806B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7200</w:t>
                  </w:r>
                </w:p>
              </w:tc>
            </w:tr>
          </w:tbl>
          <w:p w14:paraId="6B62EFF0">
            <w:pPr>
              <w:autoSpaceDE w:val="0"/>
              <w:adjustRightInd w:val="0"/>
              <w:snapToGrid w:val="0"/>
              <w:jc w:val="center"/>
              <w:rPr>
                <w:rFonts w:hint="eastAsia"/>
                <w:b/>
                <w:bCs/>
              </w:rPr>
            </w:pPr>
            <w:r>
              <w:rPr>
                <w:b/>
                <w:bCs/>
              </w:rPr>
              <w:t>表</w:t>
            </w:r>
            <w:r>
              <w:rPr>
                <w:rFonts w:hint="eastAsia"/>
                <w:b/>
                <w:bCs/>
              </w:rPr>
              <w:t>4.2</w:t>
            </w:r>
            <w:r>
              <w:rPr>
                <w:b/>
                <w:bCs/>
              </w:rPr>
              <w:t>-</w:t>
            </w:r>
            <w:r>
              <w:rPr>
                <w:rFonts w:hint="eastAsia"/>
                <w:b/>
                <w:bCs/>
                <w:lang w:val="en-US" w:eastAsia="zh-CN"/>
              </w:rPr>
              <w:t>7</w:t>
            </w:r>
            <w:r>
              <w:rPr>
                <w:rFonts w:hint="eastAsia"/>
                <w:b/>
                <w:bCs/>
              </w:rPr>
              <w:t xml:space="preserve"> </w:t>
            </w:r>
            <w:r>
              <w:rPr>
                <w:b/>
                <w:bCs/>
              </w:rPr>
              <w:t xml:space="preserve"> </w:t>
            </w:r>
            <w:r>
              <w:rPr>
                <w:rFonts w:hint="eastAsia"/>
                <w:b/>
                <w:bCs/>
              </w:rPr>
              <w:t>项目</w:t>
            </w:r>
            <w:r>
              <w:rPr>
                <w:rFonts w:hint="eastAsia"/>
                <w:b/>
                <w:bCs/>
                <w:lang w:val="en-US" w:eastAsia="zh-CN"/>
              </w:rPr>
              <w:t>无</w:t>
            </w:r>
            <w:r>
              <w:rPr>
                <w:rFonts w:hint="eastAsia"/>
                <w:b/>
                <w:bCs/>
              </w:rPr>
              <w:t>组织废气排放情况汇总</w:t>
            </w:r>
          </w:p>
          <w:tbl>
            <w:tblPr>
              <w:tblStyle w:val="16"/>
              <w:tblW w:w="7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2015"/>
              <w:gridCol w:w="1021"/>
              <w:gridCol w:w="1029"/>
              <w:gridCol w:w="1873"/>
            </w:tblGrid>
            <w:tr w14:paraId="0D44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Align w:val="center"/>
                </w:tcPr>
                <w:p w14:paraId="7F8D4E73">
                  <w:pPr>
                    <w:adjustRightInd w:val="0"/>
                    <w:snapToGrid w:val="0"/>
                    <w:jc w:val="center"/>
                    <w:rPr>
                      <w:rFonts w:hint="eastAsia" w:cs="Times New Roman"/>
                      <w:b w:val="0"/>
                      <w:bCs/>
                      <w:sz w:val="21"/>
                      <w:szCs w:val="21"/>
                    </w:rPr>
                  </w:pPr>
                  <w:r>
                    <w:rPr>
                      <w:rFonts w:hint="eastAsia" w:cs="Times New Roman"/>
                      <w:b w:val="0"/>
                      <w:bCs/>
                      <w:sz w:val="21"/>
                      <w:szCs w:val="21"/>
                    </w:rPr>
                    <w:t>生产区域</w:t>
                  </w:r>
                </w:p>
              </w:tc>
              <w:tc>
                <w:tcPr>
                  <w:tcW w:w="1265" w:type="pct"/>
                  <w:vAlign w:val="center"/>
                </w:tcPr>
                <w:p w14:paraId="1E07AA08">
                  <w:pPr>
                    <w:adjustRightInd w:val="0"/>
                    <w:snapToGrid w:val="0"/>
                    <w:jc w:val="center"/>
                    <w:rPr>
                      <w:rFonts w:hint="eastAsia" w:cs="Times New Roman"/>
                      <w:b w:val="0"/>
                      <w:bCs/>
                      <w:sz w:val="21"/>
                      <w:szCs w:val="21"/>
                    </w:rPr>
                  </w:pPr>
                  <w:r>
                    <w:rPr>
                      <w:rFonts w:hint="eastAsia" w:cs="Times New Roman"/>
                      <w:b w:val="0"/>
                      <w:bCs/>
                      <w:sz w:val="21"/>
                      <w:szCs w:val="21"/>
                    </w:rPr>
                    <w:t>污染物名称</w:t>
                  </w:r>
                </w:p>
              </w:tc>
              <w:tc>
                <w:tcPr>
                  <w:tcW w:w="641" w:type="pct"/>
                  <w:vAlign w:val="center"/>
                </w:tcPr>
                <w:p w14:paraId="2712B891">
                  <w:pPr>
                    <w:adjustRightInd w:val="0"/>
                    <w:snapToGrid w:val="0"/>
                    <w:jc w:val="center"/>
                    <w:rPr>
                      <w:rFonts w:hint="eastAsia" w:cs="Times New Roman"/>
                      <w:b w:val="0"/>
                      <w:bCs/>
                      <w:sz w:val="21"/>
                      <w:szCs w:val="21"/>
                    </w:rPr>
                  </w:pPr>
                  <w:r>
                    <w:rPr>
                      <w:rFonts w:hint="eastAsia" w:cs="Times New Roman"/>
                      <w:b w:val="0"/>
                      <w:bCs/>
                      <w:sz w:val="21"/>
                      <w:szCs w:val="21"/>
                    </w:rPr>
                    <w:t>排放时间（h）</w:t>
                  </w:r>
                </w:p>
              </w:tc>
              <w:tc>
                <w:tcPr>
                  <w:tcW w:w="646" w:type="pct"/>
                  <w:vAlign w:val="center"/>
                </w:tcPr>
                <w:p w14:paraId="143F6D58">
                  <w:pPr>
                    <w:adjustRightInd w:val="0"/>
                    <w:snapToGrid w:val="0"/>
                    <w:jc w:val="center"/>
                    <w:rPr>
                      <w:rFonts w:hint="eastAsia" w:cs="Times New Roman"/>
                      <w:b w:val="0"/>
                      <w:bCs/>
                      <w:sz w:val="21"/>
                      <w:szCs w:val="21"/>
                    </w:rPr>
                  </w:pPr>
                  <w:r>
                    <w:rPr>
                      <w:rFonts w:hint="eastAsia" w:cs="Times New Roman"/>
                      <w:b w:val="0"/>
                      <w:bCs/>
                      <w:sz w:val="21"/>
                      <w:szCs w:val="21"/>
                    </w:rPr>
                    <w:t>排放量（t/a ）</w:t>
                  </w:r>
                </w:p>
              </w:tc>
              <w:tc>
                <w:tcPr>
                  <w:tcW w:w="1176" w:type="pct"/>
                  <w:vAlign w:val="center"/>
                </w:tcPr>
                <w:p w14:paraId="60527433">
                  <w:pPr>
                    <w:adjustRightInd w:val="0"/>
                    <w:snapToGrid w:val="0"/>
                    <w:jc w:val="center"/>
                    <w:rPr>
                      <w:rFonts w:hint="eastAsia" w:cs="Times New Roman"/>
                      <w:b w:val="0"/>
                      <w:bCs/>
                      <w:sz w:val="21"/>
                      <w:szCs w:val="21"/>
                    </w:rPr>
                  </w:pPr>
                  <w:r>
                    <w:rPr>
                      <w:rFonts w:hint="eastAsia" w:cs="Times New Roman"/>
                      <w:b w:val="0"/>
                      <w:bCs/>
                      <w:sz w:val="21"/>
                      <w:szCs w:val="21"/>
                    </w:rPr>
                    <w:t>排放速率（kg/h）</w:t>
                  </w:r>
                </w:p>
              </w:tc>
            </w:tr>
            <w:tr w14:paraId="343B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1" w:type="pct"/>
                  <w:vMerge w:val="restart"/>
                  <w:vAlign w:val="center"/>
                </w:tcPr>
                <w:p w14:paraId="282E4386">
                  <w:pPr>
                    <w:adjustRightInd w:val="0"/>
                    <w:snapToGrid w:val="0"/>
                    <w:jc w:val="center"/>
                    <w:rPr>
                      <w:rFonts w:hint="eastAsia" w:cs="Times New Roman"/>
                      <w:bCs/>
                      <w:sz w:val="21"/>
                      <w:szCs w:val="21"/>
                    </w:rPr>
                  </w:pPr>
                  <w:r>
                    <w:rPr>
                      <w:rFonts w:hint="eastAsia" w:cs="Times New Roman"/>
                      <w:bCs/>
                      <w:sz w:val="21"/>
                      <w:szCs w:val="21"/>
                      <w:lang w:val="en-US" w:eastAsia="zh-CN"/>
                    </w:rPr>
                    <w:t>高压</w:t>
                  </w:r>
                  <w:r>
                    <w:rPr>
                      <w:rFonts w:hint="eastAsia" w:cs="Times New Roman"/>
                      <w:bCs/>
                      <w:sz w:val="21"/>
                      <w:szCs w:val="21"/>
                    </w:rPr>
                    <w:t>生产车间</w:t>
                  </w:r>
                </w:p>
              </w:tc>
              <w:tc>
                <w:tcPr>
                  <w:tcW w:w="1265" w:type="pct"/>
                  <w:vAlign w:val="center"/>
                </w:tcPr>
                <w:p w14:paraId="08A822D7">
                  <w:pPr>
                    <w:adjustRightInd w:val="0"/>
                    <w:snapToGrid w:val="0"/>
                    <w:jc w:val="center"/>
                    <w:rPr>
                      <w:rFonts w:hint="eastAsia" w:cs="Times New Roman"/>
                      <w:bCs/>
                      <w:sz w:val="21"/>
                      <w:szCs w:val="21"/>
                    </w:rPr>
                  </w:pPr>
                  <w:r>
                    <w:rPr>
                      <w:rFonts w:hint="eastAsia" w:cs="Times New Roman"/>
                      <w:bCs/>
                      <w:sz w:val="21"/>
                      <w:szCs w:val="21"/>
                    </w:rPr>
                    <w:t>非甲烷总烃</w:t>
                  </w:r>
                </w:p>
              </w:tc>
              <w:tc>
                <w:tcPr>
                  <w:tcW w:w="641" w:type="pct"/>
                  <w:vAlign w:val="center"/>
                </w:tcPr>
                <w:p w14:paraId="354D3E64">
                  <w:pPr>
                    <w:adjustRightInd w:val="0"/>
                    <w:snapToGrid w:val="0"/>
                    <w:jc w:val="center"/>
                    <w:rPr>
                      <w:rFonts w:hint="default" w:eastAsia="宋体" w:cs="Times New Roman"/>
                      <w:bCs/>
                      <w:sz w:val="21"/>
                      <w:szCs w:val="21"/>
                      <w:lang w:val="en-US" w:eastAsia="zh-CN"/>
                    </w:rPr>
                  </w:pPr>
                  <w:r>
                    <w:rPr>
                      <w:rFonts w:hint="eastAsia" w:cs="Times New Roman"/>
                      <w:bCs/>
                      <w:sz w:val="21"/>
                      <w:szCs w:val="21"/>
                      <w:lang w:val="en-US" w:eastAsia="zh-CN"/>
                    </w:rPr>
                    <w:t>7200</w:t>
                  </w:r>
                </w:p>
              </w:tc>
              <w:tc>
                <w:tcPr>
                  <w:tcW w:w="1029" w:type="dxa"/>
                  <w:vAlign w:val="center"/>
                </w:tcPr>
                <w:p w14:paraId="6F5F4337">
                  <w:pPr>
                    <w:adjustRightInd w:val="0"/>
                    <w:snapToGrid w:val="0"/>
                    <w:jc w:val="center"/>
                    <w:rPr>
                      <w:rFonts w:hint="eastAsia" w:cs="Times New Roman"/>
                      <w:bCs/>
                      <w:sz w:val="21"/>
                      <w:szCs w:val="21"/>
                    </w:rPr>
                  </w:pPr>
                  <w:r>
                    <w:rPr>
                      <w:rFonts w:hint="eastAsia"/>
                      <w:bCs/>
                      <w:szCs w:val="21"/>
                      <w:lang w:val="en-US" w:eastAsia="zh-CN"/>
                    </w:rPr>
                    <w:t>0.775</w:t>
                  </w:r>
                </w:p>
              </w:tc>
              <w:tc>
                <w:tcPr>
                  <w:tcW w:w="1873" w:type="dxa"/>
                  <w:vAlign w:val="center"/>
                </w:tcPr>
                <w:p w14:paraId="34A27A5C">
                  <w:pPr>
                    <w:adjustRightInd w:val="0"/>
                    <w:snapToGrid w:val="0"/>
                    <w:jc w:val="center"/>
                    <w:rPr>
                      <w:rFonts w:hint="eastAsia" w:cs="Times New Roman"/>
                      <w:bCs/>
                      <w:sz w:val="21"/>
                      <w:szCs w:val="21"/>
                    </w:rPr>
                  </w:pPr>
                  <w:r>
                    <w:rPr>
                      <w:rFonts w:hint="eastAsia"/>
                      <w:bCs/>
                      <w:szCs w:val="21"/>
                    </w:rPr>
                    <w:t>0.</w:t>
                  </w:r>
                  <w:r>
                    <w:rPr>
                      <w:rFonts w:hint="eastAsia"/>
                      <w:bCs/>
                      <w:szCs w:val="21"/>
                      <w:lang w:val="en-US" w:eastAsia="zh-CN"/>
                    </w:rPr>
                    <w:t>108</w:t>
                  </w:r>
                </w:p>
              </w:tc>
            </w:tr>
            <w:tr w14:paraId="45E9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continue"/>
                  <w:vAlign w:val="center"/>
                </w:tcPr>
                <w:p w14:paraId="5D321ED1">
                  <w:pPr>
                    <w:adjustRightInd w:val="0"/>
                    <w:snapToGrid w:val="0"/>
                    <w:jc w:val="center"/>
                    <w:rPr>
                      <w:rFonts w:hint="eastAsia" w:cs="Times New Roman"/>
                      <w:bCs/>
                      <w:sz w:val="21"/>
                      <w:szCs w:val="21"/>
                    </w:rPr>
                  </w:pPr>
                </w:p>
              </w:tc>
              <w:tc>
                <w:tcPr>
                  <w:tcW w:w="1265" w:type="pct"/>
                  <w:vAlign w:val="center"/>
                </w:tcPr>
                <w:p w14:paraId="19FFDC62">
                  <w:pPr>
                    <w:adjustRightInd w:val="0"/>
                    <w:snapToGrid w:val="0"/>
                    <w:jc w:val="center"/>
                    <w:rPr>
                      <w:rFonts w:hint="default" w:cs="Times New Roman"/>
                      <w:bCs/>
                      <w:sz w:val="21"/>
                      <w:szCs w:val="21"/>
                    </w:rPr>
                  </w:pPr>
                  <w:r>
                    <w:rPr>
                      <w:rFonts w:hint="eastAsia" w:cs="Times New Roman"/>
                      <w:bCs/>
                      <w:sz w:val="21"/>
                      <w:szCs w:val="21"/>
                      <w:lang w:eastAsia="zh-CN"/>
                    </w:rPr>
                    <w:t>H</w:t>
                  </w:r>
                  <w:r>
                    <w:rPr>
                      <w:rFonts w:hint="eastAsia" w:cs="Times New Roman"/>
                      <w:bCs/>
                      <w:sz w:val="21"/>
                      <w:szCs w:val="21"/>
                      <w:lang w:val="en-US" w:eastAsia="zh-CN"/>
                    </w:rPr>
                    <w:t>Cl</w:t>
                  </w:r>
                </w:p>
              </w:tc>
              <w:tc>
                <w:tcPr>
                  <w:tcW w:w="641" w:type="pct"/>
                  <w:vAlign w:val="center"/>
                </w:tcPr>
                <w:p w14:paraId="07B65573">
                  <w:pPr>
                    <w:adjustRightInd w:val="0"/>
                    <w:snapToGrid w:val="0"/>
                    <w:jc w:val="center"/>
                    <w:rPr>
                      <w:rFonts w:hint="default" w:cs="Times New Roman"/>
                      <w:bCs/>
                      <w:sz w:val="21"/>
                      <w:szCs w:val="21"/>
                    </w:rPr>
                  </w:pPr>
                  <w:r>
                    <w:rPr>
                      <w:rFonts w:hint="eastAsia" w:cs="Times New Roman"/>
                      <w:bCs/>
                      <w:sz w:val="21"/>
                      <w:szCs w:val="21"/>
                      <w:lang w:eastAsia="zh-CN"/>
                    </w:rPr>
                    <w:t>7</w:t>
                  </w:r>
                  <w:r>
                    <w:rPr>
                      <w:rFonts w:hint="eastAsia" w:cs="Times New Roman"/>
                      <w:bCs/>
                      <w:sz w:val="21"/>
                      <w:szCs w:val="21"/>
                      <w:lang w:val="en-US" w:eastAsia="zh-CN"/>
                    </w:rPr>
                    <w:t>200</w:t>
                  </w:r>
                </w:p>
              </w:tc>
              <w:tc>
                <w:tcPr>
                  <w:tcW w:w="1029" w:type="dxa"/>
                  <w:vAlign w:val="center"/>
                </w:tcPr>
                <w:p w14:paraId="1E11DCC5">
                  <w:pPr>
                    <w:adjustRightInd w:val="0"/>
                    <w:snapToGrid w:val="0"/>
                    <w:jc w:val="center"/>
                    <w:rPr>
                      <w:rFonts w:hint="eastAsia" w:cs="Times New Roman"/>
                      <w:bCs/>
                      <w:sz w:val="21"/>
                      <w:szCs w:val="21"/>
                    </w:rPr>
                  </w:pPr>
                  <w:r>
                    <w:rPr>
                      <w:rFonts w:hint="eastAsia"/>
                      <w:bCs/>
                      <w:szCs w:val="21"/>
                    </w:rPr>
                    <w:t>0.00</w:t>
                  </w:r>
                  <w:r>
                    <w:rPr>
                      <w:rFonts w:hint="eastAsia"/>
                      <w:bCs/>
                      <w:szCs w:val="21"/>
                      <w:lang w:val="en-US" w:eastAsia="zh-CN"/>
                    </w:rPr>
                    <w:t>15</w:t>
                  </w:r>
                </w:p>
              </w:tc>
              <w:tc>
                <w:tcPr>
                  <w:tcW w:w="1873" w:type="dxa"/>
                  <w:vAlign w:val="center"/>
                </w:tcPr>
                <w:p w14:paraId="4AAC9A10">
                  <w:pPr>
                    <w:adjustRightInd w:val="0"/>
                    <w:snapToGrid w:val="0"/>
                    <w:jc w:val="center"/>
                    <w:rPr>
                      <w:rFonts w:hint="eastAsia" w:cs="Times New Roman"/>
                      <w:bCs/>
                      <w:sz w:val="21"/>
                      <w:szCs w:val="21"/>
                    </w:rPr>
                  </w:pPr>
                  <w:r>
                    <w:rPr>
                      <w:rFonts w:hint="eastAsia"/>
                      <w:bCs/>
                      <w:szCs w:val="21"/>
                    </w:rPr>
                    <w:t>0.000</w:t>
                  </w:r>
                  <w:r>
                    <w:rPr>
                      <w:rFonts w:hint="eastAsia"/>
                      <w:bCs/>
                      <w:szCs w:val="21"/>
                      <w:lang w:val="en-US" w:eastAsia="zh-CN"/>
                    </w:rPr>
                    <w:t>2</w:t>
                  </w:r>
                </w:p>
              </w:tc>
            </w:tr>
            <w:tr w14:paraId="10DA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restart"/>
                  <w:vAlign w:val="center"/>
                </w:tcPr>
                <w:p w14:paraId="1D51C539">
                  <w:pPr>
                    <w:adjustRightInd w:val="0"/>
                    <w:snapToGrid w:val="0"/>
                    <w:jc w:val="center"/>
                    <w:rPr>
                      <w:rFonts w:hint="default" w:eastAsia="宋体" w:cs="Times New Roman"/>
                      <w:bCs/>
                      <w:sz w:val="21"/>
                      <w:szCs w:val="21"/>
                      <w:lang w:val="en-US" w:eastAsia="zh-CN"/>
                    </w:rPr>
                  </w:pPr>
                  <w:r>
                    <w:rPr>
                      <w:rFonts w:hint="eastAsia" w:cs="Times New Roman"/>
                      <w:bCs/>
                      <w:sz w:val="21"/>
                      <w:szCs w:val="21"/>
                      <w:lang w:val="en-US" w:eastAsia="zh-CN"/>
                    </w:rPr>
                    <w:t>新能源线缆车间</w:t>
                  </w:r>
                </w:p>
              </w:tc>
              <w:tc>
                <w:tcPr>
                  <w:tcW w:w="1265" w:type="pct"/>
                  <w:vAlign w:val="center"/>
                </w:tcPr>
                <w:p w14:paraId="790E3F73">
                  <w:pPr>
                    <w:adjustRightInd w:val="0"/>
                    <w:snapToGrid w:val="0"/>
                    <w:jc w:val="center"/>
                    <w:rPr>
                      <w:rFonts w:hint="eastAsia" w:cs="Times New Roman"/>
                      <w:bCs/>
                      <w:sz w:val="21"/>
                      <w:szCs w:val="21"/>
                    </w:rPr>
                  </w:pPr>
                  <w:r>
                    <w:rPr>
                      <w:rFonts w:hint="eastAsia" w:cs="Times New Roman"/>
                      <w:bCs/>
                      <w:sz w:val="21"/>
                      <w:szCs w:val="21"/>
                    </w:rPr>
                    <w:t>非甲烷总烃</w:t>
                  </w:r>
                </w:p>
              </w:tc>
              <w:tc>
                <w:tcPr>
                  <w:tcW w:w="641" w:type="pct"/>
                  <w:vAlign w:val="center"/>
                </w:tcPr>
                <w:p w14:paraId="32A50A00">
                  <w:pPr>
                    <w:adjustRightInd w:val="0"/>
                    <w:snapToGrid w:val="0"/>
                    <w:jc w:val="center"/>
                    <w:rPr>
                      <w:rFonts w:hint="eastAsia" w:cs="Times New Roman"/>
                      <w:bCs/>
                      <w:sz w:val="21"/>
                      <w:szCs w:val="21"/>
                    </w:rPr>
                  </w:pPr>
                  <w:r>
                    <w:rPr>
                      <w:rFonts w:hint="eastAsia" w:cs="Times New Roman"/>
                      <w:bCs/>
                      <w:sz w:val="21"/>
                      <w:szCs w:val="21"/>
                    </w:rPr>
                    <w:t>7200</w:t>
                  </w:r>
                </w:p>
              </w:tc>
              <w:tc>
                <w:tcPr>
                  <w:tcW w:w="1029" w:type="dxa"/>
                  <w:vAlign w:val="center"/>
                </w:tcPr>
                <w:p w14:paraId="007D7925">
                  <w:pPr>
                    <w:adjustRightInd w:val="0"/>
                    <w:snapToGrid w:val="0"/>
                    <w:jc w:val="center"/>
                    <w:rPr>
                      <w:rFonts w:hint="eastAsia" w:cs="Times New Roman"/>
                      <w:bCs/>
                      <w:sz w:val="21"/>
                      <w:szCs w:val="21"/>
                    </w:rPr>
                  </w:pPr>
                  <w:r>
                    <w:rPr>
                      <w:rFonts w:hint="eastAsia"/>
                      <w:bCs/>
                      <w:sz w:val="21"/>
                      <w:szCs w:val="21"/>
                      <w:lang w:val="en-US" w:eastAsia="zh-CN"/>
                    </w:rPr>
                    <w:t>0.15</w:t>
                  </w:r>
                </w:p>
              </w:tc>
              <w:tc>
                <w:tcPr>
                  <w:tcW w:w="1873" w:type="dxa"/>
                  <w:vAlign w:val="center"/>
                </w:tcPr>
                <w:p w14:paraId="689D3D6E">
                  <w:pPr>
                    <w:adjustRightInd w:val="0"/>
                    <w:snapToGrid w:val="0"/>
                    <w:jc w:val="center"/>
                    <w:rPr>
                      <w:rFonts w:hint="eastAsia" w:cs="Times New Roman"/>
                      <w:bCs/>
                      <w:sz w:val="21"/>
                      <w:szCs w:val="21"/>
                    </w:rPr>
                  </w:pPr>
                  <w:r>
                    <w:rPr>
                      <w:rFonts w:hint="eastAsia"/>
                      <w:bCs/>
                      <w:sz w:val="21"/>
                      <w:szCs w:val="21"/>
                    </w:rPr>
                    <w:t>0.0</w:t>
                  </w:r>
                  <w:r>
                    <w:rPr>
                      <w:rFonts w:hint="eastAsia"/>
                      <w:bCs/>
                      <w:sz w:val="21"/>
                      <w:szCs w:val="21"/>
                      <w:lang w:val="en-US" w:eastAsia="zh-CN"/>
                    </w:rPr>
                    <w:t>208</w:t>
                  </w:r>
                </w:p>
              </w:tc>
            </w:tr>
            <w:tr w14:paraId="24E8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continue"/>
                  <w:vAlign w:val="center"/>
                </w:tcPr>
                <w:p w14:paraId="25136D3B">
                  <w:pPr>
                    <w:adjustRightInd w:val="0"/>
                    <w:snapToGrid w:val="0"/>
                    <w:jc w:val="center"/>
                    <w:rPr>
                      <w:rFonts w:hint="eastAsia" w:cs="Times New Roman"/>
                      <w:bCs/>
                      <w:sz w:val="21"/>
                      <w:szCs w:val="21"/>
                    </w:rPr>
                  </w:pPr>
                </w:p>
              </w:tc>
              <w:tc>
                <w:tcPr>
                  <w:tcW w:w="1265" w:type="pct"/>
                  <w:vAlign w:val="center"/>
                </w:tcPr>
                <w:p w14:paraId="6F5D2398">
                  <w:pPr>
                    <w:adjustRightInd w:val="0"/>
                    <w:snapToGrid w:val="0"/>
                    <w:jc w:val="center"/>
                    <w:rPr>
                      <w:rFonts w:hint="eastAsia" w:cs="Times New Roman"/>
                      <w:bCs/>
                      <w:sz w:val="21"/>
                      <w:szCs w:val="21"/>
                    </w:rPr>
                  </w:pPr>
                  <w:r>
                    <w:rPr>
                      <w:rFonts w:hint="eastAsia" w:cs="Times New Roman"/>
                      <w:bCs/>
                      <w:sz w:val="21"/>
                      <w:szCs w:val="21"/>
                      <w:lang w:eastAsia="zh-CN"/>
                    </w:rPr>
                    <w:t>H</w:t>
                  </w:r>
                  <w:r>
                    <w:rPr>
                      <w:rFonts w:hint="eastAsia" w:cs="Times New Roman"/>
                      <w:bCs/>
                      <w:sz w:val="21"/>
                      <w:szCs w:val="21"/>
                      <w:lang w:val="en-US" w:eastAsia="zh-CN"/>
                    </w:rPr>
                    <w:t>Cl</w:t>
                  </w:r>
                </w:p>
              </w:tc>
              <w:tc>
                <w:tcPr>
                  <w:tcW w:w="641" w:type="pct"/>
                  <w:vAlign w:val="center"/>
                </w:tcPr>
                <w:p w14:paraId="632B658B">
                  <w:pPr>
                    <w:adjustRightInd w:val="0"/>
                    <w:snapToGrid w:val="0"/>
                    <w:jc w:val="center"/>
                    <w:rPr>
                      <w:rFonts w:hint="eastAsia" w:cs="Times New Roman"/>
                      <w:bCs/>
                      <w:sz w:val="21"/>
                      <w:szCs w:val="21"/>
                    </w:rPr>
                  </w:pPr>
                  <w:r>
                    <w:rPr>
                      <w:rFonts w:hint="eastAsia" w:cs="Times New Roman"/>
                      <w:bCs/>
                      <w:sz w:val="21"/>
                      <w:szCs w:val="21"/>
                    </w:rPr>
                    <w:t>7200</w:t>
                  </w:r>
                </w:p>
              </w:tc>
              <w:tc>
                <w:tcPr>
                  <w:tcW w:w="1029" w:type="dxa"/>
                  <w:vAlign w:val="center"/>
                </w:tcPr>
                <w:p w14:paraId="37BB6E6A">
                  <w:pPr>
                    <w:adjustRightInd w:val="0"/>
                    <w:snapToGrid w:val="0"/>
                    <w:jc w:val="center"/>
                    <w:rPr>
                      <w:rFonts w:hint="eastAsia" w:cs="Times New Roman"/>
                      <w:bCs/>
                      <w:sz w:val="21"/>
                      <w:szCs w:val="21"/>
                    </w:rPr>
                  </w:pPr>
                  <w:r>
                    <w:rPr>
                      <w:rFonts w:hint="eastAsia"/>
                      <w:bCs/>
                      <w:sz w:val="21"/>
                      <w:szCs w:val="21"/>
                    </w:rPr>
                    <w:t>0.00</w:t>
                  </w:r>
                  <w:r>
                    <w:rPr>
                      <w:rFonts w:hint="eastAsia"/>
                      <w:bCs/>
                      <w:sz w:val="21"/>
                      <w:szCs w:val="21"/>
                      <w:lang w:val="en-US" w:eastAsia="zh-CN"/>
                    </w:rPr>
                    <w:t>08</w:t>
                  </w:r>
                </w:p>
              </w:tc>
              <w:tc>
                <w:tcPr>
                  <w:tcW w:w="1873" w:type="dxa"/>
                  <w:vAlign w:val="center"/>
                </w:tcPr>
                <w:p w14:paraId="213829A1">
                  <w:pPr>
                    <w:adjustRightInd w:val="0"/>
                    <w:snapToGrid w:val="0"/>
                    <w:jc w:val="center"/>
                    <w:rPr>
                      <w:rFonts w:hint="eastAsia" w:cs="Times New Roman"/>
                      <w:bCs/>
                      <w:sz w:val="21"/>
                      <w:szCs w:val="21"/>
                    </w:rPr>
                  </w:pPr>
                  <w:r>
                    <w:rPr>
                      <w:rFonts w:hint="eastAsia"/>
                      <w:bCs/>
                      <w:sz w:val="21"/>
                      <w:szCs w:val="21"/>
                    </w:rPr>
                    <w:t>0.000</w:t>
                  </w:r>
                  <w:r>
                    <w:rPr>
                      <w:rFonts w:hint="eastAsia"/>
                      <w:bCs/>
                      <w:sz w:val="21"/>
                      <w:szCs w:val="21"/>
                      <w:lang w:val="en-US" w:eastAsia="zh-CN"/>
                    </w:rPr>
                    <w:t>1</w:t>
                  </w:r>
                </w:p>
              </w:tc>
            </w:tr>
            <w:tr w14:paraId="2D82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restart"/>
                  <w:vAlign w:val="center"/>
                </w:tcPr>
                <w:p w14:paraId="1BADFF54">
                  <w:pPr>
                    <w:adjustRightInd w:val="0"/>
                    <w:snapToGrid w:val="0"/>
                    <w:jc w:val="center"/>
                    <w:rPr>
                      <w:rFonts w:hint="default" w:eastAsia="宋体" w:cs="Times New Roman"/>
                      <w:bCs/>
                      <w:sz w:val="21"/>
                      <w:szCs w:val="21"/>
                      <w:lang w:val="en-US" w:eastAsia="zh-CN"/>
                    </w:rPr>
                  </w:pPr>
                  <w:r>
                    <w:rPr>
                      <w:rFonts w:hint="eastAsia" w:cs="Times New Roman"/>
                      <w:bCs/>
                      <w:sz w:val="21"/>
                      <w:szCs w:val="21"/>
                      <w:lang w:val="en-US" w:eastAsia="zh-CN"/>
                    </w:rPr>
                    <w:t>低压线缆车间</w:t>
                  </w:r>
                </w:p>
              </w:tc>
              <w:tc>
                <w:tcPr>
                  <w:tcW w:w="2015" w:type="dxa"/>
                  <w:vAlign w:val="center"/>
                </w:tcPr>
                <w:p w14:paraId="30AC90CC">
                  <w:pPr>
                    <w:adjustRightInd w:val="0"/>
                    <w:snapToGrid w:val="0"/>
                    <w:jc w:val="center"/>
                    <w:rPr>
                      <w:rFonts w:hint="eastAsia" w:cs="Times New Roman"/>
                      <w:bCs/>
                      <w:sz w:val="21"/>
                      <w:szCs w:val="21"/>
                      <w:lang w:eastAsia="zh-CN"/>
                    </w:rPr>
                  </w:pPr>
                  <w:r>
                    <w:rPr>
                      <w:rFonts w:hint="eastAsia" w:cs="Times New Roman"/>
                      <w:bCs/>
                      <w:sz w:val="21"/>
                      <w:szCs w:val="21"/>
                    </w:rPr>
                    <w:t>非甲烷总烃</w:t>
                  </w:r>
                </w:p>
              </w:tc>
              <w:tc>
                <w:tcPr>
                  <w:tcW w:w="1021" w:type="dxa"/>
                  <w:vAlign w:val="center"/>
                </w:tcPr>
                <w:p w14:paraId="4756EC67">
                  <w:pPr>
                    <w:adjustRightInd w:val="0"/>
                    <w:snapToGrid w:val="0"/>
                    <w:jc w:val="center"/>
                    <w:rPr>
                      <w:rFonts w:hint="eastAsia" w:cs="Times New Roman"/>
                      <w:bCs/>
                      <w:sz w:val="21"/>
                      <w:szCs w:val="21"/>
                    </w:rPr>
                  </w:pPr>
                  <w:r>
                    <w:rPr>
                      <w:rFonts w:hint="eastAsia" w:cs="Times New Roman"/>
                      <w:bCs/>
                      <w:sz w:val="21"/>
                      <w:szCs w:val="21"/>
                      <w:lang w:val="en-US" w:eastAsia="zh-CN"/>
                    </w:rPr>
                    <w:t>7200</w:t>
                  </w:r>
                </w:p>
              </w:tc>
              <w:tc>
                <w:tcPr>
                  <w:tcW w:w="1029" w:type="dxa"/>
                  <w:vAlign w:val="center"/>
                </w:tcPr>
                <w:p w14:paraId="2AC9A18F">
                  <w:pPr>
                    <w:adjustRightInd w:val="0"/>
                    <w:snapToGrid w:val="0"/>
                    <w:jc w:val="center"/>
                    <w:rPr>
                      <w:rFonts w:hint="eastAsia"/>
                      <w:bCs/>
                      <w:sz w:val="21"/>
                      <w:szCs w:val="21"/>
                    </w:rPr>
                  </w:pPr>
                  <w:r>
                    <w:rPr>
                      <w:rFonts w:hint="eastAsia"/>
                      <w:bCs/>
                      <w:sz w:val="21"/>
                      <w:szCs w:val="21"/>
                      <w:lang w:val="en-US" w:eastAsia="zh-CN"/>
                    </w:rPr>
                    <w:t>0.15</w:t>
                  </w:r>
                </w:p>
              </w:tc>
              <w:tc>
                <w:tcPr>
                  <w:tcW w:w="1873" w:type="dxa"/>
                  <w:vAlign w:val="center"/>
                </w:tcPr>
                <w:p w14:paraId="1AECDF2E">
                  <w:pPr>
                    <w:adjustRightInd w:val="0"/>
                    <w:snapToGrid w:val="0"/>
                    <w:jc w:val="center"/>
                    <w:rPr>
                      <w:rFonts w:hint="eastAsia"/>
                      <w:bCs/>
                      <w:sz w:val="21"/>
                      <w:szCs w:val="21"/>
                    </w:rPr>
                  </w:pPr>
                  <w:r>
                    <w:rPr>
                      <w:rFonts w:hint="eastAsia"/>
                      <w:bCs/>
                      <w:sz w:val="21"/>
                      <w:szCs w:val="21"/>
                    </w:rPr>
                    <w:t>0.0</w:t>
                  </w:r>
                  <w:r>
                    <w:rPr>
                      <w:rFonts w:hint="eastAsia"/>
                      <w:bCs/>
                      <w:sz w:val="21"/>
                      <w:szCs w:val="21"/>
                      <w:lang w:val="en-US" w:eastAsia="zh-CN"/>
                    </w:rPr>
                    <w:t>208</w:t>
                  </w:r>
                </w:p>
              </w:tc>
            </w:tr>
            <w:tr w14:paraId="5FA7B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continue"/>
                  <w:vAlign w:val="center"/>
                </w:tcPr>
                <w:p w14:paraId="7DAA49ED">
                  <w:pPr>
                    <w:adjustRightInd w:val="0"/>
                    <w:snapToGrid w:val="0"/>
                    <w:jc w:val="center"/>
                    <w:rPr>
                      <w:rFonts w:hint="eastAsia" w:cs="Times New Roman"/>
                      <w:bCs/>
                      <w:sz w:val="21"/>
                      <w:szCs w:val="21"/>
                    </w:rPr>
                  </w:pPr>
                </w:p>
              </w:tc>
              <w:tc>
                <w:tcPr>
                  <w:tcW w:w="2015" w:type="dxa"/>
                  <w:vAlign w:val="center"/>
                </w:tcPr>
                <w:p w14:paraId="36F27ECE">
                  <w:pPr>
                    <w:adjustRightInd w:val="0"/>
                    <w:snapToGrid w:val="0"/>
                    <w:jc w:val="center"/>
                    <w:rPr>
                      <w:rFonts w:hint="eastAsia" w:cs="Times New Roman"/>
                      <w:bCs/>
                      <w:sz w:val="21"/>
                      <w:szCs w:val="21"/>
                      <w:lang w:eastAsia="zh-CN"/>
                    </w:rPr>
                  </w:pPr>
                  <w:r>
                    <w:rPr>
                      <w:rFonts w:hint="eastAsia" w:cs="Times New Roman"/>
                      <w:bCs/>
                      <w:sz w:val="21"/>
                      <w:szCs w:val="21"/>
                      <w:lang w:eastAsia="zh-CN"/>
                    </w:rPr>
                    <w:t>H</w:t>
                  </w:r>
                  <w:r>
                    <w:rPr>
                      <w:rFonts w:hint="eastAsia" w:cs="Times New Roman"/>
                      <w:bCs/>
                      <w:sz w:val="21"/>
                      <w:szCs w:val="21"/>
                      <w:lang w:val="en-US" w:eastAsia="zh-CN"/>
                    </w:rPr>
                    <w:t>Cl</w:t>
                  </w:r>
                </w:p>
              </w:tc>
              <w:tc>
                <w:tcPr>
                  <w:tcW w:w="1021" w:type="dxa"/>
                  <w:vAlign w:val="center"/>
                </w:tcPr>
                <w:p w14:paraId="39B49E96">
                  <w:pPr>
                    <w:adjustRightInd w:val="0"/>
                    <w:snapToGrid w:val="0"/>
                    <w:jc w:val="center"/>
                    <w:rPr>
                      <w:rFonts w:hint="eastAsia" w:cs="Times New Roman"/>
                      <w:bCs/>
                      <w:sz w:val="21"/>
                      <w:szCs w:val="21"/>
                    </w:rPr>
                  </w:pPr>
                  <w:r>
                    <w:rPr>
                      <w:rFonts w:hint="eastAsia" w:cs="Times New Roman"/>
                      <w:bCs/>
                      <w:sz w:val="21"/>
                      <w:szCs w:val="21"/>
                      <w:lang w:eastAsia="zh-CN"/>
                    </w:rPr>
                    <w:t>7</w:t>
                  </w:r>
                  <w:r>
                    <w:rPr>
                      <w:rFonts w:hint="eastAsia" w:cs="Times New Roman"/>
                      <w:bCs/>
                      <w:sz w:val="21"/>
                      <w:szCs w:val="21"/>
                      <w:lang w:val="en-US" w:eastAsia="zh-CN"/>
                    </w:rPr>
                    <w:t>200</w:t>
                  </w:r>
                </w:p>
              </w:tc>
              <w:tc>
                <w:tcPr>
                  <w:tcW w:w="1029" w:type="dxa"/>
                  <w:vAlign w:val="center"/>
                </w:tcPr>
                <w:p w14:paraId="65CCFB81">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08</w:t>
                  </w:r>
                </w:p>
              </w:tc>
              <w:tc>
                <w:tcPr>
                  <w:tcW w:w="1873" w:type="dxa"/>
                  <w:vAlign w:val="center"/>
                </w:tcPr>
                <w:p w14:paraId="6DFFB5EA">
                  <w:pPr>
                    <w:adjustRightInd w:val="0"/>
                    <w:snapToGrid w:val="0"/>
                    <w:jc w:val="center"/>
                    <w:rPr>
                      <w:rFonts w:hint="eastAsia"/>
                      <w:bCs/>
                      <w:sz w:val="21"/>
                      <w:szCs w:val="21"/>
                    </w:rPr>
                  </w:pPr>
                  <w:r>
                    <w:rPr>
                      <w:rFonts w:hint="eastAsia"/>
                      <w:bCs/>
                      <w:sz w:val="21"/>
                      <w:szCs w:val="21"/>
                    </w:rPr>
                    <w:t>0.000</w:t>
                  </w:r>
                  <w:r>
                    <w:rPr>
                      <w:rFonts w:hint="eastAsia"/>
                      <w:bCs/>
                      <w:sz w:val="21"/>
                      <w:szCs w:val="21"/>
                      <w:lang w:val="en-US" w:eastAsia="zh-CN"/>
                    </w:rPr>
                    <w:t>1</w:t>
                  </w:r>
                </w:p>
              </w:tc>
            </w:tr>
            <w:tr w14:paraId="4DA1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271" w:type="pct"/>
                  <w:vMerge w:val="restart"/>
                  <w:vAlign w:val="center"/>
                </w:tcPr>
                <w:p w14:paraId="59D0CFB0">
                  <w:pPr>
                    <w:adjustRightInd w:val="0"/>
                    <w:snapToGrid w:val="0"/>
                    <w:jc w:val="center"/>
                    <w:rPr>
                      <w:rFonts w:hint="default" w:eastAsia="宋体" w:cs="Times New Roman"/>
                      <w:bCs/>
                      <w:sz w:val="21"/>
                      <w:szCs w:val="21"/>
                      <w:lang w:val="en-US" w:eastAsia="zh-CN"/>
                    </w:rPr>
                  </w:pPr>
                  <w:r>
                    <w:rPr>
                      <w:rFonts w:hint="eastAsia" w:cs="Times New Roman"/>
                      <w:bCs/>
                      <w:sz w:val="21"/>
                      <w:szCs w:val="21"/>
                      <w:lang w:val="en-US" w:eastAsia="zh-CN"/>
                    </w:rPr>
                    <w:t>塑料制品生产区</w:t>
                  </w:r>
                </w:p>
              </w:tc>
              <w:tc>
                <w:tcPr>
                  <w:tcW w:w="2015" w:type="dxa"/>
                  <w:vAlign w:val="center"/>
                </w:tcPr>
                <w:p w14:paraId="27884997">
                  <w:pPr>
                    <w:adjustRightInd w:val="0"/>
                    <w:snapToGrid w:val="0"/>
                    <w:jc w:val="center"/>
                    <w:rPr>
                      <w:rFonts w:hint="eastAsia" w:cs="Times New Roman"/>
                      <w:bCs/>
                      <w:sz w:val="21"/>
                      <w:szCs w:val="21"/>
                      <w:lang w:eastAsia="zh-CN"/>
                    </w:rPr>
                  </w:pPr>
                  <w:r>
                    <w:rPr>
                      <w:rFonts w:hint="eastAsia" w:cs="Times New Roman"/>
                      <w:bCs/>
                      <w:sz w:val="21"/>
                      <w:szCs w:val="21"/>
                    </w:rPr>
                    <w:t>非甲烷总烃</w:t>
                  </w:r>
                </w:p>
              </w:tc>
              <w:tc>
                <w:tcPr>
                  <w:tcW w:w="1021" w:type="dxa"/>
                  <w:vAlign w:val="center"/>
                </w:tcPr>
                <w:p w14:paraId="3F7D9DB1">
                  <w:pPr>
                    <w:adjustRightInd w:val="0"/>
                    <w:snapToGrid w:val="0"/>
                    <w:jc w:val="center"/>
                    <w:rPr>
                      <w:rFonts w:hint="eastAsia" w:cs="Times New Roman"/>
                      <w:bCs/>
                      <w:sz w:val="21"/>
                      <w:szCs w:val="21"/>
                    </w:rPr>
                  </w:pPr>
                  <w:r>
                    <w:rPr>
                      <w:rFonts w:hint="eastAsia" w:cs="Times New Roman"/>
                      <w:bCs/>
                      <w:sz w:val="21"/>
                      <w:szCs w:val="21"/>
                    </w:rPr>
                    <w:t>7200</w:t>
                  </w:r>
                </w:p>
              </w:tc>
              <w:tc>
                <w:tcPr>
                  <w:tcW w:w="1029" w:type="dxa"/>
                  <w:vAlign w:val="center"/>
                </w:tcPr>
                <w:p w14:paraId="3467CA15">
                  <w:pPr>
                    <w:adjustRightInd w:val="0"/>
                    <w:snapToGrid w:val="0"/>
                    <w:jc w:val="center"/>
                    <w:rPr>
                      <w:rFonts w:hint="eastAsia"/>
                      <w:bCs/>
                      <w:sz w:val="21"/>
                      <w:szCs w:val="21"/>
                    </w:rPr>
                  </w:pPr>
                  <w:r>
                    <w:rPr>
                      <w:rFonts w:hint="eastAsia"/>
                      <w:bCs/>
                      <w:sz w:val="21"/>
                      <w:szCs w:val="21"/>
                      <w:lang w:val="en-US" w:eastAsia="zh-CN"/>
                    </w:rPr>
                    <w:t>0.9</w:t>
                  </w:r>
                </w:p>
              </w:tc>
              <w:tc>
                <w:tcPr>
                  <w:tcW w:w="1873" w:type="dxa"/>
                  <w:vAlign w:val="center"/>
                </w:tcPr>
                <w:p w14:paraId="24F0253B">
                  <w:pPr>
                    <w:adjustRightInd w:val="0"/>
                    <w:snapToGrid w:val="0"/>
                    <w:jc w:val="center"/>
                    <w:rPr>
                      <w:rFonts w:hint="eastAsia"/>
                      <w:bCs/>
                      <w:sz w:val="21"/>
                      <w:szCs w:val="21"/>
                    </w:rPr>
                  </w:pPr>
                  <w:r>
                    <w:rPr>
                      <w:rFonts w:hint="eastAsia"/>
                      <w:bCs/>
                      <w:sz w:val="21"/>
                      <w:szCs w:val="21"/>
                    </w:rPr>
                    <w:t>0.</w:t>
                  </w:r>
                  <w:r>
                    <w:rPr>
                      <w:rFonts w:hint="eastAsia"/>
                      <w:bCs/>
                      <w:sz w:val="21"/>
                      <w:szCs w:val="21"/>
                      <w:lang w:val="en-US" w:eastAsia="zh-CN"/>
                    </w:rPr>
                    <w:t>125</w:t>
                  </w:r>
                </w:p>
              </w:tc>
            </w:tr>
            <w:tr w14:paraId="38EBC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continue"/>
                  <w:vAlign w:val="center"/>
                </w:tcPr>
                <w:p w14:paraId="0EEFC98F">
                  <w:pPr>
                    <w:adjustRightInd w:val="0"/>
                    <w:snapToGrid w:val="0"/>
                    <w:jc w:val="center"/>
                    <w:rPr>
                      <w:rFonts w:hint="eastAsia" w:cs="Times New Roman"/>
                      <w:bCs/>
                      <w:sz w:val="21"/>
                      <w:szCs w:val="21"/>
                    </w:rPr>
                  </w:pPr>
                </w:p>
              </w:tc>
              <w:tc>
                <w:tcPr>
                  <w:tcW w:w="2015" w:type="dxa"/>
                  <w:vAlign w:val="center"/>
                </w:tcPr>
                <w:p w14:paraId="233BB2E4">
                  <w:pPr>
                    <w:adjustRightInd w:val="0"/>
                    <w:snapToGrid w:val="0"/>
                    <w:jc w:val="center"/>
                    <w:rPr>
                      <w:rFonts w:hint="eastAsia" w:cs="Times New Roman"/>
                      <w:bCs/>
                      <w:sz w:val="21"/>
                      <w:szCs w:val="21"/>
                      <w:lang w:eastAsia="zh-CN"/>
                    </w:rPr>
                  </w:pPr>
                  <w:r>
                    <w:rPr>
                      <w:rFonts w:hint="eastAsia" w:cs="Times New Roman"/>
                      <w:bCs/>
                      <w:sz w:val="21"/>
                      <w:szCs w:val="21"/>
                      <w:lang w:eastAsia="zh-CN"/>
                    </w:rPr>
                    <w:t>H</w:t>
                  </w:r>
                  <w:r>
                    <w:rPr>
                      <w:rFonts w:hint="eastAsia" w:cs="Times New Roman"/>
                      <w:bCs/>
                      <w:sz w:val="21"/>
                      <w:szCs w:val="21"/>
                      <w:lang w:val="en-US" w:eastAsia="zh-CN"/>
                    </w:rPr>
                    <w:t>Cl</w:t>
                  </w:r>
                </w:p>
              </w:tc>
              <w:tc>
                <w:tcPr>
                  <w:tcW w:w="1021" w:type="dxa"/>
                  <w:vAlign w:val="center"/>
                </w:tcPr>
                <w:p w14:paraId="78A8FAEE">
                  <w:pPr>
                    <w:adjustRightInd w:val="0"/>
                    <w:snapToGrid w:val="0"/>
                    <w:jc w:val="center"/>
                    <w:rPr>
                      <w:rFonts w:hint="eastAsia" w:cs="Times New Roman"/>
                      <w:bCs/>
                      <w:sz w:val="21"/>
                      <w:szCs w:val="21"/>
                    </w:rPr>
                  </w:pPr>
                  <w:r>
                    <w:rPr>
                      <w:rFonts w:hint="eastAsia" w:cs="Times New Roman"/>
                      <w:bCs/>
                      <w:sz w:val="21"/>
                      <w:szCs w:val="21"/>
                    </w:rPr>
                    <w:t>7200</w:t>
                  </w:r>
                </w:p>
              </w:tc>
              <w:tc>
                <w:tcPr>
                  <w:tcW w:w="1029" w:type="dxa"/>
                  <w:vAlign w:val="center"/>
                </w:tcPr>
                <w:p w14:paraId="3C0C5086">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45</w:t>
                  </w:r>
                </w:p>
              </w:tc>
              <w:tc>
                <w:tcPr>
                  <w:tcW w:w="1873" w:type="dxa"/>
                  <w:vAlign w:val="center"/>
                </w:tcPr>
                <w:p w14:paraId="57812E2B">
                  <w:pPr>
                    <w:adjustRightInd w:val="0"/>
                    <w:snapToGrid w:val="0"/>
                    <w:jc w:val="center"/>
                    <w:rPr>
                      <w:rFonts w:hint="eastAsia"/>
                      <w:bCs/>
                      <w:sz w:val="21"/>
                      <w:szCs w:val="21"/>
                    </w:rPr>
                  </w:pPr>
                  <w:r>
                    <w:rPr>
                      <w:rFonts w:hint="eastAsia"/>
                      <w:bCs/>
                      <w:sz w:val="21"/>
                      <w:szCs w:val="21"/>
                    </w:rPr>
                    <w:t>0.00</w:t>
                  </w:r>
                  <w:r>
                    <w:rPr>
                      <w:rFonts w:hint="eastAsia"/>
                      <w:bCs/>
                      <w:sz w:val="21"/>
                      <w:szCs w:val="21"/>
                      <w:lang w:val="en-US" w:eastAsia="zh-CN"/>
                    </w:rPr>
                    <w:t>06</w:t>
                  </w:r>
                </w:p>
              </w:tc>
            </w:tr>
            <w:tr w14:paraId="5CE3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pct"/>
                  <w:vMerge w:val="continue"/>
                  <w:vAlign w:val="center"/>
                </w:tcPr>
                <w:p w14:paraId="105498D0">
                  <w:pPr>
                    <w:adjustRightInd w:val="0"/>
                    <w:snapToGrid w:val="0"/>
                    <w:jc w:val="center"/>
                    <w:rPr>
                      <w:rFonts w:hint="eastAsia" w:cs="Times New Roman"/>
                      <w:bCs/>
                      <w:sz w:val="21"/>
                      <w:szCs w:val="21"/>
                    </w:rPr>
                  </w:pPr>
                </w:p>
              </w:tc>
              <w:tc>
                <w:tcPr>
                  <w:tcW w:w="1265" w:type="pct"/>
                  <w:vAlign w:val="center"/>
                </w:tcPr>
                <w:p w14:paraId="4637E535">
                  <w:pPr>
                    <w:adjustRightInd w:val="0"/>
                    <w:snapToGrid w:val="0"/>
                    <w:jc w:val="center"/>
                    <w:rPr>
                      <w:rFonts w:hint="default" w:cs="Times New Roman"/>
                      <w:bCs/>
                      <w:sz w:val="21"/>
                      <w:szCs w:val="21"/>
                      <w:lang w:val="en-US" w:eastAsia="zh-CN"/>
                    </w:rPr>
                  </w:pPr>
                  <w:r>
                    <w:rPr>
                      <w:rFonts w:hint="eastAsia" w:cs="Times New Roman"/>
                      <w:bCs/>
                      <w:sz w:val="21"/>
                      <w:szCs w:val="21"/>
                      <w:lang w:val="en-US" w:eastAsia="zh-CN"/>
                    </w:rPr>
                    <w:t>颗粒物</w:t>
                  </w:r>
                </w:p>
              </w:tc>
              <w:tc>
                <w:tcPr>
                  <w:tcW w:w="1021" w:type="dxa"/>
                  <w:vAlign w:val="center"/>
                </w:tcPr>
                <w:p w14:paraId="4852429C">
                  <w:pPr>
                    <w:adjustRightInd w:val="0"/>
                    <w:snapToGrid w:val="0"/>
                    <w:jc w:val="center"/>
                    <w:rPr>
                      <w:rFonts w:hint="eastAsia" w:cs="Times New Roman"/>
                      <w:bCs/>
                      <w:sz w:val="21"/>
                      <w:szCs w:val="21"/>
                    </w:rPr>
                  </w:pPr>
                  <w:r>
                    <w:rPr>
                      <w:rFonts w:hint="eastAsia" w:cs="Times New Roman"/>
                      <w:bCs/>
                      <w:sz w:val="21"/>
                      <w:szCs w:val="21"/>
                      <w:lang w:val="en-US" w:eastAsia="zh-CN"/>
                    </w:rPr>
                    <w:t>7200</w:t>
                  </w:r>
                </w:p>
              </w:tc>
              <w:tc>
                <w:tcPr>
                  <w:tcW w:w="1029" w:type="dxa"/>
                  <w:vAlign w:val="center"/>
                </w:tcPr>
                <w:p w14:paraId="733744C3">
                  <w:pPr>
                    <w:adjustRightInd w:val="0"/>
                    <w:snapToGrid w:val="0"/>
                    <w:jc w:val="center"/>
                    <w:rPr>
                      <w:rFonts w:hint="eastAsia"/>
                      <w:bCs/>
                      <w:sz w:val="21"/>
                      <w:szCs w:val="21"/>
                    </w:rPr>
                  </w:pPr>
                  <w:r>
                    <w:rPr>
                      <w:rFonts w:hint="eastAsia"/>
                      <w:bCs/>
                      <w:sz w:val="21"/>
                      <w:szCs w:val="21"/>
                      <w:lang w:val="en-US" w:eastAsia="zh-CN"/>
                    </w:rPr>
                    <w:t>0.42</w:t>
                  </w:r>
                </w:p>
              </w:tc>
              <w:tc>
                <w:tcPr>
                  <w:tcW w:w="1873" w:type="dxa"/>
                  <w:vAlign w:val="center"/>
                </w:tcPr>
                <w:p w14:paraId="1225B1E3">
                  <w:pPr>
                    <w:adjustRightInd w:val="0"/>
                    <w:snapToGrid w:val="0"/>
                    <w:jc w:val="center"/>
                    <w:rPr>
                      <w:rFonts w:hint="eastAsia"/>
                      <w:bCs/>
                      <w:sz w:val="21"/>
                      <w:szCs w:val="21"/>
                    </w:rPr>
                  </w:pPr>
                  <w:r>
                    <w:rPr>
                      <w:rFonts w:hint="eastAsia"/>
                      <w:bCs/>
                      <w:sz w:val="21"/>
                      <w:szCs w:val="21"/>
                    </w:rPr>
                    <w:t>0.</w:t>
                  </w:r>
                  <w:r>
                    <w:rPr>
                      <w:rFonts w:hint="eastAsia"/>
                      <w:bCs/>
                      <w:sz w:val="21"/>
                      <w:szCs w:val="21"/>
                      <w:lang w:val="en-US" w:eastAsia="zh-CN"/>
                    </w:rPr>
                    <w:t>0583</w:t>
                  </w:r>
                </w:p>
              </w:tc>
            </w:tr>
          </w:tbl>
          <w:p w14:paraId="7C675C78">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2</w:t>
            </w:r>
            <w:r>
              <w:rPr>
                <w:rFonts w:hint="eastAsia"/>
                <w:bCs/>
                <w:color w:val="000000" w:themeColor="text1"/>
                <w14:textFill>
                  <w14:solidFill>
                    <w14:schemeClr w14:val="tx1"/>
                  </w14:solidFill>
                </w14:textFill>
              </w:rPr>
              <w:t>、大气污染物非正常排放分析</w:t>
            </w:r>
          </w:p>
          <w:p w14:paraId="24536819">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项目非正常工况指检测服务过程中设备检修、工艺设备运转异常等非正常工况下的污染物排放，以及污染物排放控制措施达不到应有效率等情况下的排放。拟建项目最不利非正常工况为废气污染物排放控制措施达不到应有效率，根据工程分析，项目非正常工况污染物排放情况核算内容见表4.2.1-8。</w:t>
            </w:r>
          </w:p>
          <w:p w14:paraId="2ECD4E57">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4.2.1-8</w:t>
            </w:r>
            <w:r>
              <w:rPr>
                <w:b/>
                <w:color w:val="000000" w:themeColor="text1"/>
                <w14:textFill>
                  <w14:solidFill>
                    <w14:schemeClr w14:val="tx1"/>
                  </w14:solidFill>
                </w14:textFill>
              </w:rPr>
              <w:t xml:space="preserve"> 项目</w:t>
            </w:r>
            <w:r>
              <w:rPr>
                <w:rFonts w:hint="eastAsia"/>
                <w:b/>
                <w:color w:val="000000" w:themeColor="text1"/>
                <w14:textFill>
                  <w14:solidFill>
                    <w14:schemeClr w14:val="tx1"/>
                  </w14:solidFill>
                </w14:textFill>
              </w:rPr>
              <w:t>废气污染源非正常排放量核算表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697"/>
              <w:gridCol w:w="1266"/>
              <w:gridCol w:w="1363"/>
              <w:gridCol w:w="1255"/>
              <w:gridCol w:w="925"/>
              <w:gridCol w:w="666"/>
              <w:gridCol w:w="870"/>
            </w:tblGrid>
            <w:tr w14:paraId="2AC9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Align w:val="center"/>
                </w:tcPr>
                <w:p w14:paraId="15432F7B">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非正常排放</w:t>
                  </w:r>
                </w:p>
              </w:tc>
              <w:tc>
                <w:tcPr>
                  <w:tcW w:w="437" w:type="pct"/>
                  <w:vAlign w:val="center"/>
                </w:tcPr>
                <w:p w14:paraId="4D814D49">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非正常排放原因</w:t>
                  </w:r>
                </w:p>
              </w:tc>
              <w:tc>
                <w:tcPr>
                  <w:tcW w:w="794" w:type="pct"/>
                  <w:vAlign w:val="center"/>
                </w:tcPr>
                <w:p w14:paraId="747ECDEC">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污染物名称</w:t>
                  </w:r>
                </w:p>
              </w:tc>
              <w:tc>
                <w:tcPr>
                  <w:tcW w:w="855" w:type="pct"/>
                  <w:vAlign w:val="center"/>
                </w:tcPr>
                <w:p w14:paraId="3FAEBFDC">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w:t>
                  </w:r>
                  <w:r>
                    <w:rPr>
                      <w:rFonts w:hint="eastAsia"/>
                      <w:b/>
                      <w:color w:val="000000" w:themeColor="text1"/>
                      <w:sz w:val="21"/>
                      <w:szCs w:val="21"/>
                      <w14:textFill>
                        <w14:solidFill>
                          <w14:schemeClr w14:val="tx1"/>
                        </w14:solidFill>
                      </w14:textFill>
                    </w:rPr>
                    <w:t>浓度</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mg</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m</w:t>
                  </w:r>
                  <w:r>
                    <w:rPr>
                      <w:rFonts w:hint="eastAsia"/>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w:t>
                  </w:r>
                </w:p>
              </w:tc>
              <w:tc>
                <w:tcPr>
                  <w:tcW w:w="787" w:type="pct"/>
                  <w:vAlign w:val="center"/>
                </w:tcPr>
                <w:p w14:paraId="2E032EC5">
                  <w:pPr>
                    <w:adjustRightInd w:val="0"/>
                    <w:snapToGrid w:val="0"/>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w:t>
                  </w:r>
                  <w:r>
                    <w:rPr>
                      <w:rFonts w:hint="eastAsia"/>
                      <w:b/>
                      <w:color w:val="000000" w:themeColor="text1"/>
                      <w:sz w:val="21"/>
                      <w:szCs w:val="21"/>
                      <w14:textFill>
                        <w14:solidFill>
                          <w14:schemeClr w14:val="tx1"/>
                        </w14:solidFill>
                      </w14:textFill>
                    </w:rPr>
                    <w:t>量</w:t>
                  </w:r>
                  <w:r>
                    <w:rPr>
                      <w:b/>
                      <w:color w:val="000000" w:themeColor="text1"/>
                      <w:sz w:val="21"/>
                      <w:szCs w:val="21"/>
                      <w14:textFill>
                        <w14:solidFill>
                          <w14:schemeClr w14:val="tx1"/>
                        </w14:solidFill>
                      </w14:textFill>
                    </w:rPr>
                    <w:t>（kg/</w:t>
                  </w:r>
                  <w:r>
                    <w:rPr>
                      <w:rFonts w:hint="eastAsia"/>
                      <w:b/>
                      <w:color w:val="000000" w:themeColor="text1"/>
                      <w:sz w:val="21"/>
                      <w:szCs w:val="21"/>
                      <w14:textFill>
                        <w14:solidFill>
                          <w14:schemeClr w14:val="tx1"/>
                        </w14:solidFill>
                      </w14:textFill>
                    </w:rPr>
                    <w:t>次</w:t>
                  </w:r>
                  <w:r>
                    <w:rPr>
                      <w:b/>
                      <w:color w:val="000000" w:themeColor="text1"/>
                      <w:sz w:val="21"/>
                      <w:szCs w:val="21"/>
                      <w14:textFill>
                        <w14:solidFill>
                          <w14:schemeClr w14:val="tx1"/>
                        </w14:solidFill>
                      </w14:textFill>
                    </w:rPr>
                    <w:t>）</w:t>
                  </w:r>
                </w:p>
              </w:tc>
              <w:tc>
                <w:tcPr>
                  <w:tcW w:w="580" w:type="pct"/>
                  <w:vAlign w:val="center"/>
                </w:tcPr>
                <w:p w14:paraId="4B25F8DB">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单次持续时间（min）</w:t>
                  </w:r>
                </w:p>
              </w:tc>
              <w:tc>
                <w:tcPr>
                  <w:tcW w:w="418" w:type="pct"/>
                  <w:vAlign w:val="center"/>
                </w:tcPr>
                <w:p w14:paraId="0AC8D9BB">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年最大发生频次</w:t>
                  </w:r>
                </w:p>
              </w:tc>
              <w:tc>
                <w:tcPr>
                  <w:tcW w:w="546" w:type="pct"/>
                  <w:vAlign w:val="center"/>
                </w:tcPr>
                <w:p w14:paraId="56558B30">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应对措施</w:t>
                  </w:r>
                </w:p>
              </w:tc>
            </w:tr>
            <w:tr w14:paraId="3C4E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restart"/>
                  <w:vAlign w:val="center"/>
                </w:tcPr>
                <w:p w14:paraId="10A81905">
                  <w:pPr>
                    <w:adjustRightInd w:val="0"/>
                    <w:snapToGrid w:val="0"/>
                    <w:jc w:val="center"/>
                    <w:rPr>
                      <w:b/>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DA001</w:t>
                  </w:r>
                </w:p>
              </w:tc>
              <w:tc>
                <w:tcPr>
                  <w:tcW w:w="437" w:type="pct"/>
                  <w:vMerge w:val="restart"/>
                  <w:vAlign w:val="center"/>
                </w:tcPr>
                <w:p w14:paraId="1BD492E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水喷淋塔+除雾、</w:t>
                  </w:r>
                  <w:r>
                    <w:rPr>
                      <w:bCs/>
                      <w:color w:val="000000" w:themeColor="text1"/>
                      <w:sz w:val="21"/>
                      <w:szCs w:val="21"/>
                      <w14:textFill>
                        <w14:solidFill>
                          <w14:schemeClr w14:val="tx1"/>
                        </w14:solidFill>
                      </w14:textFill>
                    </w:rPr>
                    <w:t>活性炭吸附装置故障，处理效果</w:t>
                  </w:r>
                </w:p>
                <w:p w14:paraId="4515A48E">
                  <w:pPr>
                    <w:adjustRightInd w:val="0"/>
                    <w:snapToGrid w:val="0"/>
                    <w:jc w:val="center"/>
                    <w:rPr>
                      <w:b/>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为0</w:t>
                  </w:r>
                </w:p>
              </w:tc>
              <w:tc>
                <w:tcPr>
                  <w:tcW w:w="794" w:type="pct"/>
                  <w:vAlign w:val="center"/>
                </w:tcPr>
                <w:p w14:paraId="6A56AB3C">
                  <w:pPr>
                    <w:adjustRightInd w:val="0"/>
                    <w:snapToGrid w:val="0"/>
                    <w:jc w:val="center"/>
                    <w:rPr>
                      <w:b/>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855" w:type="pct"/>
                  <w:vAlign w:val="center"/>
                </w:tcPr>
                <w:p w14:paraId="19F3F9D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71.76</w:t>
                  </w:r>
                </w:p>
              </w:tc>
              <w:tc>
                <w:tcPr>
                  <w:tcW w:w="787" w:type="pct"/>
                  <w:vAlign w:val="center"/>
                </w:tcPr>
                <w:p w14:paraId="3FC5375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0.86</w:t>
                  </w:r>
                </w:p>
              </w:tc>
              <w:tc>
                <w:tcPr>
                  <w:tcW w:w="580" w:type="pct"/>
                  <w:vMerge w:val="restart"/>
                  <w:vAlign w:val="center"/>
                </w:tcPr>
                <w:p w14:paraId="0BE8532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60</w:t>
                  </w:r>
                </w:p>
              </w:tc>
              <w:tc>
                <w:tcPr>
                  <w:tcW w:w="418" w:type="pct"/>
                  <w:vMerge w:val="restart"/>
                  <w:vAlign w:val="center"/>
                </w:tcPr>
                <w:p w14:paraId="6ACADD8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546" w:type="pct"/>
                  <w:vMerge w:val="restart"/>
                  <w:vAlign w:val="center"/>
                </w:tcPr>
                <w:p w14:paraId="03A06BA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立即停止相关产污环节经营活动，维修废气处理设施</w:t>
                  </w:r>
                </w:p>
              </w:tc>
            </w:tr>
            <w:tr w14:paraId="0A60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continue"/>
                  <w:vAlign w:val="center"/>
                </w:tcPr>
                <w:p w14:paraId="203B948C">
                  <w:pPr>
                    <w:adjustRightInd w:val="0"/>
                    <w:snapToGrid w:val="0"/>
                    <w:jc w:val="center"/>
                    <w:rPr>
                      <w:bCs/>
                      <w:color w:val="000000" w:themeColor="text1"/>
                      <w:sz w:val="21"/>
                      <w:szCs w:val="21"/>
                      <w14:textFill>
                        <w14:solidFill>
                          <w14:schemeClr w14:val="tx1"/>
                        </w14:solidFill>
                      </w14:textFill>
                    </w:rPr>
                  </w:pPr>
                </w:p>
              </w:tc>
              <w:tc>
                <w:tcPr>
                  <w:tcW w:w="437" w:type="pct"/>
                  <w:vMerge w:val="continue"/>
                  <w:vAlign w:val="center"/>
                </w:tcPr>
                <w:p w14:paraId="28BE9541">
                  <w:pPr>
                    <w:adjustRightInd w:val="0"/>
                    <w:snapToGrid w:val="0"/>
                    <w:jc w:val="center"/>
                    <w:rPr>
                      <w:bCs/>
                      <w:color w:val="000000" w:themeColor="text1"/>
                      <w:sz w:val="21"/>
                      <w:szCs w:val="21"/>
                      <w14:textFill>
                        <w14:solidFill>
                          <w14:schemeClr w14:val="tx1"/>
                        </w14:solidFill>
                      </w14:textFill>
                    </w:rPr>
                  </w:pPr>
                </w:p>
              </w:tc>
              <w:tc>
                <w:tcPr>
                  <w:tcW w:w="794" w:type="pct"/>
                  <w:vAlign w:val="center"/>
                </w:tcPr>
                <w:p w14:paraId="3270A2A6">
                  <w:pPr>
                    <w:adjustRightInd w:val="0"/>
                    <w:snapToGrid w:val="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HCl</w:t>
                  </w:r>
                </w:p>
              </w:tc>
              <w:tc>
                <w:tcPr>
                  <w:tcW w:w="855" w:type="pct"/>
                  <w:vAlign w:val="center"/>
                </w:tcPr>
                <w:p w14:paraId="261C917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0.1417</w:t>
                  </w:r>
                </w:p>
              </w:tc>
              <w:tc>
                <w:tcPr>
                  <w:tcW w:w="787" w:type="pct"/>
                  <w:vAlign w:val="center"/>
                </w:tcPr>
                <w:p w14:paraId="3104A5C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0.0017</w:t>
                  </w:r>
                </w:p>
              </w:tc>
              <w:tc>
                <w:tcPr>
                  <w:tcW w:w="580" w:type="pct"/>
                  <w:vMerge w:val="continue"/>
                  <w:vAlign w:val="center"/>
                </w:tcPr>
                <w:p w14:paraId="1A584ADD">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483CC106">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5DC5DA9F">
                  <w:pPr>
                    <w:adjustRightInd w:val="0"/>
                    <w:snapToGrid w:val="0"/>
                    <w:jc w:val="center"/>
                    <w:rPr>
                      <w:bCs/>
                      <w:color w:val="000000" w:themeColor="text1"/>
                      <w:sz w:val="21"/>
                      <w:szCs w:val="21"/>
                      <w14:textFill>
                        <w14:solidFill>
                          <w14:schemeClr w14:val="tx1"/>
                        </w14:solidFill>
                      </w14:textFill>
                    </w:rPr>
                  </w:pPr>
                </w:p>
              </w:tc>
            </w:tr>
            <w:tr w14:paraId="0E6FE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trPr>
              <w:tc>
                <w:tcPr>
                  <w:tcW w:w="579" w:type="pct"/>
                  <w:vMerge w:val="restart"/>
                  <w:vAlign w:val="center"/>
                </w:tcPr>
                <w:p w14:paraId="41498A4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DA002</w:t>
                  </w:r>
                </w:p>
              </w:tc>
              <w:tc>
                <w:tcPr>
                  <w:tcW w:w="437" w:type="pct"/>
                  <w:vMerge w:val="continue"/>
                  <w:vAlign w:val="center"/>
                </w:tcPr>
                <w:p w14:paraId="3D4B6E36">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11CFD6F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855" w:type="pct"/>
                  <w:vAlign w:val="center"/>
                </w:tcPr>
                <w:p w14:paraId="6D76E1A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13.89</w:t>
                  </w:r>
                </w:p>
              </w:tc>
              <w:tc>
                <w:tcPr>
                  <w:tcW w:w="787" w:type="pct"/>
                  <w:vAlign w:val="center"/>
                </w:tcPr>
                <w:p w14:paraId="04BAA8C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0.17</w:t>
                  </w:r>
                </w:p>
              </w:tc>
              <w:tc>
                <w:tcPr>
                  <w:tcW w:w="580" w:type="pct"/>
                  <w:vMerge w:val="continue"/>
                  <w:vAlign w:val="center"/>
                </w:tcPr>
                <w:p w14:paraId="07EA3C5B">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401A22E9">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45BA12CB">
                  <w:pPr>
                    <w:adjustRightInd w:val="0"/>
                    <w:snapToGrid w:val="0"/>
                    <w:jc w:val="center"/>
                    <w:rPr>
                      <w:bCs/>
                      <w:color w:val="000000" w:themeColor="text1"/>
                      <w:sz w:val="21"/>
                      <w:szCs w:val="21"/>
                      <w14:textFill>
                        <w14:solidFill>
                          <w14:schemeClr w14:val="tx1"/>
                        </w14:solidFill>
                      </w14:textFill>
                    </w:rPr>
                  </w:pPr>
                </w:p>
              </w:tc>
            </w:tr>
            <w:tr w14:paraId="7B3F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continue"/>
                  <w:vAlign w:val="center"/>
                </w:tcPr>
                <w:p w14:paraId="75138149">
                  <w:pPr>
                    <w:adjustRightInd w:val="0"/>
                    <w:snapToGrid w:val="0"/>
                    <w:jc w:val="center"/>
                    <w:rPr>
                      <w:bCs/>
                      <w:color w:val="000000" w:themeColor="text1"/>
                      <w:sz w:val="21"/>
                      <w:szCs w:val="21"/>
                      <w14:textFill>
                        <w14:solidFill>
                          <w14:schemeClr w14:val="tx1"/>
                        </w14:solidFill>
                      </w14:textFill>
                    </w:rPr>
                  </w:pPr>
                </w:p>
              </w:tc>
              <w:tc>
                <w:tcPr>
                  <w:tcW w:w="437" w:type="pct"/>
                  <w:vMerge w:val="continue"/>
                  <w:vAlign w:val="center"/>
                </w:tcPr>
                <w:p w14:paraId="0853D465">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1307D85F">
                  <w:pPr>
                    <w:adjustRightInd w:val="0"/>
                    <w:snapToGrid w:val="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HCl</w:t>
                  </w:r>
                </w:p>
              </w:tc>
              <w:tc>
                <w:tcPr>
                  <w:tcW w:w="855" w:type="pct"/>
                  <w:vAlign w:val="center"/>
                </w:tcPr>
                <w:p w14:paraId="2F04786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0.0709</w:t>
                  </w:r>
                </w:p>
              </w:tc>
              <w:tc>
                <w:tcPr>
                  <w:tcW w:w="787" w:type="pct"/>
                  <w:vAlign w:val="center"/>
                </w:tcPr>
                <w:p w14:paraId="598BAA4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0.0009</w:t>
                  </w:r>
                </w:p>
              </w:tc>
              <w:tc>
                <w:tcPr>
                  <w:tcW w:w="580" w:type="pct"/>
                  <w:vMerge w:val="continue"/>
                  <w:vAlign w:val="center"/>
                </w:tcPr>
                <w:p w14:paraId="5E0F9192">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165087F3">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2A7C3D0F">
                  <w:pPr>
                    <w:adjustRightInd w:val="0"/>
                    <w:snapToGrid w:val="0"/>
                    <w:jc w:val="center"/>
                    <w:rPr>
                      <w:bCs/>
                      <w:color w:val="000000" w:themeColor="text1"/>
                      <w:sz w:val="21"/>
                      <w:szCs w:val="21"/>
                      <w14:textFill>
                        <w14:solidFill>
                          <w14:schemeClr w14:val="tx1"/>
                        </w14:solidFill>
                      </w14:textFill>
                    </w:rPr>
                  </w:pPr>
                </w:p>
              </w:tc>
            </w:tr>
            <w:tr w14:paraId="3B78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579" w:type="pct"/>
                  <w:vMerge w:val="restart"/>
                  <w:vAlign w:val="center"/>
                </w:tcPr>
                <w:p w14:paraId="44F021C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DA003</w:t>
                  </w:r>
                </w:p>
              </w:tc>
              <w:tc>
                <w:tcPr>
                  <w:tcW w:w="437" w:type="pct"/>
                  <w:vMerge w:val="continue"/>
                  <w:vAlign w:val="center"/>
                </w:tcPr>
                <w:p w14:paraId="4B4CB652">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58FB38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855" w:type="pct"/>
                  <w:vAlign w:val="center"/>
                </w:tcPr>
                <w:p w14:paraId="38AA3F5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13.89</w:t>
                  </w:r>
                </w:p>
              </w:tc>
              <w:tc>
                <w:tcPr>
                  <w:tcW w:w="787" w:type="pct"/>
                  <w:vAlign w:val="center"/>
                </w:tcPr>
                <w:p w14:paraId="764C3C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0.17</w:t>
                  </w:r>
                </w:p>
              </w:tc>
              <w:tc>
                <w:tcPr>
                  <w:tcW w:w="580" w:type="pct"/>
                  <w:vMerge w:val="continue"/>
                  <w:vAlign w:val="center"/>
                </w:tcPr>
                <w:p w14:paraId="65CB2266">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3CF38117">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64AC279E">
                  <w:pPr>
                    <w:adjustRightInd w:val="0"/>
                    <w:snapToGrid w:val="0"/>
                    <w:jc w:val="center"/>
                    <w:rPr>
                      <w:bCs/>
                      <w:color w:val="000000" w:themeColor="text1"/>
                      <w:sz w:val="21"/>
                      <w:szCs w:val="21"/>
                      <w14:textFill>
                        <w14:solidFill>
                          <w14:schemeClr w14:val="tx1"/>
                        </w14:solidFill>
                      </w14:textFill>
                    </w:rPr>
                  </w:pPr>
                </w:p>
              </w:tc>
            </w:tr>
            <w:tr w14:paraId="15753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continue"/>
                  <w:vAlign w:val="center"/>
                </w:tcPr>
                <w:p w14:paraId="25F21F6E">
                  <w:pPr>
                    <w:adjustRightInd w:val="0"/>
                    <w:snapToGrid w:val="0"/>
                    <w:jc w:val="center"/>
                    <w:rPr>
                      <w:bCs/>
                      <w:color w:val="000000" w:themeColor="text1"/>
                      <w:sz w:val="21"/>
                      <w:szCs w:val="21"/>
                      <w14:textFill>
                        <w14:solidFill>
                          <w14:schemeClr w14:val="tx1"/>
                        </w14:solidFill>
                      </w14:textFill>
                    </w:rPr>
                  </w:pPr>
                </w:p>
              </w:tc>
              <w:tc>
                <w:tcPr>
                  <w:tcW w:w="437" w:type="pct"/>
                  <w:vMerge w:val="continue"/>
                  <w:vAlign w:val="center"/>
                </w:tcPr>
                <w:p w14:paraId="54AC8551">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798363C4">
                  <w:pPr>
                    <w:adjustRightInd w:val="0"/>
                    <w:snapToGrid w:val="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HCl</w:t>
                  </w:r>
                </w:p>
              </w:tc>
              <w:tc>
                <w:tcPr>
                  <w:tcW w:w="855" w:type="pct"/>
                  <w:vAlign w:val="center"/>
                </w:tcPr>
                <w:p w14:paraId="4097534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0.0709</w:t>
                  </w:r>
                </w:p>
              </w:tc>
              <w:tc>
                <w:tcPr>
                  <w:tcW w:w="787" w:type="pct"/>
                  <w:vAlign w:val="center"/>
                </w:tcPr>
                <w:p w14:paraId="0861EAF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0.0009</w:t>
                  </w:r>
                </w:p>
              </w:tc>
              <w:tc>
                <w:tcPr>
                  <w:tcW w:w="580" w:type="pct"/>
                  <w:vMerge w:val="continue"/>
                  <w:vAlign w:val="center"/>
                </w:tcPr>
                <w:p w14:paraId="2F7FACFF">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501C6D01">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6D8EAC4E">
                  <w:pPr>
                    <w:adjustRightInd w:val="0"/>
                    <w:snapToGrid w:val="0"/>
                    <w:jc w:val="center"/>
                    <w:rPr>
                      <w:bCs/>
                      <w:color w:val="000000" w:themeColor="text1"/>
                      <w:sz w:val="21"/>
                      <w:szCs w:val="21"/>
                      <w14:textFill>
                        <w14:solidFill>
                          <w14:schemeClr w14:val="tx1"/>
                        </w14:solidFill>
                      </w14:textFill>
                    </w:rPr>
                  </w:pPr>
                </w:p>
              </w:tc>
            </w:tr>
            <w:tr w14:paraId="723B5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restart"/>
                  <w:vAlign w:val="center"/>
                </w:tcPr>
                <w:p w14:paraId="4BD5B4E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DA004</w:t>
                  </w:r>
                </w:p>
              </w:tc>
              <w:tc>
                <w:tcPr>
                  <w:tcW w:w="437" w:type="pct"/>
                  <w:vMerge w:val="continue"/>
                  <w:vAlign w:val="center"/>
                </w:tcPr>
                <w:p w14:paraId="60899D31">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1A603F2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855" w:type="pct"/>
                  <w:vAlign w:val="center"/>
                </w:tcPr>
                <w:p w14:paraId="7962EF7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83.33</w:t>
                  </w:r>
                </w:p>
              </w:tc>
              <w:tc>
                <w:tcPr>
                  <w:tcW w:w="787" w:type="pct"/>
                  <w:vAlign w:val="center"/>
                </w:tcPr>
                <w:p w14:paraId="638A7D1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0.99</w:t>
                  </w:r>
                </w:p>
              </w:tc>
              <w:tc>
                <w:tcPr>
                  <w:tcW w:w="580" w:type="pct"/>
                  <w:vMerge w:val="continue"/>
                  <w:vAlign w:val="center"/>
                </w:tcPr>
                <w:p w14:paraId="52ED4D0B">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74B18499">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5938C71C">
                  <w:pPr>
                    <w:adjustRightInd w:val="0"/>
                    <w:snapToGrid w:val="0"/>
                    <w:jc w:val="center"/>
                    <w:rPr>
                      <w:bCs/>
                      <w:color w:val="000000" w:themeColor="text1"/>
                      <w:sz w:val="21"/>
                      <w:szCs w:val="21"/>
                      <w14:textFill>
                        <w14:solidFill>
                          <w14:schemeClr w14:val="tx1"/>
                        </w14:solidFill>
                      </w14:textFill>
                    </w:rPr>
                  </w:pPr>
                </w:p>
              </w:tc>
            </w:tr>
            <w:tr w14:paraId="683AD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trPr>
              <w:tc>
                <w:tcPr>
                  <w:tcW w:w="579" w:type="pct"/>
                  <w:vMerge w:val="continue"/>
                  <w:vAlign w:val="center"/>
                </w:tcPr>
                <w:p w14:paraId="6A3DD77C">
                  <w:pPr>
                    <w:adjustRightInd w:val="0"/>
                    <w:snapToGrid w:val="0"/>
                    <w:jc w:val="center"/>
                    <w:rPr>
                      <w:bCs/>
                      <w:color w:val="000000" w:themeColor="text1"/>
                      <w:sz w:val="21"/>
                      <w:szCs w:val="21"/>
                      <w14:textFill>
                        <w14:solidFill>
                          <w14:schemeClr w14:val="tx1"/>
                        </w14:solidFill>
                      </w14:textFill>
                    </w:rPr>
                  </w:pPr>
                </w:p>
              </w:tc>
              <w:tc>
                <w:tcPr>
                  <w:tcW w:w="437" w:type="pct"/>
                  <w:vMerge w:val="continue"/>
                  <w:vAlign w:val="center"/>
                </w:tcPr>
                <w:p w14:paraId="61808E61">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1BE31361">
                  <w:pPr>
                    <w:adjustRightInd w:val="0"/>
                    <w:snapToGrid w:val="0"/>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HCl</w:t>
                  </w:r>
                </w:p>
              </w:tc>
              <w:tc>
                <w:tcPr>
                  <w:tcW w:w="855" w:type="pct"/>
                  <w:vAlign w:val="center"/>
                </w:tcPr>
                <w:p w14:paraId="716B388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0.4167</w:t>
                  </w:r>
                </w:p>
              </w:tc>
              <w:tc>
                <w:tcPr>
                  <w:tcW w:w="787" w:type="pct"/>
                  <w:vAlign w:val="center"/>
                </w:tcPr>
                <w:p w14:paraId="3965113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0.0051</w:t>
                  </w:r>
                </w:p>
              </w:tc>
              <w:tc>
                <w:tcPr>
                  <w:tcW w:w="580" w:type="pct"/>
                  <w:vMerge w:val="continue"/>
                  <w:vAlign w:val="center"/>
                </w:tcPr>
                <w:p w14:paraId="7551B029">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59DFFE8B">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0134F8D6">
                  <w:pPr>
                    <w:adjustRightInd w:val="0"/>
                    <w:snapToGrid w:val="0"/>
                    <w:jc w:val="center"/>
                    <w:rPr>
                      <w:bCs/>
                      <w:color w:val="000000" w:themeColor="text1"/>
                      <w:sz w:val="21"/>
                      <w:szCs w:val="21"/>
                      <w14:textFill>
                        <w14:solidFill>
                          <w14:schemeClr w14:val="tx1"/>
                        </w14:solidFill>
                      </w14:textFill>
                    </w:rPr>
                  </w:pPr>
                </w:p>
              </w:tc>
            </w:tr>
            <w:tr w14:paraId="38C0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579" w:type="pct"/>
                  <w:vMerge w:val="continue"/>
                  <w:vAlign w:val="center"/>
                </w:tcPr>
                <w:p w14:paraId="3376B3D7">
                  <w:pPr>
                    <w:adjustRightInd w:val="0"/>
                    <w:snapToGrid w:val="0"/>
                    <w:jc w:val="center"/>
                    <w:rPr>
                      <w:bCs/>
                      <w:color w:val="000000" w:themeColor="text1"/>
                      <w:sz w:val="21"/>
                      <w:szCs w:val="21"/>
                      <w14:textFill>
                        <w14:solidFill>
                          <w14:schemeClr w14:val="tx1"/>
                        </w14:solidFill>
                      </w14:textFill>
                    </w:rPr>
                  </w:pPr>
                </w:p>
              </w:tc>
              <w:tc>
                <w:tcPr>
                  <w:tcW w:w="437" w:type="pct"/>
                  <w:vMerge w:val="continue"/>
                  <w:vAlign w:val="center"/>
                </w:tcPr>
                <w:p w14:paraId="6BDE08E8">
                  <w:pPr>
                    <w:adjustRightInd w:val="0"/>
                    <w:snapToGrid w:val="0"/>
                    <w:jc w:val="center"/>
                    <w:rPr>
                      <w:b/>
                      <w:color w:val="000000" w:themeColor="text1"/>
                      <w:sz w:val="21"/>
                      <w:szCs w:val="21"/>
                      <w14:textFill>
                        <w14:solidFill>
                          <w14:schemeClr w14:val="tx1"/>
                        </w14:solidFill>
                      </w14:textFill>
                    </w:rPr>
                  </w:pPr>
                </w:p>
              </w:tc>
              <w:tc>
                <w:tcPr>
                  <w:tcW w:w="794" w:type="pct"/>
                  <w:vAlign w:val="center"/>
                </w:tcPr>
                <w:p w14:paraId="4008A9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855" w:type="pct"/>
                  <w:vAlign w:val="center"/>
                </w:tcPr>
                <w:p w14:paraId="2752484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19.44</w:t>
                  </w:r>
                </w:p>
              </w:tc>
              <w:tc>
                <w:tcPr>
                  <w:tcW w:w="787" w:type="pct"/>
                  <w:vAlign w:val="center"/>
                </w:tcPr>
                <w:p w14:paraId="1AABBCF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0.2380</w:t>
                  </w:r>
                </w:p>
              </w:tc>
              <w:tc>
                <w:tcPr>
                  <w:tcW w:w="580" w:type="pct"/>
                  <w:vMerge w:val="continue"/>
                  <w:vAlign w:val="center"/>
                </w:tcPr>
                <w:p w14:paraId="497C014E">
                  <w:pPr>
                    <w:adjustRightInd w:val="0"/>
                    <w:snapToGrid w:val="0"/>
                    <w:jc w:val="center"/>
                    <w:rPr>
                      <w:bCs/>
                      <w:color w:val="000000" w:themeColor="text1"/>
                      <w:sz w:val="21"/>
                      <w:szCs w:val="21"/>
                      <w14:textFill>
                        <w14:solidFill>
                          <w14:schemeClr w14:val="tx1"/>
                        </w14:solidFill>
                      </w14:textFill>
                    </w:rPr>
                  </w:pPr>
                </w:p>
              </w:tc>
              <w:tc>
                <w:tcPr>
                  <w:tcW w:w="418" w:type="pct"/>
                  <w:vMerge w:val="continue"/>
                  <w:vAlign w:val="center"/>
                </w:tcPr>
                <w:p w14:paraId="354AD711">
                  <w:pPr>
                    <w:adjustRightInd w:val="0"/>
                    <w:snapToGrid w:val="0"/>
                    <w:jc w:val="center"/>
                    <w:rPr>
                      <w:bCs/>
                      <w:color w:val="000000" w:themeColor="text1"/>
                      <w:sz w:val="21"/>
                      <w:szCs w:val="21"/>
                      <w14:textFill>
                        <w14:solidFill>
                          <w14:schemeClr w14:val="tx1"/>
                        </w14:solidFill>
                      </w14:textFill>
                    </w:rPr>
                  </w:pPr>
                </w:p>
              </w:tc>
              <w:tc>
                <w:tcPr>
                  <w:tcW w:w="546" w:type="pct"/>
                  <w:vMerge w:val="continue"/>
                  <w:vAlign w:val="center"/>
                </w:tcPr>
                <w:p w14:paraId="132976D4">
                  <w:pPr>
                    <w:adjustRightInd w:val="0"/>
                    <w:snapToGrid w:val="0"/>
                    <w:jc w:val="center"/>
                    <w:rPr>
                      <w:bCs/>
                      <w:color w:val="000000" w:themeColor="text1"/>
                      <w:sz w:val="21"/>
                      <w:szCs w:val="21"/>
                      <w14:textFill>
                        <w14:solidFill>
                          <w14:schemeClr w14:val="tx1"/>
                        </w14:solidFill>
                      </w14:textFill>
                    </w:rPr>
                  </w:pPr>
                </w:p>
              </w:tc>
            </w:tr>
          </w:tbl>
          <w:p w14:paraId="6889451A">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3</w:t>
            </w:r>
            <w:r>
              <w:rPr>
                <w:rFonts w:hint="eastAsia"/>
                <w:bCs/>
                <w:color w:val="000000" w:themeColor="text1"/>
                <w14:textFill>
                  <w14:solidFill>
                    <w14:schemeClr w14:val="tx1"/>
                  </w14:solidFill>
                </w14:textFill>
              </w:rPr>
              <w:t>、废气污染源监测计划</w:t>
            </w:r>
          </w:p>
          <w:p w14:paraId="752CD4C7">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建设项目废气污染源监测计划详见表4.2.1-9。</w:t>
            </w:r>
          </w:p>
          <w:p w14:paraId="53EBCA6E">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4.2.1-9</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建设项日废气污染源监测计划一览表</w:t>
            </w:r>
          </w:p>
          <w:tbl>
            <w:tblPr>
              <w:tblStyle w:val="15"/>
              <w:tblW w:w="499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2453"/>
              <w:gridCol w:w="1223"/>
              <w:gridCol w:w="2578"/>
            </w:tblGrid>
            <w:tr w14:paraId="4E7A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Align w:val="center"/>
                </w:tcPr>
                <w:p w14:paraId="17C1CCC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监测点位</w:t>
                  </w:r>
                </w:p>
              </w:tc>
              <w:tc>
                <w:tcPr>
                  <w:tcW w:w="1540" w:type="pct"/>
                  <w:vAlign w:val="center"/>
                </w:tcPr>
                <w:p w14:paraId="00D9E0F0">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监测因子</w:t>
                  </w:r>
                </w:p>
              </w:tc>
              <w:tc>
                <w:tcPr>
                  <w:tcW w:w="768" w:type="pct"/>
                  <w:vAlign w:val="center"/>
                </w:tcPr>
                <w:p w14:paraId="41970737">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监测频次</w:t>
                  </w:r>
                </w:p>
              </w:tc>
              <w:tc>
                <w:tcPr>
                  <w:tcW w:w="1618" w:type="pct"/>
                  <w:vAlign w:val="center"/>
                </w:tcPr>
                <w:p w14:paraId="59FCB361">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排放标准</w:t>
                  </w:r>
                </w:p>
              </w:tc>
            </w:tr>
            <w:tr w14:paraId="2EEB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restart"/>
                  <w:vAlign w:val="center"/>
                </w:tcPr>
                <w:p w14:paraId="4A94A3C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DA001</w:t>
                  </w:r>
                </w:p>
              </w:tc>
              <w:tc>
                <w:tcPr>
                  <w:tcW w:w="1540" w:type="pct"/>
                  <w:vAlign w:val="center"/>
                </w:tcPr>
                <w:p w14:paraId="435CFFC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Merge w:val="restart"/>
                  <w:vAlign w:val="center"/>
                </w:tcPr>
                <w:p w14:paraId="61CD95B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1次/年</w:t>
                  </w:r>
                </w:p>
              </w:tc>
              <w:tc>
                <w:tcPr>
                  <w:tcW w:w="1618" w:type="pct"/>
                  <w:vMerge w:val="restart"/>
                  <w:vAlign w:val="center"/>
                </w:tcPr>
                <w:p w14:paraId="26F5633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从严执行《合成树脂工业污染物排放标准》（GB 31572-2015，含2024年修改单）和《固定源挥发性有机物综合排放标准 第6部分 其他行业》（DB34-4812.6-2024）</w:t>
                  </w:r>
                </w:p>
              </w:tc>
            </w:tr>
            <w:tr w14:paraId="71E1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continue"/>
                  <w:vAlign w:val="center"/>
                </w:tcPr>
                <w:p w14:paraId="18D77646">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1CE1150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HCl</w:t>
                  </w:r>
                </w:p>
              </w:tc>
              <w:tc>
                <w:tcPr>
                  <w:tcW w:w="768" w:type="pct"/>
                  <w:vMerge w:val="continue"/>
                  <w:vAlign w:val="center"/>
                </w:tcPr>
                <w:p w14:paraId="01F1615A">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24307411">
                  <w:pPr>
                    <w:adjustRightInd w:val="0"/>
                    <w:snapToGrid w:val="0"/>
                    <w:jc w:val="center"/>
                    <w:rPr>
                      <w:bCs/>
                      <w:color w:val="000000" w:themeColor="text1"/>
                      <w:sz w:val="21"/>
                      <w:szCs w:val="21"/>
                      <w14:textFill>
                        <w14:solidFill>
                          <w14:schemeClr w14:val="tx1"/>
                        </w14:solidFill>
                      </w14:textFill>
                    </w:rPr>
                  </w:pPr>
                </w:p>
              </w:tc>
            </w:tr>
            <w:tr w14:paraId="71BB2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restart"/>
                  <w:vAlign w:val="center"/>
                </w:tcPr>
                <w:p w14:paraId="7195E55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DA002</w:t>
                  </w:r>
                </w:p>
              </w:tc>
              <w:tc>
                <w:tcPr>
                  <w:tcW w:w="1540" w:type="pct"/>
                  <w:vAlign w:val="center"/>
                </w:tcPr>
                <w:p w14:paraId="1E8D086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Merge w:val="continue"/>
                  <w:vAlign w:val="center"/>
                </w:tcPr>
                <w:p w14:paraId="23888614">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478C7040">
                  <w:pPr>
                    <w:adjustRightInd w:val="0"/>
                    <w:snapToGrid w:val="0"/>
                    <w:jc w:val="center"/>
                    <w:rPr>
                      <w:bCs/>
                      <w:color w:val="000000" w:themeColor="text1"/>
                      <w:sz w:val="21"/>
                      <w:szCs w:val="21"/>
                      <w14:textFill>
                        <w14:solidFill>
                          <w14:schemeClr w14:val="tx1"/>
                        </w14:solidFill>
                      </w14:textFill>
                    </w:rPr>
                  </w:pPr>
                </w:p>
              </w:tc>
            </w:tr>
            <w:tr w14:paraId="67A0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continue"/>
                  <w:vAlign w:val="center"/>
                </w:tcPr>
                <w:p w14:paraId="352A676C">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36CE694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HCl</w:t>
                  </w:r>
                </w:p>
              </w:tc>
              <w:tc>
                <w:tcPr>
                  <w:tcW w:w="768" w:type="pct"/>
                  <w:vMerge w:val="continue"/>
                  <w:vAlign w:val="center"/>
                </w:tcPr>
                <w:p w14:paraId="27A9E133">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3B312689">
                  <w:pPr>
                    <w:adjustRightInd w:val="0"/>
                    <w:snapToGrid w:val="0"/>
                    <w:jc w:val="center"/>
                    <w:rPr>
                      <w:bCs/>
                      <w:color w:val="000000" w:themeColor="text1"/>
                      <w:sz w:val="21"/>
                      <w:szCs w:val="21"/>
                      <w14:textFill>
                        <w14:solidFill>
                          <w14:schemeClr w14:val="tx1"/>
                        </w14:solidFill>
                      </w14:textFill>
                    </w:rPr>
                  </w:pPr>
                </w:p>
              </w:tc>
            </w:tr>
            <w:tr w14:paraId="0B2B8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restart"/>
                  <w:vAlign w:val="center"/>
                </w:tcPr>
                <w:p w14:paraId="08FB921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DA003</w:t>
                  </w:r>
                </w:p>
              </w:tc>
              <w:tc>
                <w:tcPr>
                  <w:tcW w:w="1540" w:type="pct"/>
                  <w:vAlign w:val="center"/>
                </w:tcPr>
                <w:p w14:paraId="361FBC1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Merge w:val="continue"/>
                  <w:vAlign w:val="center"/>
                </w:tcPr>
                <w:p w14:paraId="7A7EB7DB">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6A604B09">
                  <w:pPr>
                    <w:adjustRightInd w:val="0"/>
                    <w:snapToGrid w:val="0"/>
                    <w:jc w:val="center"/>
                    <w:rPr>
                      <w:bCs/>
                      <w:color w:val="000000" w:themeColor="text1"/>
                      <w:sz w:val="21"/>
                      <w:szCs w:val="21"/>
                      <w14:textFill>
                        <w14:solidFill>
                          <w14:schemeClr w14:val="tx1"/>
                        </w14:solidFill>
                      </w14:textFill>
                    </w:rPr>
                  </w:pPr>
                </w:p>
              </w:tc>
            </w:tr>
            <w:tr w14:paraId="040AB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continue"/>
                  <w:vAlign w:val="center"/>
                </w:tcPr>
                <w:p w14:paraId="2046457F">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42E4DEB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HCl</w:t>
                  </w:r>
                </w:p>
              </w:tc>
              <w:tc>
                <w:tcPr>
                  <w:tcW w:w="768" w:type="pct"/>
                  <w:vMerge w:val="continue"/>
                  <w:vAlign w:val="center"/>
                </w:tcPr>
                <w:p w14:paraId="61421569">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3F3C36AF">
                  <w:pPr>
                    <w:adjustRightInd w:val="0"/>
                    <w:snapToGrid w:val="0"/>
                    <w:jc w:val="center"/>
                    <w:rPr>
                      <w:bCs/>
                      <w:color w:val="000000" w:themeColor="text1"/>
                      <w:sz w:val="21"/>
                      <w:szCs w:val="21"/>
                      <w14:textFill>
                        <w14:solidFill>
                          <w14:schemeClr w14:val="tx1"/>
                        </w14:solidFill>
                      </w14:textFill>
                    </w:rPr>
                  </w:pPr>
                </w:p>
              </w:tc>
            </w:tr>
            <w:tr w14:paraId="39FA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restart"/>
                  <w:vAlign w:val="center"/>
                </w:tcPr>
                <w:p w14:paraId="299E1D2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DA004</w:t>
                  </w:r>
                </w:p>
              </w:tc>
              <w:tc>
                <w:tcPr>
                  <w:tcW w:w="1540" w:type="pct"/>
                  <w:vAlign w:val="center"/>
                </w:tcPr>
                <w:p w14:paraId="31D1EDB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Merge w:val="continue"/>
                  <w:vAlign w:val="center"/>
                </w:tcPr>
                <w:p w14:paraId="5D9938F4">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5A2AE0AD">
                  <w:pPr>
                    <w:adjustRightInd w:val="0"/>
                    <w:snapToGrid w:val="0"/>
                    <w:jc w:val="center"/>
                    <w:rPr>
                      <w:bCs/>
                      <w:color w:val="000000" w:themeColor="text1"/>
                      <w:sz w:val="21"/>
                      <w:szCs w:val="21"/>
                      <w14:textFill>
                        <w14:solidFill>
                          <w14:schemeClr w14:val="tx1"/>
                        </w14:solidFill>
                      </w14:textFill>
                    </w:rPr>
                  </w:pPr>
                </w:p>
              </w:tc>
            </w:tr>
            <w:tr w14:paraId="0795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continue"/>
                  <w:vAlign w:val="center"/>
                </w:tcPr>
                <w:p w14:paraId="4C99C063">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417661B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HCl</w:t>
                  </w:r>
                </w:p>
              </w:tc>
              <w:tc>
                <w:tcPr>
                  <w:tcW w:w="768" w:type="pct"/>
                  <w:vMerge w:val="continue"/>
                  <w:vAlign w:val="center"/>
                </w:tcPr>
                <w:p w14:paraId="758F9BD1">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2159A82C">
                  <w:pPr>
                    <w:adjustRightInd w:val="0"/>
                    <w:snapToGrid w:val="0"/>
                    <w:jc w:val="center"/>
                    <w:rPr>
                      <w:bCs/>
                      <w:color w:val="000000" w:themeColor="text1"/>
                      <w:sz w:val="21"/>
                      <w:szCs w:val="21"/>
                      <w14:textFill>
                        <w14:solidFill>
                          <w14:schemeClr w14:val="tx1"/>
                        </w14:solidFill>
                      </w14:textFill>
                    </w:rPr>
                  </w:pPr>
                </w:p>
              </w:tc>
            </w:tr>
            <w:tr w14:paraId="3CA87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continue"/>
                  <w:vAlign w:val="center"/>
                </w:tcPr>
                <w:p w14:paraId="0BA62E61">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014E063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768" w:type="pct"/>
                  <w:vMerge w:val="continue"/>
                  <w:vAlign w:val="center"/>
                </w:tcPr>
                <w:p w14:paraId="29508687">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1145C522">
                  <w:pPr>
                    <w:adjustRightInd w:val="0"/>
                    <w:snapToGrid w:val="0"/>
                    <w:jc w:val="center"/>
                    <w:rPr>
                      <w:bCs/>
                      <w:color w:val="000000" w:themeColor="text1"/>
                      <w:sz w:val="21"/>
                      <w:szCs w:val="21"/>
                      <w14:textFill>
                        <w14:solidFill>
                          <w14:schemeClr w14:val="tx1"/>
                        </w14:solidFill>
                      </w14:textFill>
                    </w:rPr>
                  </w:pPr>
                </w:p>
              </w:tc>
            </w:tr>
            <w:tr w14:paraId="78CA7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Merge w:val="restart"/>
                  <w:vAlign w:val="center"/>
                </w:tcPr>
                <w:p w14:paraId="25130F3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无组织排放厂界监控点</w:t>
                  </w:r>
                </w:p>
              </w:tc>
              <w:tc>
                <w:tcPr>
                  <w:tcW w:w="1540" w:type="pct"/>
                  <w:vAlign w:val="center"/>
                </w:tcPr>
                <w:p w14:paraId="673A7E5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Merge w:val="restart"/>
                  <w:vAlign w:val="center"/>
                </w:tcPr>
                <w:p w14:paraId="4A0E1B5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1次/年</w:t>
                  </w:r>
                </w:p>
              </w:tc>
              <w:tc>
                <w:tcPr>
                  <w:tcW w:w="1618" w:type="pct"/>
                  <w:vMerge w:val="continue"/>
                  <w:vAlign w:val="center"/>
                </w:tcPr>
                <w:p w14:paraId="1A3B8783">
                  <w:pPr>
                    <w:adjustRightInd w:val="0"/>
                    <w:snapToGrid w:val="0"/>
                    <w:jc w:val="center"/>
                    <w:rPr>
                      <w:bCs/>
                      <w:color w:val="000000" w:themeColor="text1"/>
                      <w:sz w:val="21"/>
                      <w:szCs w:val="21"/>
                      <w14:textFill>
                        <w14:solidFill>
                          <w14:schemeClr w14:val="tx1"/>
                        </w14:solidFill>
                      </w14:textFill>
                    </w:rPr>
                  </w:pPr>
                </w:p>
              </w:tc>
            </w:tr>
            <w:tr w14:paraId="4C6B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trPr>
              <w:tc>
                <w:tcPr>
                  <w:tcW w:w="1072" w:type="pct"/>
                  <w:vMerge w:val="continue"/>
                  <w:vAlign w:val="center"/>
                </w:tcPr>
                <w:p w14:paraId="0AE4CF09">
                  <w:pPr>
                    <w:adjustRightInd w:val="0"/>
                    <w:snapToGrid w:val="0"/>
                    <w:jc w:val="center"/>
                    <w:rPr>
                      <w:bCs/>
                      <w:color w:val="000000" w:themeColor="text1"/>
                      <w:sz w:val="21"/>
                      <w:szCs w:val="21"/>
                      <w14:textFill>
                        <w14:solidFill>
                          <w14:schemeClr w14:val="tx1"/>
                        </w14:solidFill>
                      </w14:textFill>
                    </w:rPr>
                  </w:pPr>
                </w:p>
              </w:tc>
              <w:tc>
                <w:tcPr>
                  <w:tcW w:w="1540" w:type="pct"/>
                  <w:vAlign w:val="center"/>
                </w:tcPr>
                <w:p w14:paraId="06E743A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HCl</w:t>
                  </w:r>
                </w:p>
              </w:tc>
              <w:tc>
                <w:tcPr>
                  <w:tcW w:w="768" w:type="pct"/>
                  <w:vMerge w:val="continue"/>
                  <w:vAlign w:val="center"/>
                </w:tcPr>
                <w:p w14:paraId="711ACD55">
                  <w:pPr>
                    <w:adjustRightInd w:val="0"/>
                    <w:snapToGrid w:val="0"/>
                    <w:jc w:val="center"/>
                    <w:rPr>
                      <w:bCs/>
                      <w:color w:val="000000" w:themeColor="text1"/>
                      <w:sz w:val="21"/>
                      <w:szCs w:val="21"/>
                      <w14:textFill>
                        <w14:solidFill>
                          <w14:schemeClr w14:val="tx1"/>
                        </w14:solidFill>
                      </w14:textFill>
                    </w:rPr>
                  </w:pPr>
                </w:p>
              </w:tc>
              <w:tc>
                <w:tcPr>
                  <w:tcW w:w="1618" w:type="pct"/>
                  <w:vMerge w:val="continue"/>
                  <w:vAlign w:val="center"/>
                </w:tcPr>
                <w:p w14:paraId="2C441F28">
                  <w:pPr>
                    <w:adjustRightInd w:val="0"/>
                    <w:snapToGrid w:val="0"/>
                    <w:jc w:val="center"/>
                    <w:rPr>
                      <w:bCs/>
                      <w:color w:val="000000" w:themeColor="text1"/>
                      <w:sz w:val="21"/>
                      <w:szCs w:val="21"/>
                      <w14:textFill>
                        <w14:solidFill>
                          <w14:schemeClr w14:val="tx1"/>
                        </w14:solidFill>
                      </w14:textFill>
                    </w:rPr>
                  </w:pPr>
                </w:p>
              </w:tc>
            </w:tr>
            <w:tr w14:paraId="68EE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072" w:type="pct"/>
                  <w:vAlign w:val="center"/>
                </w:tcPr>
                <w:p w14:paraId="65D3D1B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无组织排放厂内监控点</w:t>
                  </w:r>
                </w:p>
              </w:tc>
              <w:tc>
                <w:tcPr>
                  <w:tcW w:w="1540" w:type="pct"/>
                  <w:vAlign w:val="center"/>
                </w:tcPr>
                <w:p w14:paraId="0A203DD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非甲烷总烃</w:t>
                  </w:r>
                </w:p>
              </w:tc>
              <w:tc>
                <w:tcPr>
                  <w:tcW w:w="768" w:type="pct"/>
                  <w:vAlign w:val="center"/>
                </w:tcPr>
                <w:p w14:paraId="11F1CA2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1次/年</w:t>
                  </w:r>
                </w:p>
              </w:tc>
              <w:tc>
                <w:tcPr>
                  <w:tcW w:w="1618" w:type="pct"/>
                  <w:vAlign w:val="center"/>
                </w:tcPr>
                <w:p w14:paraId="03E4507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《固定源挥发性有机物综合排放标准 第6部分 其他行业》（DB34-4812.6-2024）</w:t>
                  </w:r>
                </w:p>
              </w:tc>
            </w:tr>
          </w:tbl>
          <w:p w14:paraId="321125D1">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lang w:val="en-US" w:eastAsia="zh-CN"/>
                <w14:textFill>
                  <w14:solidFill>
                    <w14:schemeClr w14:val="tx1"/>
                  </w14:solidFill>
                </w14:textFill>
              </w:rPr>
              <w:t>4</w:t>
            </w:r>
            <w:r>
              <w:rPr>
                <w:rFonts w:hint="eastAsia"/>
                <w:bCs/>
                <w:color w:val="000000" w:themeColor="text1"/>
                <w14:textFill>
                  <w14:solidFill>
                    <w14:schemeClr w14:val="tx1"/>
                  </w14:solidFill>
                </w14:textFill>
              </w:rPr>
              <w:t>、大气环境影响分析</w:t>
            </w:r>
          </w:p>
          <w:p w14:paraId="56E47E6B">
            <w:pPr>
              <w:adjustRightInd w:val="0"/>
              <w:snapToGrid w:val="0"/>
              <w:spacing w:line="360" w:lineRule="auto"/>
              <w:ind w:firstLine="480" w:firstLineChars="200"/>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建设项目运营过程中产生的废气通过采取可行的废气治理措施处理后，主要污染物排放均能满足相应的排放标准要求，能够有效的减轻对周边大气环境敏感目标的影响，对周边大气环境影响可接受。</w:t>
            </w:r>
          </w:p>
          <w:p w14:paraId="16D2B141">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4.2.2运营期水</w:t>
            </w:r>
            <w:r>
              <w:rPr>
                <w:rFonts w:eastAsia="宋体"/>
                <w:color w:val="000000" w:themeColor="text1"/>
                <w:szCs w:val="24"/>
                <w14:textFill>
                  <w14:solidFill>
                    <w14:schemeClr w14:val="tx1"/>
                  </w14:solidFill>
                </w14:textFill>
              </w:rPr>
              <w:t>环境影响及保护措施</w:t>
            </w:r>
          </w:p>
          <w:p w14:paraId="2BE6D10C">
            <w:pPr>
              <w:pStyle w:val="5"/>
              <w:keepNext/>
              <w:spacing w:before="0"/>
              <w:ind w:firstLine="480" w:firstLineChars="200"/>
              <w:jc w:val="left"/>
              <w:rPr>
                <w:rFonts w:eastAsia="宋体"/>
                <w:color w:val="000000" w:themeColor="text1"/>
                <w:szCs w:val="24"/>
                <w14:textFill>
                  <w14:solidFill>
                    <w14:schemeClr w14:val="tx1"/>
                  </w14:solidFill>
                </w14:textFill>
              </w:rPr>
            </w:pPr>
            <w:r>
              <w:rPr>
                <w:rFonts w:hint="eastAsia" w:eastAsia="宋体"/>
                <w:color w:val="000000" w:themeColor="text1"/>
                <w:szCs w:val="24"/>
                <w14:textFill>
                  <w14:solidFill>
                    <w14:schemeClr w14:val="tx1"/>
                  </w14:solidFill>
                </w14:textFill>
              </w:rPr>
              <w:t>1、</w:t>
            </w:r>
            <w:r>
              <w:rPr>
                <w:rFonts w:eastAsia="宋体"/>
                <w:color w:val="000000" w:themeColor="text1"/>
                <w:szCs w:val="24"/>
                <w14:textFill>
                  <w14:solidFill>
                    <w14:schemeClr w14:val="tx1"/>
                  </w14:solidFill>
                </w14:textFill>
              </w:rPr>
              <w:t>废</w:t>
            </w:r>
            <w:r>
              <w:rPr>
                <w:rFonts w:hint="eastAsia" w:eastAsia="宋体"/>
                <w:color w:val="000000" w:themeColor="text1"/>
                <w:szCs w:val="24"/>
                <w14:textFill>
                  <w14:solidFill>
                    <w14:schemeClr w14:val="tx1"/>
                  </w14:solidFill>
                </w14:textFill>
              </w:rPr>
              <w:t>水</w:t>
            </w:r>
            <w:r>
              <w:rPr>
                <w:rFonts w:eastAsia="宋体"/>
                <w:color w:val="000000" w:themeColor="text1"/>
                <w:szCs w:val="24"/>
                <w14:textFill>
                  <w14:solidFill>
                    <w14:schemeClr w14:val="tx1"/>
                  </w14:solidFill>
                </w14:textFill>
              </w:rPr>
              <w:t>污染源</w:t>
            </w:r>
            <w:r>
              <w:rPr>
                <w:rFonts w:hint="eastAsia" w:eastAsia="宋体"/>
                <w:color w:val="000000" w:themeColor="text1"/>
                <w:szCs w:val="24"/>
                <w14:textFill>
                  <w14:solidFill>
                    <w14:schemeClr w14:val="tx1"/>
                  </w14:solidFill>
                </w14:textFill>
              </w:rPr>
              <w:t>源强</w:t>
            </w:r>
            <w:r>
              <w:rPr>
                <w:rFonts w:eastAsia="宋体"/>
                <w:color w:val="000000" w:themeColor="text1"/>
                <w:szCs w:val="24"/>
                <w14:textFill>
                  <w14:solidFill>
                    <w14:schemeClr w14:val="tx1"/>
                  </w14:solidFill>
                </w14:textFill>
              </w:rPr>
              <w:t>分析</w:t>
            </w:r>
          </w:p>
          <w:p w14:paraId="50EE894F">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根据建设项目工程分析，项目建成后车间采取干式清扫，不产生保洁废水；本项目废水主要为生活污水。</w:t>
            </w:r>
          </w:p>
          <w:p w14:paraId="6A166E4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生活污水本项目劳动定员120人，年工作时间300天，设有食堂，根据《安徽省行业用水定额》(DB34/T679-2025)，员工生活用水按每人每天110L计，因此本项目生活用水量为13.2t/d，3960t/a，产污系数按照0.8计，则生活污水产生量为10.56t/d，3168t/a。依托厂内废水处理设施处理后接管排放至淮南市经济技术开发区工业污水处理厂集中处理，主要污染物浓度分别为COD350mg/L、SS200mg/L、氨氮25mg/L、总磷4mgL。</w:t>
            </w:r>
          </w:p>
          <w:p w14:paraId="79912D5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（2）循环冷却水排水</w:t>
            </w:r>
          </w:p>
          <w:p w14:paraId="6184B1F8">
            <w:pPr>
              <w:spacing w:line="360" w:lineRule="auto"/>
              <w:ind w:firstLine="480" w:firstLineChars="20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根据前文给排水分析可知，生产工序涉及冷却系统冷却，本项目循环冷却水系统排水损失水量为0.01m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/h，年运行时间以7200小时计，则排放量为72 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/a（0.24m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/d）。类比现有项目，主要污染物浓度为COD300mg/L、氨氮35mg/L。</w:t>
            </w:r>
          </w:p>
          <w:p w14:paraId="0F555211">
            <w:pPr>
              <w:spacing w:line="36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3）碱水喷淋塔</w:t>
            </w:r>
            <w:r>
              <w:rPr>
                <w:rFonts w:hint="eastAsia"/>
                <w:color w:val="000000" w:themeColor="text1"/>
                <w14:textFill>
                  <w14:solidFill>
                    <w14:schemeClr w14:val="tx1"/>
                  </w14:solidFill>
                </w14:textFill>
              </w:rPr>
              <w:t>排水</w:t>
            </w:r>
          </w:p>
          <w:p w14:paraId="59B78D21">
            <w:pPr>
              <w:spacing w:line="360" w:lineRule="auto"/>
              <w:ind w:firstLine="480" w:firstLineChars="200"/>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根据前文给排水分析可知，本项目碱水喷淋塔排水量为</w:t>
            </w:r>
            <w:r>
              <w:rPr>
                <w:rFonts w:hint="eastAsia"/>
                <w:color w:val="000000" w:themeColor="text1"/>
                <w:lang w:val="en-US" w:eastAsia="zh-CN"/>
                <w14:textFill>
                  <w14:solidFill>
                    <w14:schemeClr w14:val="tx1"/>
                  </w14:solidFill>
                </w14:textFill>
              </w:rPr>
              <w:t>21.05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a</w:t>
            </w:r>
            <w:r>
              <w:rPr>
                <w:rFonts w:hint="eastAsia"/>
                <w:color w:val="000000" w:themeColor="text1"/>
                <w14:textFill>
                  <w14:solidFill>
                    <w14:schemeClr w14:val="tx1"/>
                  </w14:solidFill>
                </w14:textFill>
              </w:rPr>
              <w:t>。类比现有项目，主要污染物浓度为COD30mg/L、氨氮5mg/L。</w:t>
            </w:r>
          </w:p>
          <w:p w14:paraId="518598D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本项目废水源强详见表4.2.2-1。</w:t>
            </w:r>
          </w:p>
          <w:p w14:paraId="0D44F3A1">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4.2.2-1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 xml:space="preserve"> 项目废水污染物产生及处理情况一览表</w:t>
            </w:r>
          </w:p>
          <w:tbl>
            <w:tblPr>
              <w:tblStyle w:val="15"/>
              <w:tblW w:w="79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1348"/>
              <w:gridCol w:w="1980"/>
              <w:gridCol w:w="884"/>
              <w:gridCol w:w="889"/>
              <w:gridCol w:w="1771"/>
            </w:tblGrid>
            <w:tr w14:paraId="2905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restart"/>
                  <w:vAlign w:val="center"/>
                </w:tcPr>
                <w:p w14:paraId="29432F9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处理措施</w:t>
                  </w:r>
                </w:p>
              </w:tc>
              <w:tc>
                <w:tcPr>
                  <w:tcW w:w="846" w:type="pct"/>
                  <w:vMerge w:val="restart"/>
                  <w:vAlign w:val="center"/>
                </w:tcPr>
                <w:p w14:paraId="1184C3D7">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废水量t/a</w:t>
                  </w:r>
                </w:p>
              </w:tc>
              <w:tc>
                <w:tcPr>
                  <w:tcW w:w="1243" w:type="pct"/>
                  <w:vMerge w:val="restart"/>
                  <w:vAlign w:val="center"/>
                </w:tcPr>
                <w:p w14:paraId="2D59D3B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w:t>
                  </w:r>
                </w:p>
              </w:tc>
              <w:tc>
                <w:tcPr>
                  <w:tcW w:w="1113" w:type="pct"/>
                  <w:gridSpan w:val="2"/>
                  <w:vAlign w:val="center"/>
                </w:tcPr>
                <w:p w14:paraId="6A1CE22F">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产生情况</w:t>
                  </w:r>
                </w:p>
              </w:tc>
              <w:tc>
                <w:tcPr>
                  <w:tcW w:w="1112" w:type="pct"/>
                  <w:vMerge w:val="restart"/>
                  <w:vAlign w:val="center"/>
                </w:tcPr>
                <w:p w14:paraId="711E0DD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治理措施</w:t>
                  </w:r>
                </w:p>
              </w:tc>
            </w:tr>
            <w:tr w14:paraId="41A2E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46E6C4EB">
                  <w:pPr>
                    <w:adjustRightInd w:val="0"/>
                    <w:snapToGrid w:val="0"/>
                    <w:jc w:val="center"/>
                    <w:rPr>
                      <w:b/>
                      <w:color w:val="000000" w:themeColor="text1"/>
                      <w:sz w:val="21"/>
                      <w:szCs w:val="21"/>
                      <w14:textFill>
                        <w14:solidFill>
                          <w14:schemeClr w14:val="tx1"/>
                        </w14:solidFill>
                      </w14:textFill>
                    </w:rPr>
                  </w:pPr>
                </w:p>
              </w:tc>
              <w:tc>
                <w:tcPr>
                  <w:tcW w:w="846" w:type="pct"/>
                  <w:vMerge w:val="continue"/>
                  <w:vAlign w:val="center"/>
                </w:tcPr>
                <w:p w14:paraId="1E1D3E65">
                  <w:pPr>
                    <w:adjustRightInd w:val="0"/>
                    <w:snapToGrid w:val="0"/>
                    <w:jc w:val="center"/>
                    <w:rPr>
                      <w:b/>
                      <w:color w:val="000000" w:themeColor="text1"/>
                      <w:sz w:val="21"/>
                      <w:szCs w:val="21"/>
                      <w14:textFill>
                        <w14:solidFill>
                          <w14:schemeClr w14:val="tx1"/>
                        </w14:solidFill>
                      </w14:textFill>
                    </w:rPr>
                  </w:pPr>
                </w:p>
              </w:tc>
              <w:tc>
                <w:tcPr>
                  <w:tcW w:w="1243" w:type="pct"/>
                  <w:vMerge w:val="continue"/>
                  <w:vAlign w:val="center"/>
                </w:tcPr>
                <w:p w14:paraId="62EF660E">
                  <w:pPr>
                    <w:adjustRightInd w:val="0"/>
                    <w:snapToGrid w:val="0"/>
                    <w:jc w:val="center"/>
                    <w:rPr>
                      <w:b/>
                      <w:color w:val="000000" w:themeColor="text1"/>
                      <w:sz w:val="21"/>
                      <w:szCs w:val="21"/>
                      <w14:textFill>
                        <w14:solidFill>
                          <w14:schemeClr w14:val="tx1"/>
                        </w14:solidFill>
                      </w14:textFill>
                    </w:rPr>
                  </w:pPr>
                </w:p>
              </w:tc>
              <w:tc>
                <w:tcPr>
                  <w:tcW w:w="555" w:type="pct"/>
                  <w:vAlign w:val="center"/>
                </w:tcPr>
                <w:p w14:paraId="152B1E3A">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产生量t/a</w:t>
                  </w:r>
                </w:p>
              </w:tc>
              <w:tc>
                <w:tcPr>
                  <w:tcW w:w="558" w:type="pct"/>
                  <w:vAlign w:val="center"/>
                </w:tcPr>
                <w:p w14:paraId="32334334">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浓度mg/L</w:t>
                  </w:r>
                </w:p>
              </w:tc>
              <w:tc>
                <w:tcPr>
                  <w:tcW w:w="1112" w:type="pct"/>
                  <w:vMerge w:val="continue"/>
                  <w:vAlign w:val="center"/>
                </w:tcPr>
                <w:p w14:paraId="73A5FB34">
                  <w:pPr>
                    <w:adjustRightInd w:val="0"/>
                    <w:snapToGrid w:val="0"/>
                    <w:jc w:val="center"/>
                    <w:rPr>
                      <w:b/>
                      <w:color w:val="000000" w:themeColor="text1"/>
                      <w:sz w:val="21"/>
                      <w:szCs w:val="21"/>
                      <w14:textFill>
                        <w14:solidFill>
                          <w14:schemeClr w14:val="tx1"/>
                        </w14:solidFill>
                      </w14:textFill>
                    </w:rPr>
                  </w:pPr>
                </w:p>
              </w:tc>
            </w:tr>
            <w:tr w14:paraId="20F6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restart"/>
                  <w:vAlign w:val="center"/>
                </w:tcPr>
                <w:p w14:paraId="21985C8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生活污水</w:t>
                  </w:r>
                </w:p>
              </w:tc>
              <w:tc>
                <w:tcPr>
                  <w:tcW w:w="846" w:type="pct"/>
                  <w:vMerge w:val="restart"/>
                  <w:vAlign w:val="center"/>
                </w:tcPr>
                <w:p w14:paraId="6D22ECB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3168</w:t>
                  </w:r>
                </w:p>
              </w:tc>
              <w:tc>
                <w:tcPr>
                  <w:tcW w:w="1243" w:type="pct"/>
                  <w:vAlign w:val="center"/>
                </w:tcPr>
                <w:p w14:paraId="6FDF95A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pH</w:t>
                  </w:r>
                </w:p>
              </w:tc>
              <w:tc>
                <w:tcPr>
                  <w:tcW w:w="555" w:type="pct"/>
                  <w:vAlign w:val="center"/>
                </w:tcPr>
                <w:p w14:paraId="6F7DD10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58" w:type="pct"/>
                  <w:vAlign w:val="center"/>
                </w:tcPr>
                <w:p w14:paraId="48CA03B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6-9</w:t>
                  </w:r>
                </w:p>
              </w:tc>
              <w:tc>
                <w:tcPr>
                  <w:tcW w:w="1112" w:type="pct"/>
                  <w:vMerge w:val="restart"/>
                  <w:vAlign w:val="center"/>
                </w:tcPr>
                <w:p w14:paraId="08FE5B0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依托厂区现有化粪池、隔油池处理后纳管排至淮南经济技术开发区工业污水处理厂。</w:t>
                  </w:r>
                </w:p>
              </w:tc>
            </w:tr>
            <w:tr w14:paraId="7859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3C2AEE0B">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55FAECC5">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165A141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w:t>
                  </w:r>
                </w:p>
              </w:tc>
              <w:tc>
                <w:tcPr>
                  <w:tcW w:w="555" w:type="pct"/>
                  <w:vAlign w:val="center"/>
                </w:tcPr>
                <w:p w14:paraId="18C0832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1.109</w:t>
                  </w:r>
                </w:p>
              </w:tc>
              <w:tc>
                <w:tcPr>
                  <w:tcW w:w="558" w:type="pct"/>
                  <w:vAlign w:val="center"/>
                </w:tcPr>
                <w:p w14:paraId="2C73503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350</w:t>
                  </w:r>
                </w:p>
              </w:tc>
              <w:tc>
                <w:tcPr>
                  <w:tcW w:w="1112" w:type="pct"/>
                  <w:vMerge w:val="continue"/>
                  <w:vAlign w:val="center"/>
                </w:tcPr>
                <w:p w14:paraId="5EDA50C2">
                  <w:pPr>
                    <w:adjustRightInd w:val="0"/>
                    <w:snapToGrid w:val="0"/>
                    <w:jc w:val="center"/>
                    <w:rPr>
                      <w:bCs/>
                      <w:color w:val="000000" w:themeColor="text1"/>
                      <w:sz w:val="21"/>
                      <w:szCs w:val="21"/>
                      <w14:textFill>
                        <w14:solidFill>
                          <w14:schemeClr w14:val="tx1"/>
                        </w14:solidFill>
                      </w14:textFill>
                    </w:rPr>
                  </w:pPr>
                </w:p>
              </w:tc>
            </w:tr>
            <w:tr w14:paraId="3A51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0C721775">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FFAA645">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1DC9527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SS</w:t>
                  </w:r>
                </w:p>
              </w:tc>
              <w:tc>
                <w:tcPr>
                  <w:tcW w:w="555" w:type="pct"/>
                  <w:vAlign w:val="center"/>
                </w:tcPr>
                <w:p w14:paraId="4F6DC8A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0.634</w:t>
                  </w:r>
                </w:p>
              </w:tc>
              <w:tc>
                <w:tcPr>
                  <w:tcW w:w="558" w:type="pct"/>
                  <w:vAlign w:val="center"/>
                </w:tcPr>
                <w:p w14:paraId="41B72FD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200</w:t>
                  </w:r>
                </w:p>
              </w:tc>
              <w:tc>
                <w:tcPr>
                  <w:tcW w:w="1112" w:type="pct"/>
                  <w:vMerge w:val="continue"/>
                  <w:vAlign w:val="center"/>
                </w:tcPr>
                <w:p w14:paraId="2BB42DE4">
                  <w:pPr>
                    <w:adjustRightInd w:val="0"/>
                    <w:snapToGrid w:val="0"/>
                    <w:jc w:val="center"/>
                    <w:rPr>
                      <w:bCs/>
                      <w:color w:val="000000" w:themeColor="text1"/>
                      <w:sz w:val="21"/>
                      <w:szCs w:val="21"/>
                      <w14:textFill>
                        <w14:solidFill>
                          <w14:schemeClr w14:val="tx1"/>
                        </w14:solidFill>
                      </w14:textFill>
                    </w:rPr>
                  </w:pPr>
                </w:p>
              </w:tc>
            </w:tr>
            <w:tr w14:paraId="3D7B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5EE7D644">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7F13D14E">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36519F0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氨氮</w:t>
                  </w:r>
                </w:p>
              </w:tc>
              <w:tc>
                <w:tcPr>
                  <w:tcW w:w="555" w:type="pct"/>
                  <w:vAlign w:val="center"/>
                </w:tcPr>
                <w:p w14:paraId="744F064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0.079</w:t>
                  </w:r>
                </w:p>
              </w:tc>
              <w:tc>
                <w:tcPr>
                  <w:tcW w:w="558" w:type="pct"/>
                  <w:vAlign w:val="center"/>
                </w:tcPr>
                <w:p w14:paraId="16B145E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p>
              </w:tc>
              <w:tc>
                <w:tcPr>
                  <w:tcW w:w="1112" w:type="pct"/>
                  <w:vMerge w:val="continue"/>
                  <w:vAlign w:val="center"/>
                </w:tcPr>
                <w:p w14:paraId="29D3CD65">
                  <w:pPr>
                    <w:adjustRightInd w:val="0"/>
                    <w:snapToGrid w:val="0"/>
                    <w:jc w:val="center"/>
                    <w:rPr>
                      <w:bCs/>
                      <w:color w:val="000000" w:themeColor="text1"/>
                      <w:sz w:val="21"/>
                      <w:szCs w:val="21"/>
                      <w14:textFill>
                        <w14:solidFill>
                          <w14:schemeClr w14:val="tx1"/>
                        </w14:solidFill>
                      </w14:textFill>
                    </w:rPr>
                  </w:pPr>
                </w:p>
              </w:tc>
            </w:tr>
            <w:tr w14:paraId="6D4F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3F930B0B">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71B7121">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42CFA11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总氮</w:t>
                  </w:r>
                </w:p>
              </w:tc>
              <w:tc>
                <w:tcPr>
                  <w:tcW w:w="555" w:type="pct"/>
                  <w:vAlign w:val="center"/>
                </w:tcPr>
                <w:p w14:paraId="32636EE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0.111</w:t>
                  </w:r>
                </w:p>
              </w:tc>
              <w:tc>
                <w:tcPr>
                  <w:tcW w:w="558" w:type="pct"/>
                  <w:vAlign w:val="center"/>
                </w:tcPr>
                <w:p w14:paraId="2BA290A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35</w:t>
                  </w:r>
                </w:p>
              </w:tc>
              <w:tc>
                <w:tcPr>
                  <w:tcW w:w="1112" w:type="pct"/>
                  <w:vMerge w:val="continue"/>
                  <w:vAlign w:val="center"/>
                </w:tcPr>
                <w:p w14:paraId="169500E3">
                  <w:pPr>
                    <w:adjustRightInd w:val="0"/>
                    <w:snapToGrid w:val="0"/>
                    <w:jc w:val="center"/>
                    <w:rPr>
                      <w:bCs/>
                      <w:color w:val="000000" w:themeColor="text1"/>
                      <w:sz w:val="21"/>
                      <w:szCs w:val="21"/>
                      <w14:textFill>
                        <w14:solidFill>
                          <w14:schemeClr w14:val="tx1"/>
                        </w14:solidFill>
                      </w14:textFill>
                    </w:rPr>
                  </w:pPr>
                </w:p>
              </w:tc>
            </w:tr>
            <w:tr w14:paraId="05F4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25E8EEE1">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7421022E">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315D93C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总磷</w:t>
                  </w:r>
                </w:p>
              </w:tc>
              <w:tc>
                <w:tcPr>
                  <w:tcW w:w="555" w:type="pct"/>
                  <w:vAlign w:val="center"/>
                </w:tcPr>
                <w:p w14:paraId="6DF9FC1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0.013</w:t>
                  </w:r>
                </w:p>
              </w:tc>
              <w:tc>
                <w:tcPr>
                  <w:tcW w:w="558" w:type="pct"/>
                  <w:vAlign w:val="center"/>
                </w:tcPr>
                <w:p w14:paraId="2A4932A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w:t>
                  </w:r>
                </w:p>
              </w:tc>
              <w:tc>
                <w:tcPr>
                  <w:tcW w:w="1112" w:type="pct"/>
                  <w:vMerge w:val="continue"/>
                  <w:vAlign w:val="center"/>
                </w:tcPr>
                <w:p w14:paraId="55284BE3">
                  <w:pPr>
                    <w:adjustRightInd w:val="0"/>
                    <w:snapToGrid w:val="0"/>
                    <w:jc w:val="center"/>
                    <w:rPr>
                      <w:bCs/>
                      <w:color w:val="000000" w:themeColor="text1"/>
                      <w:sz w:val="21"/>
                      <w:szCs w:val="21"/>
                      <w14:textFill>
                        <w14:solidFill>
                          <w14:schemeClr w14:val="tx1"/>
                        </w14:solidFill>
                      </w14:textFill>
                    </w:rPr>
                  </w:pPr>
                </w:p>
              </w:tc>
            </w:tr>
            <w:tr w14:paraId="67BE7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05117D1A">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AF8FC4E">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0CF3F61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动植物油</w:t>
                  </w:r>
                </w:p>
              </w:tc>
              <w:tc>
                <w:tcPr>
                  <w:tcW w:w="555" w:type="pct"/>
                  <w:vAlign w:val="center"/>
                </w:tcPr>
                <w:p w14:paraId="0635456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0.38</w:t>
                  </w:r>
                </w:p>
              </w:tc>
              <w:tc>
                <w:tcPr>
                  <w:tcW w:w="558" w:type="pct"/>
                  <w:vAlign w:val="center"/>
                </w:tcPr>
                <w:p w14:paraId="44B3260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120</w:t>
                  </w:r>
                </w:p>
              </w:tc>
              <w:tc>
                <w:tcPr>
                  <w:tcW w:w="1112" w:type="pct"/>
                  <w:vMerge w:val="continue"/>
                  <w:vAlign w:val="center"/>
                </w:tcPr>
                <w:p w14:paraId="27C5BBB2">
                  <w:pPr>
                    <w:adjustRightInd w:val="0"/>
                    <w:snapToGrid w:val="0"/>
                    <w:jc w:val="center"/>
                    <w:rPr>
                      <w:bCs/>
                      <w:color w:val="000000" w:themeColor="text1"/>
                      <w:sz w:val="21"/>
                      <w:szCs w:val="21"/>
                      <w14:textFill>
                        <w14:solidFill>
                          <w14:schemeClr w14:val="tx1"/>
                        </w14:solidFill>
                      </w14:textFill>
                    </w:rPr>
                  </w:pPr>
                </w:p>
              </w:tc>
            </w:tr>
            <w:tr w14:paraId="51E5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restart"/>
                  <w:vAlign w:val="center"/>
                </w:tcPr>
                <w:p w14:paraId="103BACB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循环冷却水排水</w:t>
                  </w:r>
                </w:p>
              </w:tc>
              <w:tc>
                <w:tcPr>
                  <w:tcW w:w="846" w:type="pct"/>
                  <w:vMerge w:val="restart"/>
                  <w:vAlign w:val="center"/>
                </w:tcPr>
                <w:p w14:paraId="5C5D808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w:t>
                  </w:r>
                </w:p>
              </w:tc>
              <w:tc>
                <w:tcPr>
                  <w:tcW w:w="1243" w:type="pct"/>
                  <w:vAlign w:val="center"/>
                </w:tcPr>
                <w:p w14:paraId="0A18C70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w:t>
                  </w:r>
                </w:p>
              </w:tc>
              <w:tc>
                <w:tcPr>
                  <w:tcW w:w="555" w:type="pct"/>
                  <w:vAlign w:val="center"/>
                </w:tcPr>
                <w:p w14:paraId="73977D4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0.022</w:t>
                  </w:r>
                </w:p>
              </w:tc>
              <w:tc>
                <w:tcPr>
                  <w:tcW w:w="558" w:type="pct"/>
                  <w:vAlign w:val="center"/>
                </w:tcPr>
                <w:p w14:paraId="15AD052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300</w:t>
                  </w:r>
                </w:p>
              </w:tc>
              <w:tc>
                <w:tcPr>
                  <w:tcW w:w="1112" w:type="pct"/>
                  <w:vMerge w:val="continue"/>
                  <w:vAlign w:val="center"/>
                </w:tcPr>
                <w:p w14:paraId="29AC4BD1">
                  <w:pPr>
                    <w:adjustRightInd w:val="0"/>
                    <w:snapToGrid w:val="0"/>
                    <w:jc w:val="center"/>
                    <w:rPr>
                      <w:bCs/>
                      <w:color w:val="000000" w:themeColor="text1"/>
                      <w:sz w:val="21"/>
                      <w:szCs w:val="21"/>
                      <w14:textFill>
                        <w14:solidFill>
                          <w14:schemeClr w14:val="tx1"/>
                        </w14:solidFill>
                      </w14:textFill>
                    </w:rPr>
                  </w:pPr>
                </w:p>
              </w:tc>
            </w:tr>
            <w:tr w14:paraId="2FA98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66D96E6B">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3E6DFA0E">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1C1EB63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氨氮</w:t>
                  </w:r>
                </w:p>
              </w:tc>
              <w:tc>
                <w:tcPr>
                  <w:tcW w:w="555" w:type="pct"/>
                  <w:vAlign w:val="center"/>
                </w:tcPr>
                <w:p w14:paraId="6142231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0.003</w:t>
                  </w:r>
                </w:p>
              </w:tc>
              <w:tc>
                <w:tcPr>
                  <w:tcW w:w="558" w:type="pct"/>
                  <w:vAlign w:val="center"/>
                </w:tcPr>
                <w:p w14:paraId="414A116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35</w:t>
                  </w:r>
                </w:p>
              </w:tc>
              <w:tc>
                <w:tcPr>
                  <w:tcW w:w="1112" w:type="pct"/>
                  <w:vMerge w:val="continue"/>
                  <w:vAlign w:val="center"/>
                </w:tcPr>
                <w:p w14:paraId="5189D47C">
                  <w:pPr>
                    <w:adjustRightInd w:val="0"/>
                    <w:snapToGrid w:val="0"/>
                    <w:jc w:val="center"/>
                    <w:rPr>
                      <w:bCs/>
                      <w:color w:val="000000" w:themeColor="text1"/>
                      <w:sz w:val="21"/>
                      <w:szCs w:val="21"/>
                      <w14:textFill>
                        <w14:solidFill>
                          <w14:schemeClr w14:val="tx1"/>
                        </w14:solidFill>
                      </w14:textFill>
                    </w:rPr>
                  </w:pPr>
                </w:p>
              </w:tc>
            </w:tr>
            <w:tr w14:paraId="1ADAB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restart"/>
                  <w:vAlign w:val="center"/>
                </w:tcPr>
                <w:p w14:paraId="2686019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碱水喷淋塔排水</w:t>
                  </w:r>
                </w:p>
              </w:tc>
              <w:tc>
                <w:tcPr>
                  <w:tcW w:w="846" w:type="pct"/>
                  <w:vMerge w:val="restart"/>
                  <w:vAlign w:val="center"/>
                </w:tcPr>
                <w:p w14:paraId="740EC35A">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21.05</w:t>
                  </w:r>
                </w:p>
              </w:tc>
              <w:tc>
                <w:tcPr>
                  <w:tcW w:w="1980" w:type="dxa"/>
                  <w:vAlign w:val="center"/>
                </w:tcPr>
                <w:p w14:paraId="0324D62A">
                  <w:pPr>
                    <w:adjustRightInd w:val="0"/>
                    <w:snapToGrid w:val="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w:t>
                  </w:r>
                </w:p>
              </w:tc>
              <w:tc>
                <w:tcPr>
                  <w:tcW w:w="555" w:type="pct"/>
                  <w:vAlign w:val="center"/>
                </w:tcPr>
                <w:p w14:paraId="022CA048">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0.0006</w:t>
                  </w:r>
                </w:p>
              </w:tc>
              <w:tc>
                <w:tcPr>
                  <w:tcW w:w="558" w:type="pct"/>
                  <w:vAlign w:val="center"/>
                </w:tcPr>
                <w:p w14:paraId="2596F29B">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30</w:t>
                  </w:r>
                </w:p>
              </w:tc>
              <w:tc>
                <w:tcPr>
                  <w:tcW w:w="1112" w:type="pct"/>
                  <w:vMerge w:val="continue"/>
                  <w:vAlign w:val="center"/>
                </w:tcPr>
                <w:p w14:paraId="263B1CEF">
                  <w:pPr>
                    <w:adjustRightInd w:val="0"/>
                    <w:snapToGrid w:val="0"/>
                    <w:jc w:val="center"/>
                    <w:rPr>
                      <w:bCs/>
                      <w:color w:val="000000" w:themeColor="text1"/>
                      <w:sz w:val="21"/>
                      <w:szCs w:val="21"/>
                      <w14:textFill>
                        <w14:solidFill>
                          <w14:schemeClr w14:val="tx1"/>
                        </w14:solidFill>
                      </w14:textFill>
                    </w:rPr>
                  </w:pPr>
                </w:p>
              </w:tc>
            </w:tr>
            <w:tr w14:paraId="0E40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2826E671">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7BB4BD35">
                  <w:pPr>
                    <w:adjustRightInd w:val="0"/>
                    <w:snapToGrid w:val="0"/>
                    <w:jc w:val="center"/>
                    <w:rPr>
                      <w:bCs/>
                      <w:color w:val="000000" w:themeColor="text1"/>
                      <w:sz w:val="21"/>
                      <w:szCs w:val="21"/>
                      <w14:textFill>
                        <w14:solidFill>
                          <w14:schemeClr w14:val="tx1"/>
                        </w14:solidFill>
                      </w14:textFill>
                    </w:rPr>
                  </w:pPr>
                </w:p>
              </w:tc>
              <w:tc>
                <w:tcPr>
                  <w:tcW w:w="1980" w:type="dxa"/>
                  <w:vAlign w:val="center"/>
                </w:tcPr>
                <w:p w14:paraId="1EC9AC05">
                  <w:pPr>
                    <w:adjustRightInd w:val="0"/>
                    <w:snapToGrid w:val="0"/>
                    <w:jc w:val="center"/>
                    <w:rPr>
                      <w:rFonts w:hint="eastAsia"/>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氨氮</w:t>
                  </w:r>
                </w:p>
              </w:tc>
              <w:tc>
                <w:tcPr>
                  <w:tcW w:w="555" w:type="pct"/>
                  <w:vAlign w:val="center"/>
                </w:tcPr>
                <w:p w14:paraId="3BD9A52D">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0.0001</w:t>
                  </w:r>
                </w:p>
              </w:tc>
              <w:tc>
                <w:tcPr>
                  <w:tcW w:w="558" w:type="pct"/>
                  <w:vAlign w:val="center"/>
                </w:tcPr>
                <w:p w14:paraId="0965861B">
                  <w:pPr>
                    <w:adjustRightInd w:val="0"/>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w:t>
                  </w:r>
                </w:p>
              </w:tc>
              <w:tc>
                <w:tcPr>
                  <w:tcW w:w="1112" w:type="pct"/>
                  <w:vMerge w:val="continue"/>
                  <w:vAlign w:val="center"/>
                </w:tcPr>
                <w:p w14:paraId="47C1D0FD">
                  <w:pPr>
                    <w:adjustRightInd w:val="0"/>
                    <w:snapToGrid w:val="0"/>
                    <w:jc w:val="center"/>
                    <w:rPr>
                      <w:bCs/>
                      <w:color w:val="000000" w:themeColor="text1"/>
                      <w:sz w:val="21"/>
                      <w:szCs w:val="21"/>
                      <w14:textFill>
                        <w14:solidFill>
                          <w14:schemeClr w14:val="tx1"/>
                        </w14:solidFill>
                      </w14:textFill>
                    </w:rPr>
                  </w:pPr>
                </w:p>
              </w:tc>
            </w:tr>
            <w:tr w14:paraId="2D62C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restart"/>
                  <w:vAlign w:val="center"/>
                </w:tcPr>
                <w:p w14:paraId="164116C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综合废水</w:t>
                  </w:r>
                </w:p>
              </w:tc>
              <w:tc>
                <w:tcPr>
                  <w:tcW w:w="846" w:type="pct"/>
                  <w:vMerge w:val="restart"/>
                  <w:vAlign w:val="center"/>
                </w:tcPr>
                <w:p w14:paraId="5A12B51E">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32</w:t>
                  </w:r>
                  <w:r>
                    <w:rPr>
                      <w:rFonts w:hint="eastAsia"/>
                      <w:bCs/>
                      <w:color w:val="000000" w:themeColor="text1"/>
                      <w:sz w:val="21"/>
                      <w:szCs w:val="21"/>
                      <w:lang w:val="en-US" w:eastAsia="zh-CN"/>
                      <w14:textFill>
                        <w14:solidFill>
                          <w14:schemeClr w14:val="tx1"/>
                        </w14:solidFill>
                      </w14:textFill>
                    </w:rPr>
                    <w:t>61.05</w:t>
                  </w:r>
                </w:p>
              </w:tc>
              <w:tc>
                <w:tcPr>
                  <w:tcW w:w="1243" w:type="pct"/>
                  <w:vAlign w:val="center"/>
                </w:tcPr>
                <w:p w14:paraId="1ABB12E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pH</w:t>
                  </w:r>
                </w:p>
              </w:tc>
              <w:tc>
                <w:tcPr>
                  <w:tcW w:w="555" w:type="pct"/>
                  <w:vAlign w:val="center"/>
                </w:tcPr>
                <w:p w14:paraId="15D1A51B">
                  <w:pPr>
                    <w:adjustRightInd w:val="0"/>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w:t>
                  </w:r>
                </w:p>
              </w:tc>
              <w:tc>
                <w:tcPr>
                  <w:tcW w:w="558" w:type="pct"/>
                  <w:vAlign w:val="center"/>
                </w:tcPr>
                <w:p w14:paraId="26B7A73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6-9</w:t>
                  </w:r>
                </w:p>
              </w:tc>
              <w:tc>
                <w:tcPr>
                  <w:tcW w:w="1112" w:type="pct"/>
                  <w:vMerge w:val="continue"/>
                  <w:vAlign w:val="center"/>
                </w:tcPr>
                <w:p w14:paraId="6E96E1D6">
                  <w:pPr>
                    <w:adjustRightInd w:val="0"/>
                    <w:snapToGrid w:val="0"/>
                    <w:jc w:val="center"/>
                    <w:rPr>
                      <w:bCs/>
                      <w:color w:val="000000" w:themeColor="text1"/>
                      <w:sz w:val="21"/>
                      <w:szCs w:val="21"/>
                      <w14:textFill>
                        <w14:solidFill>
                          <w14:schemeClr w14:val="tx1"/>
                        </w14:solidFill>
                      </w14:textFill>
                    </w:rPr>
                  </w:pPr>
                </w:p>
              </w:tc>
            </w:tr>
            <w:tr w14:paraId="3E7A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4295CC7E">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7D2CDA7">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3D2824E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w:t>
                  </w:r>
                </w:p>
              </w:tc>
              <w:tc>
                <w:tcPr>
                  <w:tcW w:w="555" w:type="pct"/>
                  <w:vAlign w:val="center"/>
                </w:tcPr>
                <w:p w14:paraId="481CBCAF">
                  <w:pPr>
                    <w:adjustRightInd w:val="0"/>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1.131</w:t>
                  </w:r>
                  <w:r>
                    <w:rPr>
                      <w:rFonts w:hint="eastAsia"/>
                      <w:bCs/>
                      <w:color w:val="000000" w:themeColor="text1"/>
                      <w:sz w:val="21"/>
                      <w:szCs w:val="21"/>
                      <w:lang w:val="en-US" w:eastAsia="zh-CN"/>
                      <w14:textFill>
                        <w14:solidFill>
                          <w14:schemeClr w14:val="tx1"/>
                        </w14:solidFill>
                      </w14:textFill>
                    </w:rPr>
                    <w:t>6</w:t>
                  </w:r>
                </w:p>
              </w:tc>
              <w:tc>
                <w:tcPr>
                  <w:tcW w:w="558" w:type="pct"/>
                  <w:vAlign w:val="center"/>
                </w:tcPr>
                <w:p w14:paraId="117F6EB4">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34</w:t>
                  </w:r>
                  <w:r>
                    <w:rPr>
                      <w:rFonts w:hint="eastAsia"/>
                      <w:bCs/>
                      <w:color w:val="000000" w:themeColor="text1"/>
                      <w:sz w:val="21"/>
                      <w:szCs w:val="21"/>
                      <w:lang w:val="en-US" w:eastAsia="zh-CN"/>
                      <w14:textFill>
                        <w14:solidFill>
                          <w14:schemeClr w14:val="tx1"/>
                        </w14:solidFill>
                      </w14:textFill>
                    </w:rPr>
                    <w:t>7</w:t>
                  </w:r>
                </w:p>
              </w:tc>
              <w:tc>
                <w:tcPr>
                  <w:tcW w:w="1112" w:type="pct"/>
                  <w:vMerge w:val="continue"/>
                  <w:vAlign w:val="center"/>
                </w:tcPr>
                <w:p w14:paraId="60C69CCC">
                  <w:pPr>
                    <w:adjustRightInd w:val="0"/>
                    <w:snapToGrid w:val="0"/>
                    <w:jc w:val="center"/>
                    <w:rPr>
                      <w:bCs/>
                      <w:color w:val="000000" w:themeColor="text1"/>
                      <w:sz w:val="21"/>
                      <w:szCs w:val="21"/>
                      <w14:textFill>
                        <w14:solidFill>
                          <w14:schemeClr w14:val="tx1"/>
                        </w14:solidFill>
                      </w14:textFill>
                    </w:rPr>
                  </w:pPr>
                </w:p>
              </w:tc>
            </w:tr>
            <w:tr w14:paraId="753D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6D62D208">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3207984">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0FE2732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SS</w:t>
                  </w:r>
                </w:p>
              </w:tc>
              <w:tc>
                <w:tcPr>
                  <w:tcW w:w="555" w:type="pct"/>
                  <w:vAlign w:val="center"/>
                </w:tcPr>
                <w:p w14:paraId="7D6778F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0.634</w:t>
                  </w:r>
                </w:p>
              </w:tc>
              <w:tc>
                <w:tcPr>
                  <w:tcW w:w="558" w:type="pct"/>
                  <w:vAlign w:val="center"/>
                </w:tcPr>
                <w:p w14:paraId="05990450">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19</w:t>
                  </w:r>
                  <w:r>
                    <w:rPr>
                      <w:rFonts w:hint="eastAsia"/>
                      <w:bCs/>
                      <w:color w:val="000000" w:themeColor="text1"/>
                      <w:sz w:val="21"/>
                      <w:szCs w:val="21"/>
                      <w:lang w:val="en-US" w:eastAsia="zh-CN"/>
                      <w14:textFill>
                        <w14:solidFill>
                          <w14:schemeClr w14:val="tx1"/>
                        </w14:solidFill>
                      </w14:textFill>
                    </w:rPr>
                    <w:t>4.42</w:t>
                  </w:r>
                </w:p>
              </w:tc>
              <w:tc>
                <w:tcPr>
                  <w:tcW w:w="1112" w:type="pct"/>
                  <w:vMerge w:val="continue"/>
                  <w:vAlign w:val="center"/>
                </w:tcPr>
                <w:p w14:paraId="5A471D58">
                  <w:pPr>
                    <w:adjustRightInd w:val="0"/>
                    <w:snapToGrid w:val="0"/>
                    <w:jc w:val="center"/>
                    <w:rPr>
                      <w:bCs/>
                      <w:color w:val="000000" w:themeColor="text1"/>
                      <w:sz w:val="21"/>
                      <w:szCs w:val="21"/>
                      <w14:textFill>
                        <w14:solidFill>
                          <w14:schemeClr w14:val="tx1"/>
                        </w14:solidFill>
                      </w14:textFill>
                    </w:rPr>
                  </w:pPr>
                </w:p>
              </w:tc>
            </w:tr>
            <w:tr w14:paraId="4B27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583869B8">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073CAEE9">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3E0EC5C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氨氮</w:t>
                  </w:r>
                </w:p>
              </w:tc>
              <w:tc>
                <w:tcPr>
                  <w:tcW w:w="555" w:type="pct"/>
                  <w:vAlign w:val="center"/>
                </w:tcPr>
                <w:p w14:paraId="57C773A2">
                  <w:pPr>
                    <w:adjustRightInd w:val="0"/>
                    <w:snapToGrid w:val="0"/>
                    <w:jc w:val="center"/>
                    <w:rPr>
                      <w:rFonts w:hint="eastAsia"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0.082</w:t>
                  </w:r>
                  <w:r>
                    <w:rPr>
                      <w:rFonts w:hint="eastAsia"/>
                      <w:bCs/>
                      <w:color w:val="000000" w:themeColor="text1"/>
                      <w:sz w:val="21"/>
                      <w:szCs w:val="21"/>
                      <w:lang w:val="en-US" w:eastAsia="zh-CN"/>
                      <w14:textFill>
                        <w14:solidFill>
                          <w14:schemeClr w14:val="tx1"/>
                        </w14:solidFill>
                      </w14:textFill>
                    </w:rPr>
                    <w:t>1</w:t>
                  </w:r>
                </w:p>
              </w:tc>
              <w:tc>
                <w:tcPr>
                  <w:tcW w:w="558" w:type="pct"/>
                  <w:vAlign w:val="center"/>
                </w:tcPr>
                <w:p w14:paraId="19ABFB1A">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25.</w:t>
                  </w:r>
                  <w:r>
                    <w:rPr>
                      <w:rFonts w:hint="eastAsia"/>
                      <w:bCs/>
                      <w:color w:val="000000" w:themeColor="text1"/>
                      <w:sz w:val="21"/>
                      <w:szCs w:val="21"/>
                      <w:lang w:val="en-US" w:eastAsia="zh-CN"/>
                      <w14:textFill>
                        <w14:solidFill>
                          <w14:schemeClr w14:val="tx1"/>
                        </w14:solidFill>
                      </w14:textFill>
                    </w:rPr>
                    <w:t>18</w:t>
                  </w:r>
                </w:p>
              </w:tc>
              <w:tc>
                <w:tcPr>
                  <w:tcW w:w="1112" w:type="pct"/>
                  <w:vMerge w:val="continue"/>
                  <w:vAlign w:val="center"/>
                </w:tcPr>
                <w:p w14:paraId="75CCC179">
                  <w:pPr>
                    <w:adjustRightInd w:val="0"/>
                    <w:snapToGrid w:val="0"/>
                    <w:jc w:val="center"/>
                    <w:rPr>
                      <w:bCs/>
                      <w:color w:val="000000" w:themeColor="text1"/>
                      <w:sz w:val="21"/>
                      <w:szCs w:val="21"/>
                      <w14:textFill>
                        <w14:solidFill>
                          <w14:schemeClr w14:val="tx1"/>
                        </w14:solidFill>
                      </w14:textFill>
                    </w:rPr>
                  </w:pPr>
                </w:p>
              </w:tc>
            </w:tr>
            <w:tr w14:paraId="325A6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3CA32E93">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5B3E91C5">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0A6B20A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总氮</w:t>
                  </w:r>
                </w:p>
              </w:tc>
              <w:tc>
                <w:tcPr>
                  <w:tcW w:w="555" w:type="pct"/>
                  <w:vAlign w:val="center"/>
                </w:tcPr>
                <w:p w14:paraId="4ACFE08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0.111</w:t>
                  </w:r>
                </w:p>
              </w:tc>
              <w:tc>
                <w:tcPr>
                  <w:tcW w:w="558" w:type="pct"/>
                  <w:vAlign w:val="center"/>
                </w:tcPr>
                <w:p w14:paraId="23E5C103">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34.</w:t>
                  </w:r>
                  <w:r>
                    <w:rPr>
                      <w:rFonts w:hint="eastAsia"/>
                      <w:bCs/>
                      <w:color w:val="000000" w:themeColor="text1"/>
                      <w:sz w:val="21"/>
                      <w:szCs w:val="21"/>
                      <w:lang w:val="en-US" w:eastAsia="zh-CN"/>
                      <w14:textFill>
                        <w14:solidFill>
                          <w14:schemeClr w14:val="tx1"/>
                        </w14:solidFill>
                      </w14:textFill>
                    </w:rPr>
                    <w:t>04</w:t>
                  </w:r>
                </w:p>
              </w:tc>
              <w:tc>
                <w:tcPr>
                  <w:tcW w:w="1112" w:type="pct"/>
                  <w:vMerge w:val="continue"/>
                  <w:vAlign w:val="center"/>
                </w:tcPr>
                <w:p w14:paraId="402A5061">
                  <w:pPr>
                    <w:adjustRightInd w:val="0"/>
                    <w:snapToGrid w:val="0"/>
                    <w:jc w:val="center"/>
                    <w:rPr>
                      <w:bCs/>
                      <w:color w:val="000000" w:themeColor="text1"/>
                      <w:sz w:val="21"/>
                      <w:szCs w:val="21"/>
                      <w14:textFill>
                        <w14:solidFill>
                          <w14:schemeClr w14:val="tx1"/>
                        </w14:solidFill>
                      </w14:textFill>
                    </w:rPr>
                  </w:pPr>
                </w:p>
              </w:tc>
            </w:tr>
            <w:tr w14:paraId="4418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521D6206">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4C46681B">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4414AB2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总磷</w:t>
                  </w:r>
                </w:p>
              </w:tc>
              <w:tc>
                <w:tcPr>
                  <w:tcW w:w="555" w:type="pct"/>
                  <w:vAlign w:val="center"/>
                </w:tcPr>
                <w:p w14:paraId="67F7AF3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0.013</w:t>
                  </w:r>
                </w:p>
              </w:tc>
              <w:tc>
                <w:tcPr>
                  <w:tcW w:w="558" w:type="pct"/>
                  <w:vAlign w:val="center"/>
                </w:tcPr>
                <w:p w14:paraId="240ACBD2">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3.99</w:t>
                  </w:r>
                </w:p>
              </w:tc>
              <w:tc>
                <w:tcPr>
                  <w:tcW w:w="1112" w:type="pct"/>
                  <w:vMerge w:val="continue"/>
                  <w:vAlign w:val="center"/>
                </w:tcPr>
                <w:p w14:paraId="4D39F927">
                  <w:pPr>
                    <w:adjustRightInd w:val="0"/>
                    <w:snapToGrid w:val="0"/>
                    <w:jc w:val="center"/>
                    <w:rPr>
                      <w:bCs/>
                      <w:color w:val="000000" w:themeColor="text1"/>
                      <w:sz w:val="21"/>
                      <w:szCs w:val="21"/>
                      <w14:textFill>
                        <w14:solidFill>
                          <w14:schemeClr w14:val="tx1"/>
                        </w14:solidFill>
                      </w14:textFill>
                    </w:rPr>
                  </w:pPr>
                </w:p>
              </w:tc>
            </w:tr>
            <w:tr w14:paraId="7D5D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85" w:type="pct"/>
                  <w:vMerge w:val="continue"/>
                  <w:vAlign w:val="center"/>
                </w:tcPr>
                <w:p w14:paraId="6BABFFC5">
                  <w:pPr>
                    <w:adjustRightInd w:val="0"/>
                    <w:snapToGrid w:val="0"/>
                    <w:jc w:val="center"/>
                    <w:rPr>
                      <w:bCs/>
                      <w:color w:val="000000" w:themeColor="text1"/>
                      <w:sz w:val="21"/>
                      <w:szCs w:val="21"/>
                      <w14:textFill>
                        <w14:solidFill>
                          <w14:schemeClr w14:val="tx1"/>
                        </w14:solidFill>
                      </w14:textFill>
                    </w:rPr>
                  </w:pPr>
                </w:p>
              </w:tc>
              <w:tc>
                <w:tcPr>
                  <w:tcW w:w="846" w:type="pct"/>
                  <w:vMerge w:val="continue"/>
                  <w:vAlign w:val="center"/>
                </w:tcPr>
                <w:p w14:paraId="4080185C">
                  <w:pPr>
                    <w:adjustRightInd w:val="0"/>
                    <w:snapToGrid w:val="0"/>
                    <w:jc w:val="center"/>
                    <w:rPr>
                      <w:bCs/>
                      <w:color w:val="000000" w:themeColor="text1"/>
                      <w:sz w:val="21"/>
                      <w:szCs w:val="21"/>
                      <w14:textFill>
                        <w14:solidFill>
                          <w14:schemeClr w14:val="tx1"/>
                        </w14:solidFill>
                      </w14:textFill>
                    </w:rPr>
                  </w:pPr>
                </w:p>
              </w:tc>
              <w:tc>
                <w:tcPr>
                  <w:tcW w:w="1243" w:type="pct"/>
                  <w:vAlign w:val="center"/>
                </w:tcPr>
                <w:p w14:paraId="0D335B9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动植物油</w:t>
                  </w:r>
                </w:p>
              </w:tc>
              <w:tc>
                <w:tcPr>
                  <w:tcW w:w="555" w:type="pct"/>
                  <w:vAlign w:val="center"/>
                </w:tcPr>
                <w:p w14:paraId="064C6A8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0.38</w:t>
                  </w:r>
                </w:p>
              </w:tc>
              <w:tc>
                <w:tcPr>
                  <w:tcW w:w="558" w:type="pct"/>
                  <w:vAlign w:val="center"/>
                </w:tcPr>
                <w:p w14:paraId="3C9E530B">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11</w:t>
                  </w:r>
                  <w:r>
                    <w:rPr>
                      <w:rFonts w:hint="eastAsia"/>
                      <w:bCs/>
                      <w:color w:val="000000" w:themeColor="text1"/>
                      <w:sz w:val="21"/>
                      <w:szCs w:val="21"/>
                      <w:lang w:val="en-US" w:eastAsia="zh-CN"/>
                      <w14:textFill>
                        <w14:solidFill>
                          <w14:schemeClr w14:val="tx1"/>
                        </w14:solidFill>
                      </w14:textFill>
                    </w:rPr>
                    <w:t>6.53</w:t>
                  </w:r>
                </w:p>
              </w:tc>
              <w:tc>
                <w:tcPr>
                  <w:tcW w:w="1112" w:type="pct"/>
                  <w:vMerge w:val="continue"/>
                  <w:vAlign w:val="center"/>
                </w:tcPr>
                <w:p w14:paraId="20E49CB9">
                  <w:pPr>
                    <w:adjustRightInd w:val="0"/>
                    <w:snapToGrid w:val="0"/>
                    <w:jc w:val="center"/>
                    <w:rPr>
                      <w:bCs/>
                      <w:color w:val="000000" w:themeColor="text1"/>
                      <w:sz w:val="21"/>
                      <w:szCs w:val="21"/>
                      <w14:textFill>
                        <w14:solidFill>
                          <w14:schemeClr w14:val="tx1"/>
                        </w14:solidFill>
                      </w14:textFill>
                    </w:rPr>
                  </w:pPr>
                </w:p>
              </w:tc>
            </w:tr>
          </w:tbl>
          <w:p w14:paraId="35A1A20C">
            <w:pPr>
              <w:pStyle w:val="8"/>
              <w:rPr>
                <w:color w:val="000000" w:themeColor="text1"/>
                <w14:textFill>
                  <w14:solidFill>
                    <w14:schemeClr w14:val="tx1"/>
                  </w14:solidFill>
                </w14:textFill>
              </w:rPr>
            </w:pPr>
          </w:p>
          <w:p w14:paraId="6A1F628E">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4.2.2-1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项目废水产生及排放情况一览表</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
              <w:gridCol w:w="650"/>
              <w:gridCol w:w="664"/>
              <w:gridCol w:w="771"/>
              <w:gridCol w:w="612"/>
              <w:gridCol w:w="770"/>
              <w:gridCol w:w="668"/>
              <w:gridCol w:w="854"/>
              <w:gridCol w:w="857"/>
              <w:gridCol w:w="857"/>
              <w:gridCol w:w="857"/>
            </w:tblGrid>
            <w:tr w14:paraId="7CAD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restart"/>
                  <w:vAlign w:val="center"/>
                </w:tcPr>
                <w:p w14:paraId="5114CA69">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污染物名称</w:t>
                  </w:r>
                </w:p>
              </w:tc>
              <w:tc>
                <w:tcPr>
                  <w:tcW w:w="408" w:type="pct"/>
                  <w:vMerge w:val="restart"/>
                  <w:vAlign w:val="center"/>
                </w:tcPr>
                <w:p w14:paraId="25A5FC6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w:t>
                  </w:r>
                </w:p>
              </w:tc>
              <w:tc>
                <w:tcPr>
                  <w:tcW w:w="901" w:type="pct"/>
                  <w:gridSpan w:val="2"/>
                  <w:vAlign w:val="center"/>
                </w:tcPr>
                <w:p w14:paraId="6BD0E896">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产生情况</w:t>
                  </w:r>
                </w:p>
              </w:tc>
              <w:tc>
                <w:tcPr>
                  <w:tcW w:w="384" w:type="pct"/>
                  <w:vMerge w:val="restart"/>
                  <w:vAlign w:val="center"/>
                </w:tcPr>
                <w:p w14:paraId="4877B54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处理措施</w:t>
                  </w:r>
                </w:p>
              </w:tc>
              <w:tc>
                <w:tcPr>
                  <w:tcW w:w="902" w:type="pct"/>
                  <w:gridSpan w:val="2"/>
                  <w:vAlign w:val="center"/>
                </w:tcPr>
                <w:p w14:paraId="33726F7C">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接管情况</w:t>
                  </w:r>
                </w:p>
              </w:tc>
              <w:tc>
                <w:tcPr>
                  <w:tcW w:w="536" w:type="pct"/>
                  <w:vMerge w:val="restart"/>
                  <w:vAlign w:val="center"/>
                </w:tcPr>
                <w:p w14:paraId="482BCA34">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企业</w:t>
                  </w:r>
                  <w:r>
                    <w:rPr>
                      <w:rFonts w:hint="eastAsia"/>
                      <w:b/>
                      <w:color w:val="000000" w:themeColor="text1"/>
                      <w:sz w:val="21"/>
                      <w:szCs w:val="21"/>
                      <w:lang w:val="en-US" w:eastAsia="zh-CN"/>
                      <w14:textFill>
                        <w14:solidFill>
                          <w14:schemeClr w14:val="tx1"/>
                        </w14:solidFill>
                      </w14:textFill>
                    </w:rPr>
                    <w:t>总</w:t>
                  </w:r>
                  <w:r>
                    <w:rPr>
                      <w:rFonts w:hint="eastAsia"/>
                      <w:b/>
                      <w:color w:val="000000" w:themeColor="text1"/>
                      <w:sz w:val="21"/>
                      <w:szCs w:val="21"/>
                      <w14:textFill>
                        <w14:solidFill>
                          <w14:schemeClr w14:val="tx1"/>
                        </w14:solidFill>
                      </w14:textFill>
                    </w:rPr>
                    <w:t>排口</w:t>
                  </w:r>
                  <w:r>
                    <w:rPr>
                      <w:rFonts w:hint="eastAsia"/>
                      <w:b/>
                      <w:color w:val="000000" w:themeColor="text1"/>
                      <w:sz w:val="21"/>
                      <w:szCs w:val="21"/>
                      <w:lang w:val="en-US" w:eastAsia="zh-CN"/>
                      <w14:textFill>
                        <w14:solidFill>
                          <w14:schemeClr w14:val="tx1"/>
                        </w14:solidFill>
                      </w14:textFill>
                    </w:rPr>
                    <w:t>排放</w:t>
                  </w:r>
                  <w:r>
                    <w:rPr>
                      <w:rFonts w:hint="eastAsia"/>
                      <w:b/>
                      <w:color w:val="000000" w:themeColor="text1"/>
                      <w:sz w:val="21"/>
                      <w:szCs w:val="21"/>
                      <w14:textFill>
                        <w14:solidFill>
                          <w14:schemeClr w14:val="tx1"/>
                        </w14:solidFill>
                      </w14:textFill>
                    </w:rPr>
                    <w:t>标准mg/L</w:t>
                  </w:r>
                </w:p>
              </w:tc>
              <w:tc>
                <w:tcPr>
                  <w:tcW w:w="538" w:type="pct"/>
                  <w:vMerge w:val="restart"/>
                  <w:vAlign w:val="center"/>
                </w:tcPr>
                <w:p w14:paraId="52F904C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排放去向</w:t>
                  </w:r>
                </w:p>
              </w:tc>
              <w:tc>
                <w:tcPr>
                  <w:tcW w:w="538" w:type="pct"/>
                  <w:vMerge w:val="restart"/>
                  <w:vAlign w:val="center"/>
                </w:tcPr>
                <w:p w14:paraId="363948F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排放浓度mg/L</w:t>
                  </w:r>
                </w:p>
              </w:tc>
              <w:tc>
                <w:tcPr>
                  <w:tcW w:w="538" w:type="pct"/>
                  <w:vMerge w:val="restart"/>
                  <w:vAlign w:val="center"/>
                </w:tcPr>
                <w:p w14:paraId="4EB1238A">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排入外环境量t/a</w:t>
                  </w:r>
                </w:p>
              </w:tc>
            </w:tr>
            <w:tr w14:paraId="25AF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1FE22AC6">
                  <w:pPr>
                    <w:adjustRightInd w:val="0"/>
                    <w:snapToGrid w:val="0"/>
                    <w:jc w:val="center"/>
                    <w:rPr>
                      <w:b/>
                      <w:color w:val="000000" w:themeColor="text1"/>
                      <w:sz w:val="21"/>
                      <w:szCs w:val="21"/>
                      <w14:textFill>
                        <w14:solidFill>
                          <w14:schemeClr w14:val="tx1"/>
                        </w14:solidFill>
                      </w14:textFill>
                    </w:rPr>
                  </w:pPr>
                </w:p>
              </w:tc>
              <w:tc>
                <w:tcPr>
                  <w:tcW w:w="408" w:type="pct"/>
                  <w:vMerge w:val="continue"/>
                  <w:vAlign w:val="center"/>
                </w:tcPr>
                <w:p w14:paraId="428FB8A2">
                  <w:pPr>
                    <w:adjustRightInd w:val="0"/>
                    <w:snapToGrid w:val="0"/>
                    <w:jc w:val="center"/>
                    <w:rPr>
                      <w:b/>
                      <w:color w:val="000000" w:themeColor="text1"/>
                      <w:sz w:val="21"/>
                      <w:szCs w:val="21"/>
                      <w14:textFill>
                        <w14:solidFill>
                          <w14:schemeClr w14:val="tx1"/>
                        </w14:solidFill>
                      </w14:textFill>
                    </w:rPr>
                  </w:pPr>
                </w:p>
              </w:tc>
              <w:tc>
                <w:tcPr>
                  <w:tcW w:w="417" w:type="pct"/>
                  <w:vAlign w:val="center"/>
                </w:tcPr>
                <w:p w14:paraId="1EAAFC5D">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产生量t/a</w:t>
                  </w:r>
                </w:p>
              </w:tc>
              <w:tc>
                <w:tcPr>
                  <w:tcW w:w="484" w:type="pct"/>
                  <w:vAlign w:val="center"/>
                </w:tcPr>
                <w:p w14:paraId="20A049A3">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浓度mg/L</w:t>
                  </w:r>
                </w:p>
              </w:tc>
              <w:tc>
                <w:tcPr>
                  <w:tcW w:w="384" w:type="pct"/>
                  <w:vMerge w:val="continue"/>
                  <w:vAlign w:val="center"/>
                </w:tcPr>
                <w:p w14:paraId="4035C17D">
                  <w:pPr>
                    <w:adjustRightInd w:val="0"/>
                    <w:snapToGrid w:val="0"/>
                    <w:jc w:val="center"/>
                    <w:rPr>
                      <w:b/>
                      <w:color w:val="000000" w:themeColor="text1"/>
                      <w:sz w:val="21"/>
                      <w:szCs w:val="21"/>
                      <w14:textFill>
                        <w14:solidFill>
                          <w14:schemeClr w14:val="tx1"/>
                        </w14:solidFill>
                      </w14:textFill>
                    </w:rPr>
                  </w:pPr>
                </w:p>
              </w:tc>
              <w:tc>
                <w:tcPr>
                  <w:tcW w:w="483" w:type="pct"/>
                  <w:vAlign w:val="center"/>
                </w:tcPr>
                <w:p w14:paraId="694CB8F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浓度mg/L</w:t>
                  </w:r>
                </w:p>
              </w:tc>
              <w:tc>
                <w:tcPr>
                  <w:tcW w:w="418" w:type="pct"/>
                  <w:vAlign w:val="center"/>
                </w:tcPr>
                <w:p w14:paraId="3F61C74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排放量t/a</w:t>
                  </w:r>
                </w:p>
              </w:tc>
              <w:tc>
                <w:tcPr>
                  <w:tcW w:w="536" w:type="pct"/>
                  <w:vMerge w:val="continue"/>
                  <w:vAlign w:val="center"/>
                </w:tcPr>
                <w:p w14:paraId="2526FB49">
                  <w:pPr>
                    <w:adjustRightInd w:val="0"/>
                    <w:snapToGrid w:val="0"/>
                    <w:jc w:val="center"/>
                    <w:rPr>
                      <w:b/>
                      <w:color w:val="000000" w:themeColor="text1"/>
                      <w:sz w:val="21"/>
                      <w:szCs w:val="21"/>
                      <w14:textFill>
                        <w14:solidFill>
                          <w14:schemeClr w14:val="tx1"/>
                        </w14:solidFill>
                      </w14:textFill>
                    </w:rPr>
                  </w:pPr>
                </w:p>
              </w:tc>
              <w:tc>
                <w:tcPr>
                  <w:tcW w:w="538" w:type="pct"/>
                  <w:vMerge w:val="continue"/>
                  <w:vAlign w:val="center"/>
                </w:tcPr>
                <w:p w14:paraId="6382E919">
                  <w:pPr>
                    <w:adjustRightInd w:val="0"/>
                    <w:snapToGrid w:val="0"/>
                    <w:jc w:val="center"/>
                    <w:rPr>
                      <w:b/>
                      <w:color w:val="000000" w:themeColor="text1"/>
                      <w:sz w:val="21"/>
                      <w:szCs w:val="21"/>
                      <w14:textFill>
                        <w14:solidFill>
                          <w14:schemeClr w14:val="tx1"/>
                        </w14:solidFill>
                      </w14:textFill>
                    </w:rPr>
                  </w:pPr>
                </w:p>
              </w:tc>
              <w:tc>
                <w:tcPr>
                  <w:tcW w:w="538" w:type="pct"/>
                  <w:vMerge w:val="continue"/>
                  <w:vAlign w:val="center"/>
                </w:tcPr>
                <w:p w14:paraId="30354C29">
                  <w:pPr>
                    <w:adjustRightInd w:val="0"/>
                    <w:snapToGrid w:val="0"/>
                    <w:jc w:val="center"/>
                    <w:rPr>
                      <w:b/>
                      <w:color w:val="000000" w:themeColor="text1"/>
                      <w:sz w:val="21"/>
                      <w:szCs w:val="21"/>
                      <w14:textFill>
                        <w14:solidFill>
                          <w14:schemeClr w14:val="tx1"/>
                        </w14:solidFill>
                      </w14:textFill>
                    </w:rPr>
                  </w:pPr>
                </w:p>
              </w:tc>
              <w:tc>
                <w:tcPr>
                  <w:tcW w:w="538" w:type="pct"/>
                  <w:vMerge w:val="continue"/>
                  <w:vAlign w:val="center"/>
                </w:tcPr>
                <w:p w14:paraId="07B77FD7">
                  <w:pPr>
                    <w:adjustRightInd w:val="0"/>
                    <w:snapToGrid w:val="0"/>
                    <w:jc w:val="center"/>
                    <w:rPr>
                      <w:b/>
                      <w:color w:val="000000" w:themeColor="text1"/>
                      <w:sz w:val="21"/>
                      <w:szCs w:val="21"/>
                      <w14:textFill>
                        <w14:solidFill>
                          <w14:schemeClr w14:val="tx1"/>
                        </w14:solidFill>
                      </w14:textFill>
                    </w:rPr>
                  </w:pPr>
                </w:p>
              </w:tc>
            </w:tr>
            <w:tr w14:paraId="1485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restart"/>
                  <w:vAlign w:val="center"/>
                </w:tcPr>
                <w:p w14:paraId="6BBF57B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综合废水</w:t>
                  </w:r>
                </w:p>
              </w:tc>
              <w:tc>
                <w:tcPr>
                  <w:tcW w:w="408" w:type="pct"/>
                  <w:vAlign w:val="center"/>
                </w:tcPr>
                <w:p w14:paraId="2695A87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废水量</w:t>
                  </w:r>
                </w:p>
              </w:tc>
              <w:tc>
                <w:tcPr>
                  <w:tcW w:w="901" w:type="pct"/>
                  <w:gridSpan w:val="2"/>
                  <w:vAlign w:val="center"/>
                </w:tcPr>
                <w:p w14:paraId="566D40C9">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32</w:t>
                  </w:r>
                  <w:r>
                    <w:rPr>
                      <w:rFonts w:hint="eastAsia"/>
                      <w:bCs/>
                      <w:color w:val="000000" w:themeColor="text1"/>
                      <w:sz w:val="21"/>
                      <w:szCs w:val="21"/>
                      <w:lang w:val="en-US" w:eastAsia="zh-CN"/>
                      <w14:textFill>
                        <w14:solidFill>
                          <w14:schemeClr w14:val="tx1"/>
                        </w14:solidFill>
                      </w14:textFill>
                    </w:rPr>
                    <w:t>61.05</w:t>
                  </w:r>
                </w:p>
              </w:tc>
              <w:tc>
                <w:tcPr>
                  <w:tcW w:w="384" w:type="pct"/>
                  <w:vMerge w:val="restart"/>
                  <w:vAlign w:val="center"/>
                </w:tcPr>
                <w:p w14:paraId="385B518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依托厂区化粪池、隔油池处理</w:t>
                  </w:r>
                </w:p>
              </w:tc>
              <w:tc>
                <w:tcPr>
                  <w:tcW w:w="902" w:type="pct"/>
                  <w:gridSpan w:val="2"/>
                  <w:vAlign w:val="center"/>
                </w:tcPr>
                <w:p w14:paraId="2252D70C">
                  <w:pPr>
                    <w:adjustRightInd w:val="0"/>
                    <w:snapToGrid w:val="0"/>
                    <w:jc w:val="center"/>
                    <w:rPr>
                      <w:rFonts w:hint="default" w:eastAsia="宋体"/>
                      <w:b/>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32</w:t>
                  </w:r>
                  <w:r>
                    <w:rPr>
                      <w:rFonts w:hint="eastAsia"/>
                      <w:bCs/>
                      <w:color w:val="000000" w:themeColor="text1"/>
                      <w:sz w:val="21"/>
                      <w:szCs w:val="21"/>
                      <w:lang w:val="en-US" w:eastAsia="zh-CN"/>
                      <w14:textFill>
                        <w14:solidFill>
                          <w14:schemeClr w14:val="tx1"/>
                        </w14:solidFill>
                      </w14:textFill>
                    </w:rPr>
                    <w:t>61.05</w:t>
                  </w:r>
                </w:p>
              </w:tc>
              <w:tc>
                <w:tcPr>
                  <w:tcW w:w="536" w:type="pct"/>
                  <w:vAlign w:val="center"/>
                </w:tcPr>
                <w:p w14:paraId="5F10B3A3">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w:t>
                  </w:r>
                </w:p>
              </w:tc>
              <w:tc>
                <w:tcPr>
                  <w:tcW w:w="538" w:type="pct"/>
                  <w:vMerge w:val="restart"/>
                  <w:vAlign w:val="center"/>
                </w:tcPr>
                <w:p w14:paraId="1EC84A9C">
                  <w:pPr>
                    <w:adjustRightInd w:val="0"/>
                    <w:snapToGrid w:val="0"/>
                    <w:jc w:val="center"/>
                    <w:rPr>
                      <w:b/>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淮南经济技术开发区工业污水处理厂</w:t>
                  </w:r>
                </w:p>
              </w:tc>
              <w:tc>
                <w:tcPr>
                  <w:tcW w:w="1076" w:type="pct"/>
                  <w:gridSpan w:val="2"/>
                  <w:vAlign w:val="center"/>
                </w:tcPr>
                <w:p w14:paraId="04E306B6">
                  <w:pPr>
                    <w:adjustRightInd w:val="0"/>
                    <w:snapToGrid w:val="0"/>
                    <w:jc w:val="center"/>
                    <w:rPr>
                      <w:rFonts w:hint="default" w:eastAsia="宋体"/>
                      <w:b/>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32</w:t>
                  </w:r>
                  <w:r>
                    <w:rPr>
                      <w:rFonts w:hint="eastAsia"/>
                      <w:bCs/>
                      <w:color w:val="000000" w:themeColor="text1"/>
                      <w:sz w:val="21"/>
                      <w:szCs w:val="21"/>
                      <w:lang w:val="en-US" w:eastAsia="zh-CN"/>
                      <w14:textFill>
                        <w14:solidFill>
                          <w14:schemeClr w14:val="tx1"/>
                        </w14:solidFill>
                      </w14:textFill>
                    </w:rPr>
                    <w:t>61.05</w:t>
                  </w:r>
                </w:p>
              </w:tc>
            </w:tr>
            <w:tr w14:paraId="7681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52E5488C">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411CF72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w:t>
                  </w:r>
                </w:p>
              </w:tc>
              <w:tc>
                <w:tcPr>
                  <w:tcW w:w="664" w:type="dxa"/>
                  <w:vAlign w:val="center"/>
                </w:tcPr>
                <w:p w14:paraId="0F427A4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1.131</w:t>
                  </w:r>
                  <w:r>
                    <w:rPr>
                      <w:rFonts w:hint="eastAsia"/>
                      <w:bCs/>
                      <w:color w:val="000000" w:themeColor="text1"/>
                      <w:sz w:val="21"/>
                      <w:szCs w:val="21"/>
                      <w:lang w:val="en-US" w:eastAsia="zh-CN"/>
                      <w14:textFill>
                        <w14:solidFill>
                          <w14:schemeClr w14:val="tx1"/>
                        </w14:solidFill>
                      </w14:textFill>
                    </w:rPr>
                    <w:t>6</w:t>
                  </w:r>
                </w:p>
              </w:tc>
              <w:tc>
                <w:tcPr>
                  <w:tcW w:w="771" w:type="dxa"/>
                  <w:vAlign w:val="center"/>
                </w:tcPr>
                <w:p w14:paraId="0459808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34</w:t>
                  </w:r>
                  <w:r>
                    <w:rPr>
                      <w:rFonts w:hint="eastAsia"/>
                      <w:bCs/>
                      <w:color w:val="000000" w:themeColor="text1"/>
                      <w:sz w:val="21"/>
                      <w:szCs w:val="21"/>
                      <w:lang w:val="en-US" w:eastAsia="zh-CN"/>
                      <w14:textFill>
                        <w14:solidFill>
                          <w14:schemeClr w14:val="tx1"/>
                        </w14:solidFill>
                      </w14:textFill>
                    </w:rPr>
                    <w:t>7</w:t>
                  </w:r>
                </w:p>
              </w:tc>
              <w:tc>
                <w:tcPr>
                  <w:tcW w:w="384" w:type="pct"/>
                  <w:vMerge w:val="continue"/>
                  <w:vAlign w:val="center"/>
                </w:tcPr>
                <w:p w14:paraId="78A3D417">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400C6087">
                  <w:pPr>
                    <w:adjustRightInd w:val="0"/>
                    <w:snapToGrid w:val="0"/>
                    <w:jc w:val="center"/>
                    <w:rPr>
                      <w:rFonts w:hint="default"/>
                      <w:bCs/>
                      <w:color w:val="000000" w:themeColor="text1"/>
                      <w:sz w:val="21"/>
                      <w:szCs w:val="21"/>
                      <w:lang w:val="en-US"/>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347</w:t>
                  </w:r>
                </w:p>
              </w:tc>
              <w:tc>
                <w:tcPr>
                  <w:tcW w:w="418" w:type="pct"/>
                  <w:vAlign w:val="center"/>
                </w:tcPr>
                <w:p w14:paraId="35E003B8">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1.1316</w:t>
                  </w:r>
                </w:p>
              </w:tc>
              <w:tc>
                <w:tcPr>
                  <w:tcW w:w="536" w:type="pct"/>
                  <w:vAlign w:val="center"/>
                </w:tcPr>
                <w:p w14:paraId="6DFB7A2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w:t>
                  </w:r>
                  <w:r>
                    <w:rPr>
                      <w:rFonts w:hint="eastAsia"/>
                      <w:bCs/>
                      <w:color w:val="000000" w:themeColor="text1"/>
                      <w:sz w:val="21"/>
                      <w:szCs w:val="21"/>
                      <w14:textFill>
                        <w14:solidFill>
                          <w14:schemeClr w14:val="tx1"/>
                        </w14:solidFill>
                      </w14:textFill>
                    </w:rPr>
                    <w:t>60</w:t>
                  </w:r>
                </w:p>
              </w:tc>
              <w:tc>
                <w:tcPr>
                  <w:tcW w:w="538" w:type="pct"/>
                  <w:vMerge w:val="continue"/>
                  <w:vAlign w:val="center"/>
                </w:tcPr>
                <w:p w14:paraId="638A92AB">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56299C3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50</w:t>
                  </w:r>
                </w:p>
              </w:tc>
              <w:tc>
                <w:tcPr>
                  <w:tcW w:w="538" w:type="pct"/>
                  <w:vAlign w:val="center"/>
                </w:tcPr>
                <w:p w14:paraId="155B9C24">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0.16</w:t>
                  </w:r>
                  <w:r>
                    <w:rPr>
                      <w:rFonts w:hint="eastAsia"/>
                      <w:bCs/>
                      <w:color w:val="000000" w:themeColor="text1"/>
                      <w:sz w:val="21"/>
                      <w:szCs w:val="21"/>
                      <w:lang w:val="en-US" w:eastAsia="zh-CN"/>
                      <w14:textFill>
                        <w14:solidFill>
                          <w14:schemeClr w14:val="tx1"/>
                        </w14:solidFill>
                      </w14:textFill>
                    </w:rPr>
                    <w:t>3</w:t>
                  </w:r>
                </w:p>
              </w:tc>
            </w:tr>
            <w:tr w14:paraId="523E0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6C6C8119">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19A1981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SS</w:t>
                  </w:r>
                </w:p>
              </w:tc>
              <w:tc>
                <w:tcPr>
                  <w:tcW w:w="664" w:type="dxa"/>
                  <w:vAlign w:val="center"/>
                </w:tcPr>
                <w:p w14:paraId="6754758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0.634</w:t>
                  </w:r>
                </w:p>
              </w:tc>
              <w:tc>
                <w:tcPr>
                  <w:tcW w:w="771" w:type="dxa"/>
                  <w:vAlign w:val="center"/>
                </w:tcPr>
                <w:p w14:paraId="2E2CDD2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19</w:t>
                  </w:r>
                  <w:r>
                    <w:rPr>
                      <w:rFonts w:hint="eastAsia"/>
                      <w:bCs/>
                      <w:color w:val="000000" w:themeColor="text1"/>
                      <w:sz w:val="21"/>
                      <w:szCs w:val="21"/>
                      <w:lang w:val="en-US" w:eastAsia="zh-CN"/>
                      <w14:textFill>
                        <w14:solidFill>
                          <w14:schemeClr w14:val="tx1"/>
                        </w14:solidFill>
                      </w14:textFill>
                    </w:rPr>
                    <w:t>4.42</w:t>
                  </w:r>
                </w:p>
              </w:tc>
              <w:tc>
                <w:tcPr>
                  <w:tcW w:w="384" w:type="pct"/>
                  <w:vMerge w:val="continue"/>
                  <w:vAlign w:val="center"/>
                </w:tcPr>
                <w:p w14:paraId="0A2E2F91">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28E378D6">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194.42</w:t>
                  </w:r>
                </w:p>
              </w:tc>
              <w:tc>
                <w:tcPr>
                  <w:tcW w:w="418" w:type="pct"/>
                  <w:vAlign w:val="center"/>
                </w:tcPr>
                <w:p w14:paraId="399F7532">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0.634</w:t>
                  </w:r>
                </w:p>
              </w:tc>
              <w:tc>
                <w:tcPr>
                  <w:tcW w:w="536" w:type="pct"/>
                  <w:vAlign w:val="center"/>
                </w:tcPr>
                <w:p w14:paraId="355FD5A2">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200</w:t>
                  </w:r>
                </w:p>
              </w:tc>
              <w:tc>
                <w:tcPr>
                  <w:tcW w:w="538" w:type="pct"/>
                  <w:vMerge w:val="continue"/>
                  <w:vAlign w:val="center"/>
                </w:tcPr>
                <w:p w14:paraId="389372DB">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0BAA0E9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w:t>
                  </w:r>
                </w:p>
              </w:tc>
              <w:tc>
                <w:tcPr>
                  <w:tcW w:w="538" w:type="pct"/>
                  <w:vAlign w:val="center"/>
                </w:tcPr>
                <w:p w14:paraId="15FE2780">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0.03</w:t>
                  </w:r>
                  <w:r>
                    <w:rPr>
                      <w:rFonts w:hint="eastAsia"/>
                      <w:bCs/>
                      <w:color w:val="000000" w:themeColor="text1"/>
                      <w:sz w:val="21"/>
                      <w:szCs w:val="21"/>
                      <w:lang w:val="en-US" w:eastAsia="zh-CN"/>
                      <w14:textFill>
                        <w14:solidFill>
                          <w14:schemeClr w14:val="tx1"/>
                        </w14:solidFill>
                      </w14:textFill>
                    </w:rPr>
                    <w:t>3</w:t>
                  </w:r>
                </w:p>
              </w:tc>
            </w:tr>
            <w:tr w14:paraId="675B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3028D424">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295F426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氨氮</w:t>
                  </w:r>
                </w:p>
              </w:tc>
              <w:tc>
                <w:tcPr>
                  <w:tcW w:w="664" w:type="dxa"/>
                  <w:vAlign w:val="center"/>
                </w:tcPr>
                <w:p w14:paraId="4682E3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0.082</w:t>
                  </w:r>
                  <w:r>
                    <w:rPr>
                      <w:rFonts w:hint="eastAsia"/>
                      <w:bCs/>
                      <w:color w:val="000000" w:themeColor="text1"/>
                      <w:sz w:val="21"/>
                      <w:szCs w:val="21"/>
                      <w:lang w:val="en-US" w:eastAsia="zh-CN"/>
                      <w14:textFill>
                        <w14:solidFill>
                          <w14:schemeClr w14:val="tx1"/>
                        </w14:solidFill>
                      </w14:textFill>
                    </w:rPr>
                    <w:t>1</w:t>
                  </w:r>
                </w:p>
              </w:tc>
              <w:tc>
                <w:tcPr>
                  <w:tcW w:w="771" w:type="dxa"/>
                  <w:vAlign w:val="center"/>
                </w:tcPr>
                <w:p w14:paraId="266FB12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25.</w:t>
                  </w:r>
                  <w:r>
                    <w:rPr>
                      <w:rFonts w:hint="eastAsia"/>
                      <w:bCs/>
                      <w:color w:val="000000" w:themeColor="text1"/>
                      <w:sz w:val="21"/>
                      <w:szCs w:val="21"/>
                      <w:lang w:val="en-US" w:eastAsia="zh-CN"/>
                      <w14:textFill>
                        <w14:solidFill>
                          <w14:schemeClr w14:val="tx1"/>
                        </w14:solidFill>
                      </w14:textFill>
                    </w:rPr>
                    <w:t>18</w:t>
                  </w:r>
                </w:p>
              </w:tc>
              <w:tc>
                <w:tcPr>
                  <w:tcW w:w="384" w:type="pct"/>
                  <w:vMerge w:val="continue"/>
                  <w:vAlign w:val="center"/>
                </w:tcPr>
                <w:p w14:paraId="25EBF0C6">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678099F8">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25.18</w:t>
                  </w:r>
                </w:p>
              </w:tc>
              <w:tc>
                <w:tcPr>
                  <w:tcW w:w="418" w:type="pct"/>
                  <w:vAlign w:val="center"/>
                </w:tcPr>
                <w:p w14:paraId="4B9FA838">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0.0821</w:t>
                  </w:r>
                </w:p>
              </w:tc>
              <w:tc>
                <w:tcPr>
                  <w:tcW w:w="536" w:type="pct"/>
                  <w:vAlign w:val="center"/>
                </w:tcPr>
                <w:p w14:paraId="4705401D">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35</w:t>
                  </w:r>
                </w:p>
              </w:tc>
              <w:tc>
                <w:tcPr>
                  <w:tcW w:w="538" w:type="pct"/>
                  <w:vMerge w:val="continue"/>
                  <w:vAlign w:val="center"/>
                </w:tcPr>
                <w:p w14:paraId="2F797539">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6192D9A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538" w:type="pct"/>
                  <w:vAlign w:val="center"/>
                </w:tcPr>
                <w:p w14:paraId="59B3F21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0.016</w:t>
                  </w:r>
                </w:p>
              </w:tc>
            </w:tr>
            <w:tr w14:paraId="367B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375F4718">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5D37465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总氮</w:t>
                  </w:r>
                </w:p>
              </w:tc>
              <w:tc>
                <w:tcPr>
                  <w:tcW w:w="664" w:type="dxa"/>
                  <w:vAlign w:val="center"/>
                </w:tcPr>
                <w:p w14:paraId="2C91B97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0.111</w:t>
                  </w:r>
                </w:p>
              </w:tc>
              <w:tc>
                <w:tcPr>
                  <w:tcW w:w="771" w:type="dxa"/>
                  <w:vAlign w:val="center"/>
                </w:tcPr>
                <w:p w14:paraId="6D85DA5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34.</w:t>
                  </w:r>
                  <w:r>
                    <w:rPr>
                      <w:rFonts w:hint="eastAsia"/>
                      <w:bCs/>
                      <w:color w:val="000000" w:themeColor="text1"/>
                      <w:sz w:val="21"/>
                      <w:szCs w:val="21"/>
                      <w:lang w:val="en-US" w:eastAsia="zh-CN"/>
                      <w14:textFill>
                        <w14:solidFill>
                          <w14:schemeClr w14:val="tx1"/>
                        </w14:solidFill>
                      </w14:textFill>
                    </w:rPr>
                    <w:t>04</w:t>
                  </w:r>
                </w:p>
              </w:tc>
              <w:tc>
                <w:tcPr>
                  <w:tcW w:w="384" w:type="pct"/>
                  <w:vMerge w:val="continue"/>
                  <w:vAlign w:val="center"/>
                </w:tcPr>
                <w:p w14:paraId="4316CF1E">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5D1487B1">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34.04</w:t>
                  </w:r>
                </w:p>
              </w:tc>
              <w:tc>
                <w:tcPr>
                  <w:tcW w:w="418" w:type="pct"/>
                  <w:vAlign w:val="center"/>
                </w:tcPr>
                <w:p w14:paraId="77A66A50">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0.1</w:t>
                  </w:r>
                  <w:r>
                    <w:rPr>
                      <w:rFonts w:hint="eastAsia"/>
                      <w:bCs/>
                      <w:color w:val="000000" w:themeColor="text1"/>
                      <w:sz w:val="21"/>
                      <w:szCs w:val="21"/>
                      <w:lang w:val="en-US" w:eastAsia="zh-CN"/>
                      <w14:textFill>
                        <w14:solidFill>
                          <w14:schemeClr w14:val="tx1"/>
                        </w14:solidFill>
                      </w14:textFill>
                    </w:rPr>
                    <w:t>11</w:t>
                  </w:r>
                </w:p>
              </w:tc>
              <w:tc>
                <w:tcPr>
                  <w:tcW w:w="536" w:type="pct"/>
                  <w:vAlign w:val="center"/>
                </w:tcPr>
                <w:p w14:paraId="4649772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5</w:t>
                  </w:r>
                  <w:r>
                    <w:rPr>
                      <w:rFonts w:hint="eastAsia"/>
                      <w:bCs/>
                      <w:color w:val="000000" w:themeColor="text1"/>
                      <w:sz w:val="21"/>
                      <w:szCs w:val="21"/>
                      <w14:textFill>
                        <w14:solidFill>
                          <w14:schemeClr w14:val="tx1"/>
                        </w14:solidFill>
                      </w14:textFill>
                    </w:rPr>
                    <w:t>0</w:t>
                  </w:r>
                </w:p>
              </w:tc>
              <w:tc>
                <w:tcPr>
                  <w:tcW w:w="538" w:type="pct"/>
                  <w:vMerge w:val="continue"/>
                  <w:vAlign w:val="center"/>
                </w:tcPr>
                <w:p w14:paraId="0B6DB36C">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0A88E0F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c>
                <w:tcPr>
                  <w:tcW w:w="538" w:type="pct"/>
                  <w:vAlign w:val="center"/>
                </w:tcPr>
                <w:p w14:paraId="402A6BE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0.049</w:t>
                  </w:r>
                </w:p>
              </w:tc>
            </w:tr>
            <w:tr w14:paraId="09219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2891546F">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6A60E81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总磷</w:t>
                  </w:r>
                </w:p>
              </w:tc>
              <w:tc>
                <w:tcPr>
                  <w:tcW w:w="664" w:type="dxa"/>
                  <w:vAlign w:val="center"/>
                </w:tcPr>
                <w:p w14:paraId="22B5667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0.013</w:t>
                  </w:r>
                </w:p>
              </w:tc>
              <w:tc>
                <w:tcPr>
                  <w:tcW w:w="771" w:type="dxa"/>
                  <w:vAlign w:val="center"/>
                </w:tcPr>
                <w:p w14:paraId="2427E8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3.99</w:t>
                  </w:r>
                </w:p>
              </w:tc>
              <w:tc>
                <w:tcPr>
                  <w:tcW w:w="384" w:type="pct"/>
                  <w:vMerge w:val="continue"/>
                  <w:vAlign w:val="center"/>
                </w:tcPr>
                <w:p w14:paraId="2A207B56">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3B28498A">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3.99</w:t>
                  </w:r>
                </w:p>
              </w:tc>
              <w:tc>
                <w:tcPr>
                  <w:tcW w:w="418" w:type="pct"/>
                  <w:vAlign w:val="center"/>
                </w:tcPr>
                <w:p w14:paraId="139A0EEC">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14:textFill>
                        <w14:solidFill>
                          <w14:schemeClr w14:val="tx1"/>
                        </w14:solidFill>
                      </w14:textFill>
                    </w:rPr>
                    <w:t>0.0</w:t>
                  </w:r>
                  <w:r>
                    <w:rPr>
                      <w:rFonts w:hint="eastAsia"/>
                      <w:bCs/>
                      <w:color w:val="000000" w:themeColor="text1"/>
                      <w:sz w:val="21"/>
                      <w:szCs w:val="21"/>
                      <w:lang w:val="en-US" w:eastAsia="zh-CN"/>
                      <w14:textFill>
                        <w14:solidFill>
                          <w14:schemeClr w14:val="tx1"/>
                        </w14:solidFill>
                      </w14:textFill>
                    </w:rPr>
                    <w:t>13</w:t>
                  </w:r>
                </w:p>
              </w:tc>
              <w:tc>
                <w:tcPr>
                  <w:tcW w:w="536" w:type="pct"/>
                  <w:vAlign w:val="center"/>
                </w:tcPr>
                <w:p w14:paraId="183B3AC5">
                  <w:pPr>
                    <w:adjustRightInd w:val="0"/>
                    <w:snapToGrid w:val="0"/>
                    <w:jc w:val="center"/>
                    <w:rPr>
                      <w:rFonts w:hint="default" w:eastAsia="宋体"/>
                      <w:bCs/>
                      <w:color w:val="000000" w:themeColor="text1"/>
                      <w:sz w:val="21"/>
                      <w:szCs w:val="21"/>
                      <w:lang w:val="en-US" w:eastAsia="zh-CN"/>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4.5</w:t>
                  </w:r>
                </w:p>
              </w:tc>
              <w:tc>
                <w:tcPr>
                  <w:tcW w:w="538" w:type="pct"/>
                  <w:vMerge w:val="continue"/>
                  <w:vAlign w:val="center"/>
                </w:tcPr>
                <w:p w14:paraId="334A5289">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454D29B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0.5</w:t>
                  </w:r>
                </w:p>
              </w:tc>
              <w:tc>
                <w:tcPr>
                  <w:tcW w:w="538" w:type="pct"/>
                  <w:vAlign w:val="center"/>
                </w:tcPr>
                <w:p w14:paraId="3C46F49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0.002</w:t>
                  </w:r>
                </w:p>
              </w:tc>
            </w:tr>
            <w:tr w14:paraId="2E1C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252" w:type="pct"/>
                  <w:vMerge w:val="continue"/>
                  <w:vAlign w:val="center"/>
                </w:tcPr>
                <w:p w14:paraId="69E12093">
                  <w:pPr>
                    <w:adjustRightInd w:val="0"/>
                    <w:snapToGrid w:val="0"/>
                    <w:jc w:val="center"/>
                    <w:rPr>
                      <w:bCs/>
                      <w:color w:val="000000" w:themeColor="text1"/>
                      <w:sz w:val="21"/>
                      <w:szCs w:val="21"/>
                      <w14:textFill>
                        <w14:solidFill>
                          <w14:schemeClr w14:val="tx1"/>
                        </w14:solidFill>
                      </w14:textFill>
                    </w:rPr>
                  </w:pPr>
                </w:p>
              </w:tc>
              <w:tc>
                <w:tcPr>
                  <w:tcW w:w="408" w:type="pct"/>
                  <w:vAlign w:val="center"/>
                </w:tcPr>
                <w:p w14:paraId="7CABA4D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动植物油</w:t>
                  </w:r>
                </w:p>
              </w:tc>
              <w:tc>
                <w:tcPr>
                  <w:tcW w:w="664" w:type="dxa"/>
                  <w:vAlign w:val="center"/>
                </w:tcPr>
                <w:p w14:paraId="5FDF5BC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0.38</w:t>
                  </w:r>
                </w:p>
              </w:tc>
              <w:tc>
                <w:tcPr>
                  <w:tcW w:w="771" w:type="dxa"/>
                  <w:vAlign w:val="center"/>
                </w:tcPr>
                <w:p w14:paraId="16D046B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w:t>
                  </w:r>
                  <w:r>
                    <w:rPr>
                      <w:rFonts w:hint="eastAsia"/>
                      <w:bCs/>
                      <w:color w:val="000000" w:themeColor="text1"/>
                      <w:sz w:val="21"/>
                      <w:szCs w:val="21"/>
                      <w:lang w:val="en-US" w:eastAsia="zh-CN"/>
                      <w14:textFill>
                        <w14:solidFill>
                          <w14:schemeClr w14:val="tx1"/>
                        </w14:solidFill>
                      </w14:textFill>
                    </w:rPr>
                    <w:t>6.53</w:t>
                  </w:r>
                </w:p>
              </w:tc>
              <w:tc>
                <w:tcPr>
                  <w:tcW w:w="384" w:type="pct"/>
                  <w:vMerge w:val="continue"/>
                  <w:vAlign w:val="center"/>
                </w:tcPr>
                <w:p w14:paraId="4F34E1FF">
                  <w:pPr>
                    <w:adjustRightInd w:val="0"/>
                    <w:snapToGrid w:val="0"/>
                    <w:jc w:val="center"/>
                    <w:rPr>
                      <w:bCs/>
                      <w:color w:val="000000" w:themeColor="text1"/>
                      <w:sz w:val="21"/>
                      <w:szCs w:val="21"/>
                      <w14:textFill>
                        <w14:solidFill>
                          <w14:schemeClr w14:val="tx1"/>
                        </w14:solidFill>
                      </w14:textFill>
                    </w:rPr>
                  </w:pPr>
                </w:p>
              </w:tc>
              <w:tc>
                <w:tcPr>
                  <w:tcW w:w="483" w:type="pct"/>
                  <w:vAlign w:val="center"/>
                </w:tcPr>
                <w:p w14:paraId="3ACECA7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100</w:t>
                  </w:r>
                </w:p>
              </w:tc>
              <w:tc>
                <w:tcPr>
                  <w:tcW w:w="418" w:type="pct"/>
                  <w:vAlign w:val="center"/>
                </w:tcPr>
                <w:p w14:paraId="2A3A982B">
                  <w:pPr>
                    <w:adjustRightInd w:val="0"/>
                    <w:snapToGrid w:val="0"/>
                    <w:jc w:val="center"/>
                    <w:rPr>
                      <w:rFonts w:hint="eastAsia" w:eastAsia="宋体"/>
                      <w:bCs/>
                      <w:color w:val="000000" w:themeColor="text1"/>
                      <w:sz w:val="21"/>
                      <w:szCs w:val="21"/>
                      <w:lang w:eastAsia="zh-CN"/>
                      <w14:textFill>
                        <w14:solidFill>
                          <w14:schemeClr w14:val="tx1"/>
                        </w14:solidFill>
                      </w14:textFill>
                    </w:rPr>
                  </w:pPr>
                  <w:r>
                    <w:rPr>
                      <w:rFonts w:hint="eastAsia"/>
                      <w:bCs/>
                      <w:color w:val="000000" w:themeColor="text1"/>
                      <w:sz w:val="21"/>
                      <w:szCs w:val="21"/>
                      <w14:textFill>
                        <w14:solidFill>
                          <w14:schemeClr w14:val="tx1"/>
                        </w14:solidFill>
                      </w14:textFill>
                    </w:rPr>
                    <w:t>0.32</w:t>
                  </w:r>
                  <w:r>
                    <w:rPr>
                      <w:rFonts w:hint="eastAsia"/>
                      <w:bCs/>
                      <w:color w:val="000000" w:themeColor="text1"/>
                      <w:sz w:val="21"/>
                      <w:szCs w:val="21"/>
                      <w:lang w:val="en-US" w:eastAsia="zh-CN"/>
                      <w14:textFill>
                        <w14:solidFill>
                          <w14:schemeClr w14:val="tx1"/>
                        </w14:solidFill>
                      </w14:textFill>
                    </w:rPr>
                    <w:t>6</w:t>
                  </w:r>
                </w:p>
              </w:tc>
              <w:tc>
                <w:tcPr>
                  <w:tcW w:w="536" w:type="pct"/>
                  <w:vAlign w:val="center"/>
                </w:tcPr>
                <w:p w14:paraId="24EC680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100</w:t>
                  </w:r>
                </w:p>
              </w:tc>
              <w:tc>
                <w:tcPr>
                  <w:tcW w:w="538" w:type="pct"/>
                  <w:vMerge w:val="continue"/>
                  <w:vAlign w:val="center"/>
                </w:tcPr>
                <w:p w14:paraId="1C6006E0">
                  <w:pPr>
                    <w:adjustRightInd w:val="0"/>
                    <w:snapToGrid w:val="0"/>
                    <w:jc w:val="center"/>
                    <w:rPr>
                      <w:bCs/>
                      <w:color w:val="000000" w:themeColor="text1"/>
                      <w:sz w:val="21"/>
                      <w:szCs w:val="21"/>
                      <w14:textFill>
                        <w14:solidFill>
                          <w14:schemeClr w14:val="tx1"/>
                        </w14:solidFill>
                      </w14:textFill>
                    </w:rPr>
                  </w:pPr>
                </w:p>
              </w:tc>
              <w:tc>
                <w:tcPr>
                  <w:tcW w:w="538" w:type="pct"/>
                  <w:vAlign w:val="center"/>
                </w:tcPr>
                <w:p w14:paraId="2AF47E8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538" w:type="pct"/>
                  <w:vAlign w:val="center"/>
                </w:tcPr>
                <w:p w14:paraId="00A752B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0.003</w:t>
                  </w:r>
                </w:p>
              </w:tc>
            </w:tr>
          </w:tbl>
          <w:p w14:paraId="0ADCA97F">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4.2.2-2</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项目废水类别、污染物种类及污染防治设施一览表</w:t>
            </w:r>
          </w:p>
          <w:tbl>
            <w:tblPr>
              <w:tblStyle w:val="1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786"/>
              <w:gridCol w:w="1270"/>
              <w:gridCol w:w="1018"/>
              <w:gridCol w:w="1018"/>
              <w:gridCol w:w="1023"/>
            </w:tblGrid>
            <w:tr w14:paraId="268C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 w:hRule="atLeast"/>
              </w:trPr>
              <w:tc>
                <w:tcPr>
                  <w:tcW w:w="1160" w:type="pct"/>
                  <w:vAlign w:val="center"/>
                </w:tcPr>
                <w:p w14:paraId="4E5F11BD">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废水类别</w:t>
                  </w:r>
                </w:p>
              </w:tc>
              <w:tc>
                <w:tcPr>
                  <w:tcW w:w="1121" w:type="pct"/>
                  <w:vAlign w:val="center"/>
                </w:tcPr>
                <w:p w14:paraId="30386261">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污染物种类</w:t>
                  </w:r>
                </w:p>
              </w:tc>
              <w:tc>
                <w:tcPr>
                  <w:tcW w:w="797" w:type="pct"/>
                  <w:vAlign w:val="center"/>
                </w:tcPr>
                <w:p w14:paraId="7E22F5C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排放去向</w:t>
                  </w:r>
                </w:p>
              </w:tc>
              <w:tc>
                <w:tcPr>
                  <w:tcW w:w="639" w:type="pct"/>
                  <w:vAlign w:val="center"/>
                </w:tcPr>
                <w:p w14:paraId="1E3CE67C">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排放规律</w:t>
                  </w:r>
                </w:p>
              </w:tc>
              <w:tc>
                <w:tcPr>
                  <w:tcW w:w="639" w:type="pct"/>
                  <w:vAlign w:val="center"/>
                </w:tcPr>
                <w:p w14:paraId="2162E64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污染治理设施</w:t>
                  </w:r>
                </w:p>
              </w:tc>
              <w:tc>
                <w:tcPr>
                  <w:tcW w:w="642" w:type="pct"/>
                  <w:vAlign w:val="center"/>
                </w:tcPr>
                <w:p w14:paraId="6A284931">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排放口类型</w:t>
                  </w:r>
                </w:p>
              </w:tc>
            </w:tr>
            <w:tr w14:paraId="7BD7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160" w:type="pct"/>
                  <w:vAlign w:val="center"/>
                </w:tcPr>
                <w:p w14:paraId="01BFE6C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生活污水</w:t>
                  </w:r>
                </w:p>
              </w:tc>
              <w:tc>
                <w:tcPr>
                  <w:tcW w:w="1121" w:type="pct"/>
                  <w:vAlign w:val="center"/>
                </w:tcPr>
                <w:p w14:paraId="3A06079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pH、COD、SS、氨氮、总氮、总磷</w:t>
                  </w:r>
                </w:p>
              </w:tc>
              <w:tc>
                <w:tcPr>
                  <w:tcW w:w="797" w:type="pct"/>
                  <w:vMerge w:val="restart"/>
                  <w:vAlign w:val="center"/>
                </w:tcPr>
                <w:p w14:paraId="145DD96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淮南经济开发区工业污水处理厂</w:t>
                  </w:r>
                </w:p>
              </w:tc>
              <w:tc>
                <w:tcPr>
                  <w:tcW w:w="639" w:type="pct"/>
                  <w:vAlign w:val="center"/>
                </w:tcPr>
                <w:p w14:paraId="6F6A92C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39" w:type="pct"/>
                  <w:vAlign w:val="center"/>
                </w:tcPr>
                <w:p w14:paraId="668D728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化粪池</w:t>
                  </w:r>
                </w:p>
              </w:tc>
              <w:tc>
                <w:tcPr>
                  <w:tcW w:w="642" w:type="pct"/>
                  <w:vAlign w:val="center"/>
                </w:tcPr>
                <w:p w14:paraId="5B703CC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企业总排口</w:t>
                  </w:r>
                </w:p>
              </w:tc>
            </w:tr>
            <w:tr w14:paraId="6CBB2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160" w:type="pct"/>
                  <w:vAlign w:val="center"/>
                </w:tcPr>
                <w:p w14:paraId="12A62D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食堂废水</w:t>
                  </w:r>
                </w:p>
              </w:tc>
              <w:tc>
                <w:tcPr>
                  <w:tcW w:w="1121" w:type="pct"/>
                  <w:vAlign w:val="center"/>
                </w:tcPr>
                <w:p w14:paraId="0C2327E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COD、SS、氨氮、总磷、动植物油</w:t>
                  </w:r>
                </w:p>
              </w:tc>
              <w:tc>
                <w:tcPr>
                  <w:tcW w:w="797" w:type="pct"/>
                  <w:vMerge w:val="continue"/>
                  <w:vAlign w:val="center"/>
                </w:tcPr>
                <w:p w14:paraId="3BBE841D">
                  <w:pPr>
                    <w:adjustRightInd w:val="0"/>
                    <w:snapToGrid w:val="0"/>
                    <w:jc w:val="center"/>
                    <w:rPr>
                      <w:bCs/>
                      <w:color w:val="000000" w:themeColor="text1"/>
                      <w:sz w:val="21"/>
                      <w:szCs w:val="21"/>
                      <w14:textFill>
                        <w14:solidFill>
                          <w14:schemeClr w14:val="tx1"/>
                        </w14:solidFill>
                      </w14:textFill>
                    </w:rPr>
                  </w:pPr>
                </w:p>
              </w:tc>
              <w:tc>
                <w:tcPr>
                  <w:tcW w:w="639" w:type="pct"/>
                  <w:vAlign w:val="center"/>
                </w:tcPr>
                <w:p w14:paraId="16DF13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39" w:type="pct"/>
                  <w:vAlign w:val="center"/>
                </w:tcPr>
                <w:p w14:paraId="06EA63E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隔油池</w:t>
                  </w:r>
                </w:p>
              </w:tc>
              <w:tc>
                <w:tcPr>
                  <w:tcW w:w="642" w:type="pct"/>
                  <w:vAlign w:val="center"/>
                </w:tcPr>
                <w:p w14:paraId="6907D67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企业总排口</w:t>
                  </w:r>
                </w:p>
              </w:tc>
            </w:tr>
            <w:tr w14:paraId="3F437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160" w:type="pct"/>
                  <w:vAlign w:val="center"/>
                </w:tcPr>
                <w:p w14:paraId="62DA35D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循环冷却水排水</w:t>
                  </w:r>
                </w:p>
              </w:tc>
              <w:tc>
                <w:tcPr>
                  <w:tcW w:w="1121" w:type="pct"/>
                  <w:vAlign w:val="center"/>
                </w:tcPr>
                <w:p w14:paraId="68518E1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COD、氨氮</w:t>
                  </w:r>
                </w:p>
              </w:tc>
              <w:tc>
                <w:tcPr>
                  <w:tcW w:w="797" w:type="pct"/>
                  <w:vMerge w:val="continue"/>
                  <w:vAlign w:val="center"/>
                </w:tcPr>
                <w:p w14:paraId="1BC4FFA5">
                  <w:pPr>
                    <w:adjustRightInd w:val="0"/>
                    <w:snapToGrid w:val="0"/>
                    <w:jc w:val="center"/>
                    <w:rPr>
                      <w:bCs/>
                      <w:color w:val="000000" w:themeColor="text1"/>
                      <w:sz w:val="21"/>
                      <w:szCs w:val="21"/>
                      <w14:textFill>
                        <w14:solidFill>
                          <w14:schemeClr w14:val="tx1"/>
                        </w14:solidFill>
                      </w14:textFill>
                    </w:rPr>
                  </w:pPr>
                </w:p>
              </w:tc>
              <w:tc>
                <w:tcPr>
                  <w:tcW w:w="639" w:type="pct"/>
                  <w:vAlign w:val="center"/>
                </w:tcPr>
                <w:p w14:paraId="6F90170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39" w:type="pct"/>
                  <w:vAlign w:val="center"/>
                </w:tcPr>
                <w:p w14:paraId="05CF9F2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化粪池</w:t>
                  </w:r>
                </w:p>
              </w:tc>
              <w:tc>
                <w:tcPr>
                  <w:tcW w:w="642" w:type="pct"/>
                  <w:vAlign w:val="center"/>
                </w:tcPr>
                <w:p w14:paraId="0919D66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企业总排口</w:t>
                  </w:r>
                </w:p>
              </w:tc>
            </w:tr>
          </w:tbl>
          <w:p w14:paraId="1A439F4F">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2、废水排放去向</w:t>
            </w:r>
          </w:p>
          <w:p w14:paraId="2F435C3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废水主要为生活污水、食堂废水、循环冷却水排水，废水总排放量为3218t/a(10.73t/d)，食堂废水经过隔油池处理后排入化粪池；员工生活污水、循环冷却水排水废水进入化粪池处理后经市政污水管网排入淮南经济技术开发区工业污水处理厂，进一步处理后汇入淮河（淮南段）。项目综合废水排放</w:t>
            </w:r>
            <w:r>
              <w:rPr>
                <w:rFonts w:hint="eastAsia" w:eastAsia="宋体"/>
                <w:color w:val="000000" w:themeColor="text1"/>
                <w:szCs w:val="24"/>
                <w14:textFill>
                  <w14:solidFill>
                    <w14:schemeClr w14:val="tx1"/>
                  </w14:solidFill>
                </w14:textFill>
              </w:rPr>
              <w:t>应满足《合成树脂工业污染物排放标准》（GB 31572-2015，含2024年修改单）标准要求，同时满足经开区接管标准《关于发布淮南经开区企业生产废水排放限值的通知》（2021年1月19日）中相关排放限值，接管标准中未涉及的污染因子参照执行《污水排入城镇下水道水质标准》（GB/T 31962-2015）</w:t>
            </w:r>
            <w:r>
              <w:rPr>
                <w:rFonts w:hint="eastAsia"/>
                <w:color w:val="000000" w:themeColor="text1"/>
                <w14:textFill>
                  <w14:solidFill>
                    <w14:schemeClr w14:val="tx1"/>
                  </w14:solidFill>
                </w14:textFill>
              </w:rPr>
              <w:t>。淮南经济技术开发区工业污水处理厂尾水出水水质执行《城镇污水处理厂污染物排放标准》(GB18918-2002)一级A标准。</w:t>
            </w:r>
          </w:p>
          <w:p w14:paraId="46364F0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3、依托淮南经济技术开发区工业污水处理厂的可行性分析</w:t>
            </w:r>
          </w:p>
          <w:p w14:paraId="2C82823B">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淮南经济技术开发区工业污水处理厂位于淮南经济技术开发区洛九路东侧，收水范围主要为淮南经济技术开发区的工业废水和开发区工业企业员工的生活污水及大通区的工业废水和企业人员的生活污水。2018年5月28日，淮南经济技术开发区工业污水处理厂工程取得原淮南市环境保护局批复(淮环复[2018]36号)，于2020年4月完成竣工环保“三同时”自主验收。主要服务范围为淮南经济技术开发区，服务面积20.0k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，西至水厂路，东至东兴路，北至田东路，南至合徐高速公路连接线。</w:t>
            </w:r>
          </w:p>
          <w:p w14:paraId="25CADE3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根据项目所在区域的排水规划图可知，项目在淮南经济技术开发区工业污水处理厂收水范围之内，产生的废水经市政污水管网进入淮南经济技术开发区工业污水处理厂处理，污水处理厂建设规模为3万m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污水处理采用“水解酸化+Bardenpho生化+芬顿氧化+混凝沉淀+过滤+消毒处理”工艺，出水水质标准执行《城镇污水处理厂污染物排放标准》(GB18918-2002)一级A标准，处理后达标排放的尾水通过龙王撇洪沟排放至淮河。污泥处理采用高压板框脱水达到60%以下的含水率后外运处置。</w:t>
            </w:r>
          </w:p>
          <w:p w14:paraId="72BC849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淮南经济技术开发区工业污水处理厂工艺流程见下图。</w:t>
            </w:r>
          </w:p>
          <w:p w14:paraId="4537FBDC">
            <w:pPr>
              <w:pStyle w:val="8"/>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5095240" cy="2433955"/>
                  <wp:effectExtent l="0" t="0" r="1016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095240" cy="2433955"/>
                          </a:xfrm>
                          <a:prstGeom prst="rect">
                            <a:avLst/>
                          </a:prstGeom>
                          <a:noFill/>
                          <a:ln>
                            <a:noFill/>
                          </a:ln>
                        </pic:spPr>
                      </pic:pic>
                    </a:graphicData>
                  </a:graphic>
                </wp:inline>
              </w:drawing>
            </w:r>
          </w:p>
          <w:p w14:paraId="0FC600C4">
            <w:pPr>
              <w:jc w:val="center"/>
              <w:rPr>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4.2.2-1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淮南经济技术开发区工业污水处理厂工艺流程图</w:t>
            </w:r>
          </w:p>
          <w:p w14:paraId="47581CFB">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淮南经济技术开发区工业污水处理厂的接管标准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淮南经济技术开发区《关于发布淮南经开区企业生产废水排放限值的通知》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2021年1月19日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，出水标准执行《城镇污水处理厂污染物排放标准》一级A标准。淮南经济技术开发区工业污水处理厂已于2019年12月竣工，建设规模为3万m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/d，污水处理厂刚开始运营调试，有足够的富余能力，同时本项目在污水厂的收水范围之内，因此本项目的污水排放到淮南经济技术开发区工业污水处理厂是完全可行的。</w:t>
            </w:r>
          </w:p>
          <w:p w14:paraId="1A5C9769">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建设项目废水被接纳的可行性分析</w:t>
            </w:r>
          </w:p>
          <w:p w14:paraId="6D2962E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color w:val="000000" w:themeColor="text1"/>
                <w14:textFill>
                  <w14:solidFill>
                    <w14:schemeClr w14:val="tx1"/>
                  </w14:solidFill>
                </w14:textFill>
              </w:rPr>
              <w:t>处理规模的可行性</w:t>
            </w:r>
          </w:p>
          <w:p w14:paraId="67C3DD8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目前，淮南经济技术开发区工业污水处理厂运转正常。本项目所在区域在淮南经济技术开发区工业污水处理厂服务范围内，项目废水新增排放量为</w:t>
            </w:r>
            <w:r>
              <w:rPr>
                <w:rFonts w:hint="eastAsia"/>
                <w:color w:val="000000" w:themeColor="text1"/>
                <w14:textFill>
                  <w14:solidFill>
                    <w14:schemeClr w14:val="tx1"/>
                  </w14:solidFill>
                </w14:textFill>
              </w:rPr>
              <w:t>10.73</w:t>
            </w:r>
            <w:r>
              <w:rPr>
                <w:color w:val="000000" w:themeColor="text1"/>
                <w14:textFill>
                  <w14:solidFill>
                    <w14:schemeClr w14:val="tx1"/>
                  </w14:solidFill>
                </w14:textFill>
              </w:rPr>
              <w:t>t/d，淮南经济技术开发区工业污水处理厂尚有余量1.5万t/d，从水量上来讲，项目废水接管进入淮南经济技术开发区工业污水处理厂可行。</w:t>
            </w:r>
          </w:p>
          <w:p w14:paraId="60168B7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工艺及接管标准上的可行性分析</w:t>
            </w:r>
          </w:p>
          <w:p w14:paraId="5BF02A2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建设项目产生的废水经厂内废水处理设施处理后的浓度满足淮南经济技术开发区接管标准:《关于发布淮南经开区企业生产废水排放限值的通知》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2021年1月19日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，污水中不含有对污水处理工艺造成不良影响的污染物，不会对淮南经济技术开发区工业污水处理厂的处理造成冲击。因此，本项目废水接管排入淮南经济技术开发区工业污水处理厂集中</w:t>
            </w:r>
            <w:r>
              <w:rPr>
                <w:rFonts w:hint="eastAsia"/>
                <w:color w:val="000000" w:themeColor="text1"/>
                <w14:textFill>
                  <w14:solidFill>
                    <w14:schemeClr w14:val="tx1"/>
                  </w14:solidFill>
                </w14:textFill>
              </w:rPr>
              <w:t>处理可行。</w:t>
            </w:r>
          </w:p>
          <w:p w14:paraId="278D9AD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地表水环境影响评价结论</w:t>
            </w:r>
          </w:p>
          <w:p w14:paraId="7E7A1C4B">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项目位于受纳水体环境质量达标区域，项目循环冷却水排水、生活污水经化粪池处理后与食堂废水经隔油池处理后一同排入淮南经济技术开发区工业污水处理厂。</w:t>
            </w:r>
          </w:p>
          <w:p w14:paraId="2D9C628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从水质水量、接管标准及建设进度等方面综合考虑，项目废水接管淮南经济技术开发区工业污水处理厂处理是可行的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经淮南经济技术开发区工业污水处理厂处理后尾水排放淮河(淮南段)，由于各类水污染物排放浓度及排放量均较小，对周围水环境影响较小。因此，本项目对地表水环境的影响可以接受。</w:t>
            </w:r>
          </w:p>
          <w:p w14:paraId="637DBE6C">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废水污染物自行监测计划</w:t>
            </w:r>
          </w:p>
          <w:p w14:paraId="69FF111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建设单位为非水污染重点排污单位，</w:t>
            </w:r>
            <w:r>
              <w:rPr>
                <w:rFonts w:hint="eastAsia"/>
                <w:color w:val="000000" w:themeColor="text1"/>
                <w14:textFill>
                  <w14:solidFill>
                    <w14:schemeClr w14:val="tx1"/>
                  </w14:solidFill>
                </w14:textFill>
              </w:rPr>
              <w:t>建设项目废水污染源监测计划见下表</w:t>
            </w:r>
            <w:r>
              <w:rPr>
                <w:color w:val="000000" w:themeColor="text1"/>
                <w14:textFill>
                  <w14:solidFill>
                    <w14:schemeClr w14:val="tx1"/>
                  </w14:solidFill>
                </w14:textFill>
              </w:rPr>
              <w:t>。</w:t>
            </w:r>
          </w:p>
          <w:p w14:paraId="793FBA14">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4.2.2-3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废水污染源监测计划</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840"/>
              <w:gridCol w:w="1337"/>
              <w:gridCol w:w="2994"/>
            </w:tblGrid>
            <w:tr w14:paraId="360A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125" w:type="pct"/>
                  <w:vAlign w:val="center"/>
                </w:tcPr>
                <w:p w14:paraId="1CD294D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监测点位</w:t>
                  </w:r>
                </w:p>
              </w:tc>
              <w:tc>
                <w:tcPr>
                  <w:tcW w:w="1155" w:type="pct"/>
                  <w:vAlign w:val="center"/>
                </w:tcPr>
                <w:p w14:paraId="55A4D47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监测指标</w:t>
                  </w:r>
                </w:p>
              </w:tc>
              <w:tc>
                <w:tcPr>
                  <w:tcW w:w="839" w:type="pct"/>
                  <w:vAlign w:val="center"/>
                </w:tcPr>
                <w:p w14:paraId="2F76F92C">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监测频次</w:t>
                  </w:r>
                </w:p>
              </w:tc>
              <w:tc>
                <w:tcPr>
                  <w:tcW w:w="1879" w:type="pct"/>
                  <w:vAlign w:val="center"/>
                </w:tcPr>
                <w:p w14:paraId="0241EC13">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执行排放依据</w:t>
                  </w:r>
                </w:p>
              </w:tc>
            </w:tr>
            <w:tr w14:paraId="1B9DB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125" w:type="pct"/>
                  <w:vAlign w:val="center"/>
                </w:tcPr>
                <w:p w14:paraId="40AA83E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废水总排口</w:t>
                  </w:r>
                </w:p>
              </w:tc>
              <w:tc>
                <w:tcPr>
                  <w:tcW w:w="1155" w:type="pct"/>
                  <w:vAlign w:val="center"/>
                </w:tcPr>
                <w:p w14:paraId="68929AE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pH、COD、SS、氨氮、总氮、总磷、动植物油</w:t>
                  </w:r>
                </w:p>
              </w:tc>
              <w:tc>
                <w:tcPr>
                  <w:tcW w:w="839" w:type="pct"/>
                  <w:vAlign w:val="center"/>
                </w:tcPr>
                <w:p w14:paraId="5B4E021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1次/年</w:t>
                  </w:r>
                </w:p>
              </w:tc>
              <w:tc>
                <w:tcPr>
                  <w:tcW w:w="1879" w:type="pct"/>
                  <w:vAlign w:val="center"/>
                </w:tcPr>
                <w:p w14:paraId="5AB2E23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lang w:val="en-US" w:eastAsia="zh-CN"/>
                      <w14:textFill>
                        <w14:solidFill>
                          <w14:schemeClr w14:val="tx1"/>
                        </w14:solidFill>
                      </w14:textFill>
                    </w:rPr>
                    <w:t>执行</w:t>
                  </w:r>
                  <w:r>
                    <w:rPr>
                      <w:rFonts w:hint="eastAsia"/>
                      <w:bCs/>
                      <w:color w:val="000000" w:themeColor="text1"/>
                      <w:sz w:val="21"/>
                      <w:szCs w:val="21"/>
                      <w14:textFill>
                        <w14:solidFill>
                          <w14:schemeClr w14:val="tx1"/>
                        </w14:solidFill>
                      </w14:textFill>
                    </w:rPr>
                    <w:t>《合成树脂工业污染物排放标准》（GB 31572-2015，含2024年修改单）标准要求，同时满足经开区接管标准《关于发布淮南经开区企业生产废水排放限值的通知》（2021年1月19日）中相关排放限值，接管标准中未涉及的污染因子参照执行《污水排入城镇下水道水质标准》（GB/T 31962-2015）；</w:t>
                  </w:r>
                </w:p>
              </w:tc>
            </w:tr>
          </w:tbl>
          <w:p w14:paraId="0D3EC89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4.2.3</w:t>
            </w:r>
            <w:r>
              <w:rPr>
                <w:color w:val="000000" w:themeColor="text1"/>
                <w14:textFill>
                  <w14:solidFill>
                    <w14:schemeClr w14:val="tx1"/>
                  </w14:solidFill>
                </w14:textFill>
              </w:rPr>
              <w:t>噪声环境影响及保护措施</w:t>
            </w:r>
          </w:p>
          <w:p w14:paraId="3CA3094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建设项目声源情况</w:t>
            </w:r>
          </w:p>
          <w:p w14:paraId="55A6AA66">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的噪声设备主要有螺杆式空气压缩机、自动化塑料挤出成套设备、成缆自动化成套设备等。噪声值约在70~90dB(A)，采用隔声、减振等降噪措施，降低噪声对周围环境的影响。类比同类项目，项目主要生产设备的噪声源强见下表。</w:t>
            </w:r>
          </w:p>
          <w:p w14:paraId="75E3F633">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4.2.3-1</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建设项目主要设备噪声源强</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626"/>
              <w:gridCol w:w="653"/>
              <w:gridCol w:w="766"/>
              <w:gridCol w:w="733"/>
              <w:gridCol w:w="983"/>
              <w:gridCol w:w="838"/>
              <w:gridCol w:w="1109"/>
              <w:gridCol w:w="1194"/>
            </w:tblGrid>
            <w:tr w14:paraId="22C19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Merge w:val="restart"/>
                  <w:vAlign w:val="center"/>
                </w:tcPr>
                <w:p w14:paraId="4568F8FD">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设备名称</w:t>
                  </w:r>
                </w:p>
              </w:tc>
              <w:tc>
                <w:tcPr>
                  <w:tcW w:w="393" w:type="pct"/>
                  <w:vMerge w:val="restart"/>
                  <w:vAlign w:val="center"/>
                </w:tcPr>
                <w:p w14:paraId="6724E27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数量（台/套）</w:t>
                  </w:r>
                </w:p>
              </w:tc>
              <w:tc>
                <w:tcPr>
                  <w:tcW w:w="891" w:type="pct"/>
                  <w:gridSpan w:val="2"/>
                  <w:vAlign w:val="center"/>
                </w:tcPr>
                <w:p w14:paraId="0D11DAC9">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空间位置</w:t>
                  </w:r>
                </w:p>
              </w:tc>
              <w:tc>
                <w:tcPr>
                  <w:tcW w:w="460" w:type="pct"/>
                  <w:vMerge w:val="restart"/>
                  <w:vAlign w:val="center"/>
                </w:tcPr>
                <w:p w14:paraId="010310CA">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噪声时间特性</w:t>
                  </w:r>
                </w:p>
              </w:tc>
              <w:tc>
                <w:tcPr>
                  <w:tcW w:w="1143" w:type="pct"/>
                  <w:gridSpan w:val="2"/>
                  <w:vAlign w:val="center"/>
                </w:tcPr>
                <w:p w14:paraId="6DA7B899">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主要声源情况</w:t>
                  </w:r>
                </w:p>
              </w:tc>
              <w:tc>
                <w:tcPr>
                  <w:tcW w:w="696" w:type="pct"/>
                  <w:vMerge w:val="restart"/>
                  <w:vAlign w:val="center"/>
                </w:tcPr>
                <w:p w14:paraId="5661ADA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拟采取措施</w:t>
                  </w:r>
                </w:p>
              </w:tc>
              <w:tc>
                <w:tcPr>
                  <w:tcW w:w="749" w:type="pct"/>
                  <w:vMerge w:val="restart"/>
                  <w:vAlign w:val="center"/>
                </w:tcPr>
                <w:p w14:paraId="7C4FF6F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措施后声级dB（A）</w:t>
                  </w:r>
                </w:p>
              </w:tc>
            </w:tr>
            <w:tr w14:paraId="021D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Merge w:val="continue"/>
                  <w:vAlign w:val="center"/>
                </w:tcPr>
                <w:p w14:paraId="77EB5C6F">
                  <w:pPr>
                    <w:adjustRightInd w:val="0"/>
                    <w:snapToGrid w:val="0"/>
                    <w:jc w:val="center"/>
                    <w:rPr>
                      <w:b/>
                      <w:color w:val="000000" w:themeColor="text1"/>
                      <w:sz w:val="21"/>
                      <w:szCs w:val="21"/>
                      <w14:textFill>
                        <w14:solidFill>
                          <w14:schemeClr w14:val="tx1"/>
                        </w14:solidFill>
                      </w14:textFill>
                    </w:rPr>
                  </w:pPr>
                </w:p>
              </w:tc>
              <w:tc>
                <w:tcPr>
                  <w:tcW w:w="393" w:type="pct"/>
                  <w:vMerge w:val="continue"/>
                  <w:vAlign w:val="center"/>
                </w:tcPr>
                <w:p w14:paraId="1B461127">
                  <w:pPr>
                    <w:adjustRightInd w:val="0"/>
                    <w:snapToGrid w:val="0"/>
                    <w:jc w:val="center"/>
                    <w:rPr>
                      <w:b/>
                      <w:color w:val="000000" w:themeColor="text1"/>
                      <w:sz w:val="21"/>
                      <w:szCs w:val="21"/>
                      <w14:textFill>
                        <w14:solidFill>
                          <w14:schemeClr w14:val="tx1"/>
                        </w14:solidFill>
                      </w14:textFill>
                    </w:rPr>
                  </w:pPr>
                </w:p>
              </w:tc>
              <w:tc>
                <w:tcPr>
                  <w:tcW w:w="410" w:type="pct"/>
                  <w:vAlign w:val="center"/>
                </w:tcPr>
                <w:p w14:paraId="6A0CBE56">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类别</w:t>
                  </w:r>
                </w:p>
              </w:tc>
              <w:tc>
                <w:tcPr>
                  <w:tcW w:w="481" w:type="pct"/>
                  <w:vAlign w:val="center"/>
                </w:tcPr>
                <w:p w14:paraId="05EED9CA">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坐标（X、Y、Z）</w:t>
                  </w:r>
                </w:p>
              </w:tc>
              <w:tc>
                <w:tcPr>
                  <w:tcW w:w="460" w:type="pct"/>
                  <w:vMerge w:val="continue"/>
                  <w:vAlign w:val="center"/>
                </w:tcPr>
                <w:p w14:paraId="3725C71E">
                  <w:pPr>
                    <w:adjustRightInd w:val="0"/>
                    <w:snapToGrid w:val="0"/>
                    <w:jc w:val="center"/>
                    <w:rPr>
                      <w:b/>
                      <w:color w:val="000000" w:themeColor="text1"/>
                      <w:sz w:val="21"/>
                      <w:szCs w:val="21"/>
                      <w14:textFill>
                        <w14:solidFill>
                          <w14:schemeClr w14:val="tx1"/>
                        </w14:solidFill>
                      </w14:textFill>
                    </w:rPr>
                  </w:pPr>
                </w:p>
              </w:tc>
              <w:tc>
                <w:tcPr>
                  <w:tcW w:w="617" w:type="pct"/>
                  <w:vAlign w:val="center"/>
                </w:tcPr>
                <w:p w14:paraId="3F548E3C">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单台声级dB（A）</w:t>
                  </w:r>
                </w:p>
              </w:tc>
              <w:tc>
                <w:tcPr>
                  <w:tcW w:w="526" w:type="pct"/>
                  <w:vAlign w:val="center"/>
                </w:tcPr>
                <w:p w14:paraId="29E16073">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测点位置</w:t>
                  </w:r>
                </w:p>
              </w:tc>
              <w:tc>
                <w:tcPr>
                  <w:tcW w:w="696" w:type="pct"/>
                  <w:vMerge w:val="continue"/>
                  <w:vAlign w:val="center"/>
                </w:tcPr>
                <w:p w14:paraId="463DEEA6">
                  <w:pPr>
                    <w:adjustRightInd w:val="0"/>
                    <w:snapToGrid w:val="0"/>
                    <w:jc w:val="center"/>
                    <w:rPr>
                      <w:b/>
                      <w:color w:val="000000" w:themeColor="text1"/>
                      <w:sz w:val="21"/>
                      <w:szCs w:val="21"/>
                      <w14:textFill>
                        <w14:solidFill>
                          <w14:schemeClr w14:val="tx1"/>
                        </w14:solidFill>
                      </w14:textFill>
                    </w:rPr>
                  </w:pPr>
                </w:p>
              </w:tc>
              <w:tc>
                <w:tcPr>
                  <w:tcW w:w="749" w:type="pct"/>
                  <w:vMerge w:val="continue"/>
                  <w:vAlign w:val="center"/>
                </w:tcPr>
                <w:p w14:paraId="50F92C19">
                  <w:pPr>
                    <w:adjustRightInd w:val="0"/>
                    <w:snapToGrid w:val="0"/>
                    <w:jc w:val="center"/>
                    <w:rPr>
                      <w:b/>
                      <w:color w:val="000000" w:themeColor="text1"/>
                      <w:sz w:val="21"/>
                      <w:szCs w:val="21"/>
                      <w14:textFill>
                        <w14:solidFill>
                          <w14:schemeClr w14:val="tx1"/>
                        </w14:solidFill>
                      </w14:textFill>
                    </w:rPr>
                  </w:pPr>
                </w:p>
              </w:tc>
            </w:tr>
            <w:tr w14:paraId="474B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43C754D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废气处理设施风机1</w:t>
                  </w:r>
                </w:p>
              </w:tc>
              <w:tc>
                <w:tcPr>
                  <w:tcW w:w="393" w:type="pct"/>
                  <w:vAlign w:val="center"/>
                </w:tcPr>
                <w:p w14:paraId="510E296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275628F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2F6F0E9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170，163，15</w:t>
                  </w:r>
                </w:p>
              </w:tc>
              <w:tc>
                <w:tcPr>
                  <w:tcW w:w="460" w:type="pct"/>
                  <w:vAlign w:val="center"/>
                </w:tcPr>
                <w:p w14:paraId="52903F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02F23FD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restart"/>
                  <w:vAlign w:val="center"/>
                </w:tcPr>
                <w:p w14:paraId="228810E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测量点距设备1m处</w:t>
                  </w:r>
                </w:p>
              </w:tc>
              <w:tc>
                <w:tcPr>
                  <w:tcW w:w="696" w:type="pct"/>
                  <w:vMerge w:val="restart"/>
                  <w:vAlign w:val="center"/>
                </w:tcPr>
                <w:p w14:paraId="58FCE959">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安装消声隔音板、进风消声器、减震垫等</w:t>
                  </w:r>
                </w:p>
              </w:tc>
              <w:tc>
                <w:tcPr>
                  <w:tcW w:w="749" w:type="pct"/>
                  <w:vAlign w:val="center"/>
                </w:tcPr>
                <w:p w14:paraId="7990E91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0952C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2EB6F5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废气处理设施风机2</w:t>
                  </w:r>
                </w:p>
              </w:tc>
              <w:tc>
                <w:tcPr>
                  <w:tcW w:w="393" w:type="pct"/>
                  <w:vAlign w:val="center"/>
                </w:tcPr>
                <w:p w14:paraId="0D1B1B6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63F6D3C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0F2723D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140，68，15</w:t>
                  </w:r>
                </w:p>
              </w:tc>
              <w:tc>
                <w:tcPr>
                  <w:tcW w:w="460" w:type="pct"/>
                  <w:vAlign w:val="center"/>
                </w:tcPr>
                <w:p w14:paraId="6B9742A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24E3EB9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56D0BB78">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0B4C15D">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516ACD4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0358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476FF17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废气处理设施风机3</w:t>
                  </w:r>
                </w:p>
              </w:tc>
              <w:tc>
                <w:tcPr>
                  <w:tcW w:w="393" w:type="pct"/>
                  <w:vAlign w:val="center"/>
                </w:tcPr>
                <w:p w14:paraId="2C8ED83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7F089C9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086CA0C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138，59，15</w:t>
                  </w:r>
                </w:p>
              </w:tc>
              <w:tc>
                <w:tcPr>
                  <w:tcW w:w="460" w:type="pct"/>
                  <w:vAlign w:val="center"/>
                </w:tcPr>
                <w:p w14:paraId="4A5FD9A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5A2E288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37D56762">
                  <w:pPr>
                    <w:adjustRightInd w:val="0"/>
                    <w:snapToGrid w:val="0"/>
                    <w:jc w:val="center"/>
                    <w:rPr>
                      <w:bCs/>
                      <w:color w:val="000000" w:themeColor="text1"/>
                      <w:sz w:val="21"/>
                      <w:szCs w:val="21"/>
                      <w14:textFill>
                        <w14:solidFill>
                          <w14:schemeClr w14:val="tx1"/>
                        </w14:solidFill>
                      </w14:textFill>
                    </w:rPr>
                  </w:pPr>
                </w:p>
              </w:tc>
              <w:tc>
                <w:tcPr>
                  <w:tcW w:w="696" w:type="pct"/>
                  <w:vMerge w:val="continue"/>
                  <w:shd w:val="clear" w:color="auto" w:fill="auto"/>
                  <w:vAlign w:val="center"/>
                </w:tcPr>
                <w:p w14:paraId="10EBF81E">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79A3E6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2843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687FA3B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废气处理设施风机4</w:t>
                  </w:r>
                </w:p>
              </w:tc>
              <w:tc>
                <w:tcPr>
                  <w:tcW w:w="393" w:type="pct"/>
                  <w:vAlign w:val="center"/>
                </w:tcPr>
                <w:p w14:paraId="03B98F0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00B10C0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23277ED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173，159，15</w:t>
                  </w:r>
                </w:p>
              </w:tc>
              <w:tc>
                <w:tcPr>
                  <w:tcW w:w="460" w:type="pct"/>
                  <w:vAlign w:val="center"/>
                </w:tcPr>
                <w:p w14:paraId="3D3A32E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7CBFDF1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67DE2741">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094E7EA">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7B91ED2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2CF99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47A84D5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螺杆式空气压缩机1</w:t>
                  </w:r>
                </w:p>
              </w:tc>
              <w:tc>
                <w:tcPr>
                  <w:tcW w:w="393" w:type="pct"/>
                  <w:vAlign w:val="center"/>
                </w:tcPr>
                <w:p w14:paraId="1EAB3FC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2ABA418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466FE30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173，163，0</w:t>
                  </w:r>
                </w:p>
              </w:tc>
              <w:tc>
                <w:tcPr>
                  <w:tcW w:w="460" w:type="pct"/>
                  <w:vAlign w:val="center"/>
                </w:tcPr>
                <w:p w14:paraId="4D6481D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23D6053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6492452D">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A74AC68">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907028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69CE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7F03824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螺杆式空气压缩机2</w:t>
                  </w:r>
                </w:p>
              </w:tc>
              <w:tc>
                <w:tcPr>
                  <w:tcW w:w="393" w:type="pct"/>
                  <w:vAlign w:val="center"/>
                </w:tcPr>
                <w:p w14:paraId="44A8EBC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1F69139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1D20945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172，144，0</w:t>
                  </w:r>
                </w:p>
              </w:tc>
              <w:tc>
                <w:tcPr>
                  <w:tcW w:w="460" w:type="pct"/>
                  <w:vAlign w:val="center"/>
                </w:tcPr>
                <w:p w14:paraId="05E6BDD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000CE55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09C6784C">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E01B89B">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313CDE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1CC3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89CCB6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螺杆式空气压缩机3</w:t>
                  </w:r>
                </w:p>
              </w:tc>
              <w:tc>
                <w:tcPr>
                  <w:tcW w:w="393" w:type="pct"/>
                  <w:vAlign w:val="center"/>
                </w:tcPr>
                <w:p w14:paraId="7233700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3A5CA47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0F1D410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165，126，0</w:t>
                  </w:r>
                </w:p>
              </w:tc>
              <w:tc>
                <w:tcPr>
                  <w:tcW w:w="460" w:type="pct"/>
                  <w:vAlign w:val="center"/>
                </w:tcPr>
                <w:p w14:paraId="7054189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6540F09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0759A0B4">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476CB72">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2C6794C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5586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10DCB81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螺杆式空气压缩机4</w:t>
                  </w:r>
                </w:p>
              </w:tc>
              <w:tc>
                <w:tcPr>
                  <w:tcW w:w="393" w:type="pct"/>
                  <w:vAlign w:val="center"/>
                </w:tcPr>
                <w:p w14:paraId="7E8EE5E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4B17AF4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66AD271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157，108，0</w:t>
                  </w:r>
                </w:p>
              </w:tc>
              <w:tc>
                <w:tcPr>
                  <w:tcW w:w="460" w:type="pct"/>
                  <w:vAlign w:val="center"/>
                </w:tcPr>
                <w:p w14:paraId="1BC087F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42C47C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71CA503E">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79754824">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235D836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65AC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2002E8B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螺杆式空气压缩机5</w:t>
                  </w:r>
                </w:p>
              </w:tc>
              <w:tc>
                <w:tcPr>
                  <w:tcW w:w="393" w:type="pct"/>
                  <w:vAlign w:val="center"/>
                </w:tcPr>
                <w:p w14:paraId="2AA64D2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48E9E1F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4F8EF86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152，93，0</w:t>
                  </w:r>
                </w:p>
              </w:tc>
              <w:tc>
                <w:tcPr>
                  <w:tcW w:w="460" w:type="pct"/>
                  <w:vAlign w:val="center"/>
                </w:tcPr>
                <w:p w14:paraId="3ADB82C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1235929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2C468E51">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9CE87E1">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733F7D0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6756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25FF9D2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螺杆式空气压缩机6</w:t>
                  </w:r>
                </w:p>
              </w:tc>
              <w:tc>
                <w:tcPr>
                  <w:tcW w:w="393" w:type="pct"/>
                  <w:vAlign w:val="center"/>
                </w:tcPr>
                <w:p w14:paraId="5A3DE4F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1386EB1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39F4E29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143，74，0</w:t>
                  </w:r>
                </w:p>
              </w:tc>
              <w:tc>
                <w:tcPr>
                  <w:tcW w:w="460" w:type="pct"/>
                  <w:vAlign w:val="center"/>
                </w:tcPr>
                <w:p w14:paraId="02A669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51893D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5AEBF4C6">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91A28B9">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6B98FE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1D25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0F8491B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螺杆式空气压缩机7</w:t>
                  </w:r>
                </w:p>
              </w:tc>
              <w:tc>
                <w:tcPr>
                  <w:tcW w:w="393" w:type="pct"/>
                  <w:vAlign w:val="center"/>
                </w:tcPr>
                <w:p w14:paraId="6BD5C43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02D60D9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68D3FA9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82，32，0</w:t>
                  </w:r>
                </w:p>
              </w:tc>
              <w:tc>
                <w:tcPr>
                  <w:tcW w:w="460" w:type="pct"/>
                  <w:vAlign w:val="center"/>
                </w:tcPr>
                <w:p w14:paraId="2741A7E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1CD273F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50B70BDD">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94F0E48">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08E3905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2FA9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045DDE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螺杆式空气压缩机8</w:t>
                  </w:r>
                </w:p>
              </w:tc>
              <w:tc>
                <w:tcPr>
                  <w:tcW w:w="393" w:type="pct"/>
                  <w:vAlign w:val="center"/>
                </w:tcPr>
                <w:p w14:paraId="035DE4D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w:t>
                  </w:r>
                </w:p>
              </w:tc>
              <w:tc>
                <w:tcPr>
                  <w:tcW w:w="410" w:type="pct"/>
                  <w:vAlign w:val="center"/>
                </w:tcPr>
                <w:p w14:paraId="4420FFB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室外</w:t>
                  </w:r>
                </w:p>
              </w:tc>
              <w:tc>
                <w:tcPr>
                  <w:tcW w:w="481" w:type="pct"/>
                  <w:vAlign w:val="center"/>
                </w:tcPr>
                <w:p w14:paraId="40FF1A1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138，59，0</w:t>
                  </w:r>
                </w:p>
              </w:tc>
              <w:tc>
                <w:tcPr>
                  <w:tcW w:w="460" w:type="pct"/>
                  <w:vAlign w:val="center"/>
                </w:tcPr>
                <w:p w14:paraId="15990C4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2B788F1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85~90</w:t>
                  </w:r>
                </w:p>
              </w:tc>
              <w:tc>
                <w:tcPr>
                  <w:tcW w:w="526" w:type="pct"/>
                  <w:vMerge w:val="continue"/>
                  <w:vAlign w:val="center"/>
                </w:tcPr>
                <w:p w14:paraId="4B15CE34">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E9475DD">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07A520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65~70</w:t>
                  </w:r>
                </w:p>
              </w:tc>
            </w:tr>
            <w:tr w14:paraId="63A8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04B65C14">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自动化塑料挤出成套设备</w:t>
                  </w:r>
                </w:p>
              </w:tc>
              <w:tc>
                <w:tcPr>
                  <w:tcW w:w="393" w:type="pct"/>
                  <w:vAlign w:val="center"/>
                </w:tcPr>
                <w:p w14:paraId="62F70F6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w:t>
                  </w:r>
                </w:p>
              </w:tc>
              <w:tc>
                <w:tcPr>
                  <w:tcW w:w="410" w:type="pct"/>
                  <w:vAlign w:val="center"/>
                </w:tcPr>
                <w:p w14:paraId="3B15EB3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52ED2A7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151，136，0</w:t>
                  </w:r>
                </w:p>
              </w:tc>
              <w:tc>
                <w:tcPr>
                  <w:tcW w:w="460" w:type="pct"/>
                  <w:vAlign w:val="center"/>
                </w:tcPr>
                <w:p w14:paraId="6F830BB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1166632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1FF75F3C">
                  <w:pPr>
                    <w:adjustRightInd w:val="0"/>
                    <w:snapToGrid w:val="0"/>
                    <w:jc w:val="center"/>
                    <w:rPr>
                      <w:bCs/>
                      <w:color w:val="000000" w:themeColor="text1"/>
                      <w:sz w:val="21"/>
                      <w:szCs w:val="21"/>
                      <w14:textFill>
                        <w14:solidFill>
                          <w14:schemeClr w14:val="tx1"/>
                        </w14:solidFill>
                      </w14:textFill>
                    </w:rPr>
                  </w:pPr>
                </w:p>
              </w:tc>
              <w:tc>
                <w:tcPr>
                  <w:tcW w:w="696" w:type="pct"/>
                  <w:vMerge w:val="restart"/>
                  <w:vAlign w:val="center"/>
                </w:tcPr>
                <w:p w14:paraId="700D48E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减震、厂房隔声</w:t>
                  </w:r>
                </w:p>
              </w:tc>
              <w:tc>
                <w:tcPr>
                  <w:tcW w:w="749" w:type="pct"/>
                  <w:vAlign w:val="center"/>
                </w:tcPr>
                <w:p w14:paraId="48B1AF8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2278A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FF4F899">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自动化塑料挤出成套设备</w:t>
                  </w:r>
                </w:p>
              </w:tc>
              <w:tc>
                <w:tcPr>
                  <w:tcW w:w="393" w:type="pct"/>
                  <w:vAlign w:val="center"/>
                </w:tcPr>
                <w:p w14:paraId="33F1EA3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410" w:type="pct"/>
                  <w:vAlign w:val="center"/>
                </w:tcPr>
                <w:p w14:paraId="62B2F14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05DF44E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147，138，0</w:t>
                  </w:r>
                </w:p>
              </w:tc>
              <w:tc>
                <w:tcPr>
                  <w:tcW w:w="460" w:type="pct"/>
                  <w:vAlign w:val="center"/>
                </w:tcPr>
                <w:p w14:paraId="616415E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57A94F0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1548BE85">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2C1B009">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7B8B1A3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0655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0A2790F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自动化塑料挤出成套设备</w:t>
                  </w:r>
                </w:p>
              </w:tc>
              <w:tc>
                <w:tcPr>
                  <w:tcW w:w="393" w:type="pct"/>
                  <w:vAlign w:val="center"/>
                </w:tcPr>
                <w:p w14:paraId="2AF062E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410" w:type="pct"/>
                  <w:vAlign w:val="center"/>
                </w:tcPr>
                <w:p w14:paraId="630E898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3FBF3C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121，64，0</w:t>
                  </w:r>
                </w:p>
              </w:tc>
              <w:tc>
                <w:tcPr>
                  <w:tcW w:w="460" w:type="pct"/>
                  <w:vAlign w:val="center"/>
                </w:tcPr>
                <w:p w14:paraId="2677BAF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5A4C93C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46CD673F">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0FEB9B2">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5726CB6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397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183AB2F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自动化塑料挤出成套设备</w:t>
                  </w:r>
                </w:p>
              </w:tc>
              <w:tc>
                <w:tcPr>
                  <w:tcW w:w="393" w:type="pct"/>
                  <w:vAlign w:val="center"/>
                </w:tcPr>
                <w:p w14:paraId="1EF1181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410" w:type="pct"/>
                  <w:vAlign w:val="center"/>
                </w:tcPr>
                <w:p w14:paraId="2236A43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2547AF9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115，67，0</w:t>
                  </w:r>
                </w:p>
              </w:tc>
              <w:tc>
                <w:tcPr>
                  <w:tcW w:w="460" w:type="pct"/>
                  <w:vAlign w:val="center"/>
                </w:tcPr>
                <w:p w14:paraId="4A28489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067591B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6762D5B1">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5ACCF73">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619F5B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281F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500CF80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拉丝成套设备</w:t>
                  </w:r>
                </w:p>
              </w:tc>
              <w:tc>
                <w:tcPr>
                  <w:tcW w:w="393" w:type="pct"/>
                  <w:vAlign w:val="center"/>
                </w:tcPr>
                <w:p w14:paraId="1C94289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410" w:type="pct"/>
                  <w:vAlign w:val="center"/>
                </w:tcPr>
                <w:p w14:paraId="7AE51E7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42CE82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123，164，0</w:t>
                  </w:r>
                </w:p>
              </w:tc>
              <w:tc>
                <w:tcPr>
                  <w:tcW w:w="460" w:type="pct"/>
                  <w:vAlign w:val="center"/>
                </w:tcPr>
                <w:p w14:paraId="076825A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17A0F7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02AF9210">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48316C7">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540D952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6076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6AF6E27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自动化管式绞线成套设</w:t>
                  </w:r>
                  <w:r>
                    <w:rPr>
                      <w:rFonts w:hint="eastAsia"/>
                      <w:bCs/>
                      <w:color w:val="000000" w:themeColor="text1"/>
                      <w:sz w:val="21"/>
                      <w:szCs w:val="21"/>
                      <w14:textFill>
                        <w14:solidFill>
                          <w14:schemeClr w14:val="tx1"/>
                        </w14:solidFill>
                      </w14:textFill>
                    </w:rPr>
                    <w:t>备</w:t>
                  </w:r>
                </w:p>
              </w:tc>
              <w:tc>
                <w:tcPr>
                  <w:tcW w:w="393" w:type="pct"/>
                  <w:vAlign w:val="center"/>
                </w:tcPr>
                <w:p w14:paraId="1C5B61E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w:t>
                  </w:r>
                </w:p>
              </w:tc>
              <w:tc>
                <w:tcPr>
                  <w:tcW w:w="410" w:type="pct"/>
                  <w:vAlign w:val="center"/>
                </w:tcPr>
                <w:p w14:paraId="78C8817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3F1B66D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116，149，0</w:t>
                  </w:r>
                </w:p>
              </w:tc>
              <w:tc>
                <w:tcPr>
                  <w:tcW w:w="460" w:type="pct"/>
                  <w:vAlign w:val="center"/>
                </w:tcPr>
                <w:p w14:paraId="1944C0A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7D9EFD1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576026F5">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EC3697C">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9B283C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05C6D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273529D">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w:t>
                  </w:r>
                  <w:r>
                    <w:rPr>
                      <w:rFonts w:hint="eastAsia"/>
                      <w:bCs/>
                      <w:color w:val="000000" w:themeColor="text1"/>
                      <w:sz w:val="21"/>
                      <w:szCs w:val="21"/>
                      <w14:textFill>
                        <w14:solidFill>
                          <w14:schemeClr w14:val="tx1"/>
                        </w14:solidFill>
                      </w14:textFill>
                    </w:rPr>
                    <w:t>框</w:t>
                  </w:r>
                  <w:r>
                    <w:rPr>
                      <w:bCs/>
                      <w:color w:val="000000" w:themeColor="text1"/>
                      <w:sz w:val="21"/>
                      <w:szCs w:val="21"/>
                      <w14:textFill>
                        <w14:solidFill>
                          <w14:schemeClr w14:val="tx1"/>
                        </w14:solidFill>
                      </w14:textFill>
                    </w:rPr>
                    <w:t>式绞线成套设</w:t>
                  </w:r>
                  <w:r>
                    <w:rPr>
                      <w:rFonts w:hint="eastAsia"/>
                      <w:bCs/>
                      <w:color w:val="000000" w:themeColor="text1"/>
                      <w:sz w:val="21"/>
                      <w:szCs w:val="21"/>
                      <w14:textFill>
                        <w14:solidFill>
                          <w14:schemeClr w14:val="tx1"/>
                        </w14:solidFill>
                      </w14:textFill>
                    </w:rPr>
                    <w:t>备</w:t>
                  </w:r>
                </w:p>
              </w:tc>
              <w:tc>
                <w:tcPr>
                  <w:tcW w:w="393" w:type="pct"/>
                  <w:vAlign w:val="center"/>
                </w:tcPr>
                <w:p w14:paraId="0D351B7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410" w:type="pct"/>
                  <w:vAlign w:val="center"/>
                </w:tcPr>
                <w:p w14:paraId="496A7FB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15B1614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130，147，0</w:t>
                  </w:r>
                </w:p>
              </w:tc>
              <w:tc>
                <w:tcPr>
                  <w:tcW w:w="460" w:type="pct"/>
                  <w:vAlign w:val="center"/>
                </w:tcPr>
                <w:p w14:paraId="50ED883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38F218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65074FA7">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6487984D">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0EAAB9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6275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374ABA1E">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自动化铜带绕包成套设备</w:t>
                  </w:r>
                </w:p>
              </w:tc>
              <w:tc>
                <w:tcPr>
                  <w:tcW w:w="393" w:type="pct"/>
                  <w:vAlign w:val="center"/>
                </w:tcPr>
                <w:p w14:paraId="48D2E17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w:t>
                  </w:r>
                </w:p>
              </w:tc>
              <w:tc>
                <w:tcPr>
                  <w:tcW w:w="410" w:type="pct"/>
                  <w:vAlign w:val="center"/>
                </w:tcPr>
                <w:p w14:paraId="5D1FB65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24A419D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130，88，0</w:t>
                  </w:r>
                </w:p>
              </w:tc>
              <w:tc>
                <w:tcPr>
                  <w:tcW w:w="460" w:type="pct"/>
                  <w:vAlign w:val="center"/>
                </w:tcPr>
                <w:p w14:paraId="467FA02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292FAC3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24EFA995">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1949718D">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3195FF7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3D1BA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52E32002">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成缆自动化成套设备</w:t>
                  </w:r>
                </w:p>
              </w:tc>
              <w:tc>
                <w:tcPr>
                  <w:tcW w:w="393" w:type="pct"/>
                  <w:vAlign w:val="center"/>
                </w:tcPr>
                <w:p w14:paraId="6E4FDC9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410" w:type="pct"/>
                  <w:vAlign w:val="center"/>
                </w:tcPr>
                <w:p w14:paraId="08CE945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781D1D9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156，163，0</w:t>
                  </w:r>
                </w:p>
              </w:tc>
              <w:tc>
                <w:tcPr>
                  <w:tcW w:w="460" w:type="pct"/>
                  <w:vAlign w:val="center"/>
                </w:tcPr>
                <w:p w14:paraId="100480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17B118B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000DDB7B">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EA9BD99">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40DB6E1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444A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6837E385">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成缆铠装自动化成套设备</w:t>
                  </w:r>
                </w:p>
              </w:tc>
              <w:tc>
                <w:tcPr>
                  <w:tcW w:w="393" w:type="pct"/>
                  <w:vAlign w:val="center"/>
                </w:tcPr>
                <w:p w14:paraId="43205F8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410" w:type="pct"/>
                  <w:vAlign w:val="center"/>
                </w:tcPr>
                <w:p w14:paraId="4BFD7B5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56715C0C">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125，91，0</w:t>
                  </w:r>
                </w:p>
              </w:tc>
              <w:tc>
                <w:tcPr>
                  <w:tcW w:w="460" w:type="pct"/>
                  <w:vAlign w:val="center"/>
                </w:tcPr>
                <w:p w14:paraId="55E50EF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F7C65C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7258B49E">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015F5E0">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7586828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51564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0844627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焊接轧纹成套设备</w:t>
                  </w:r>
                </w:p>
              </w:tc>
              <w:tc>
                <w:tcPr>
                  <w:tcW w:w="393" w:type="pct"/>
                  <w:vAlign w:val="center"/>
                </w:tcPr>
                <w:p w14:paraId="4282AD1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410" w:type="pct"/>
                  <w:vAlign w:val="center"/>
                </w:tcPr>
                <w:p w14:paraId="2A377C9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2DB26A0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136，145，0</w:t>
                  </w:r>
                </w:p>
              </w:tc>
              <w:tc>
                <w:tcPr>
                  <w:tcW w:w="460" w:type="pct"/>
                  <w:vAlign w:val="center"/>
                </w:tcPr>
                <w:p w14:paraId="309AF7A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441B520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6725BAC4">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2D7AD934">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5CEB7E39">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065E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759C012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交流对焊机</w:t>
                  </w:r>
                </w:p>
              </w:tc>
              <w:tc>
                <w:tcPr>
                  <w:tcW w:w="393" w:type="pct"/>
                  <w:vAlign w:val="center"/>
                </w:tcPr>
                <w:p w14:paraId="7CE4806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w:t>
                  </w:r>
                </w:p>
              </w:tc>
              <w:tc>
                <w:tcPr>
                  <w:tcW w:w="410" w:type="pct"/>
                  <w:vAlign w:val="center"/>
                </w:tcPr>
                <w:p w14:paraId="651F678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00D2A99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137，150，0</w:t>
                  </w:r>
                </w:p>
              </w:tc>
              <w:tc>
                <w:tcPr>
                  <w:tcW w:w="460" w:type="pct"/>
                  <w:vAlign w:val="center"/>
                </w:tcPr>
                <w:p w14:paraId="2CC0C4A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7A44D00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3CED529B">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7786CD10">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0975C6F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1144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7ABD93DA">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高频火花机</w:t>
                  </w:r>
                </w:p>
              </w:tc>
              <w:tc>
                <w:tcPr>
                  <w:tcW w:w="393" w:type="pct"/>
                  <w:vAlign w:val="center"/>
                </w:tcPr>
                <w:p w14:paraId="55DDF95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w:t>
                  </w:r>
                </w:p>
              </w:tc>
              <w:tc>
                <w:tcPr>
                  <w:tcW w:w="410" w:type="pct"/>
                  <w:vAlign w:val="center"/>
                </w:tcPr>
                <w:p w14:paraId="3FB48FF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0D05055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94，96，0</w:t>
                  </w:r>
                </w:p>
              </w:tc>
              <w:tc>
                <w:tcPr>
                  <w:tcW w:w="460" w:type="pct"/>
                  <w:vAlign w:val="center"/>
                </w:tcPr>
                <w:p w14:paraId="14AB0DC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013BB0E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69FF720D">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07C74387">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0276591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772A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7B0948C3">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铜杆焊接机</w:t>
                  </w:r>
                </w:p>
              </w:tc>
              <w:tc>
                <w:tcPr>
                  <w:tcW w:w="393" w:type="pct"/>
                  <w:vAlign w:val="center"/>
                </w:tcPr>
                <w:p w14:paraId="2E395B2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410" w:type="pct"/>
                  <w:vAlign w:val="center"/>
                </w:tcPr>
                <w:p w14:paraId="69699EE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1401302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135，144，0</w:t>
                  </w:r>
                </w:p>
              </w:tc>
              <w:tc>
                <w:tcPr>
                  <w:tcW w:w="460" w:type="pct"/>
                  <w:vAlign w:val="center"/>
                </w:tcPr>
                <w:p w14:paraId="0CA0F8C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16757F8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34AA3A95">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0196261F">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78412B6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0A02B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27A63108">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双螺杆造粒机组</w:t>
                  </w:r>
                </w:p>
              </w:tc>
              <w:tc>
                <w:tcPr>
                  <w:tcW w:w="393" w:type="pct"/>
                  <w:vAlign w:val="center"/>
                </w:tcPr>
                <w:p w14:paraId="2DB3BE06">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410" w:type="pct"/>
                  <w:vAlign w:val="center"/>
                </w:tcPr>
                <w:p w14:paraId="638DB5E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4E887B4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72，48，0</w:t>
                  </w:r>
                </w:p>
              </w:tc>
              <w:tc>
                <w:tcPr>
                  <w:tcW w:w="460" w:type="pct"/>
                  <w:vAlign w:val="center"/>
                </w:tcPr>
                <w:p w14:paraId="64EEC94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37ADA61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1BCA1B73">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338BC2C0">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13BB0D8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5707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2600870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直流高压测试系统</w:t>
                  </w:r>
                </w:p>
              </w:tc>
              <w:tc>
                <w:tcPr>
                  <w:tcW w:w="393" w:type="pct"/>
                  <w:vAlign w:val="center"/>
                </w:tcPr>
                <w:p w14:paraId="7D4942E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3</w:t>
                  </w:r>
                </w:p>
              </w:tc>
              <w:tc>
                <w:tcPr>
                  <w:tcW w:w="410" w:type="pct"/>
                  <w:vAlign w:val="center"/>
                </w:tcPr>
                <w:p w14:paraId="7E98819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3BAF760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89，38，0</w:t>
                  </w:r>
                </w:p>
              </w:tc>
              <w:tc>
                <w:tcPr>
                  <w:tcW w:w="460" w:type="pct"/>
                  <w:vAlign w:val="center"/>
                </w:tcPr>
                <w:p w14:paraId="554F1EF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5762D2D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053EC93D">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4BAE1CE">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207581F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576A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5C1D80C6">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水冷拉条切粒机组</w:t>
                  </w:r>
                </w:p>
              </w:tc>
              <w:tc>
                <w:tcPr>
                  <w:tcW w:w="393" w:type="pct"/>
                  <w:vAlign w:val="center"/>
                </w:tcPr>
                <w:p w14:paraId="72E2113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w:t>
                  </w:r>
                </w:p>
              </w:tc>
              <w:tc>
                <w:tcPr>
                  <w:tcW w:w="410" w:type="pct"/>
                  <w:vAlign w:val="center"/>
                </w:tcPr>
                <w:p w14:paraId="65BBF47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769DCEE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76，56，0</w:t>
                  </w:r>
                </w:p>
              </w:tc>
              <w:tc>
                <w:tcPr>
                  <w:tcW w:w="460" w:type="pct"/>
                  <w:vAlign w:val="center"/>
                </w:tcPr>
                <w:p w14:paraId="1F170F5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52B4690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6E2E0503">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76832B43">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211FAE3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r w14:paraId="11905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666" w:type="pct"/>
                  <w:vAlign w:val="center"/>
                </w:tcPr>
                <w:p w14:paraId="22A1CF1B">
                  <w:pPr>
                    <w:adjustRightInd w:val="0"/>
                    <w:snapToGrid w:val="0"/>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电缆料摇罐十燥机</w:t>
                  </w:r>
                </w:p>
              </w:tc>
              <w:tc>
                <w:tcPr>
                  <w:tcW w:w="393" w:type="pct"/>
                  <w:vAlign w:val="center"/>
                </w:tcPr>
                <w:p w14:paraId="3492F9C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10</w:t>
                  </w:r>
                </w:p>
              </w:tc>
              <w:tc>
                <w:tcPr>
                  <w:tcW w:w="410" w:type="pct"/>
                  <w:vAlign w:val="center"/>
                </w:tcPr>
                <w:p w14:paraId="05851F4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室内</w:t>
                  </w:r>
                </w:p>
              </w:tc>
              <w:tc>
                <w:tcPr>
                  <w:tcW w:w="481" w:type="pct"/>
                  <w:vAlign w:val="center"/>
                </w:tcPr>
                <w:p w14:paraId="5F0D0A4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126，91，0</w:t>
                  </w:r>
                </w:p>
              </w:tc>
              <w:tc>
                <w:tcPr>
                  <w:tcW w:w="460" w:type="pct"/>
                  <w:vAlign w:val="center"/>
                </w:tcPr>
                <w:p w14:paraId="124F534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连续</w:t>
                  </w:r>
                </w:p>
              </w:tc>
              <w:tc>
                <w:tcPr>
                  <w:tcW w:w="617" w:type="pct"/>
                  <w:vAlign w:val="center"/>
                </w:tcPr>
                <w:p w14:paraId="083B9C3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75~80</w:t>
                  </w:r>
                </w:p>
              </w:tc>
              <w:tc>
                <w:tcPr>
                  <w:tcW w:w="526" w:type="pct"/>
                  <w:vMerge w:val="continue"/>
                  <w:vAlign w:val="center"/>
                </w:tcPr>
                <w:p w14:paraId="71E4013A">
                  <w:pPr>
                    <w:adjustRightInd w:val="0"/>
                    <w:snapToGrid w:val="0"/>
                    <w:jc w:val="center"/>
                    <w:rPr>
                      <w:bCs/>
                      <w:color w:val="000000" w:themeColor="text1"/>
                      <w:sz w:val="21"/>
                      <w:szCs w:val="21"/>
                      <w14:textFill>
                        <w14:solidFill>
                          <w14:schemeClr w14:val="tx1"/>
                        </w14:solidFill>
                      </w14:textFill>
                    </w:rPr>
                  </w:pPr>
                </w:p>
              </w:tc>
              <w:tc>
                <w:tcPr>
                  <w:tcW w:w="696" w:type="pct"/>
                  <w:vMerge w:val="continue"/>
                  <w:vAlign w:val="center"/>
                </w:tcPr>
                <w:p w14:paraId="531010D2">
                  <w:pPr>
                    <w:adjustRightInd w:val="0"/>
                    <w:snapToGrid w:val="0"/>
                    <w:jc w:val="center"/>
                    <w:rPr>
                      <w:bCs/>
                      <w:color w:val="000000" w:themeColor="text1"/>
                      <w:sz w:val="21"/>
                      <w:szCs w:val="21"/>
                      <w14:textFill>
                        <w14:solidFill>
                          <w14:schemeClr w14:val="tx1"/>
                        </w14:solidFill>
                      </w14:textFill>
                    </w:rPr>
                  </w:pPr>
                </w:p>
              </w:tc>
              <w:tc>
                <w:tcPr>
                  <w:tcW w:w="749" w:type="pct"/>
                  <w:vAlign w:val="center"/>
                </w:tcPr>
                <w:p w14:paraId="2A6220C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55~60</w:t>
                  </w:r>
                </w:p>
              </w:tc>
            </w:tr>
          </w:tbl>
          <w:p w14:paraId="6ABF43C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预测模式</w:t>
            </w:r>
          </w:p>
          <w:p w14:paraId="46970A98">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室内声源等效为室外声源</w:t>
            </w:r>
          </w:p>
          <w:p w14:paraId="2B7E4E0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计算某一室内声源靠近维护结构处产生的倍频带声压级或A声级，具体如下</w:t>
            </w:r>
            <w:r>
              <w:rPr>
                <w:rFonts w:hint="eastAsia"/>
                <w:color w:val="000000" w:themeColor="text1"/>
                <w14:textFill>
                  <w14:solidFill>
                    <w14:schemeClr w14:val="tx1"/>
                  </w14:solidFill>
                </w14:textFill>
              </w:rPr>
              <w:t>：</w:t>
            </w:r>
          </w:p>
          <w:p w14:paraId="2783153E">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291080" cy="483870"/>
                  <wp:effectExtent l="0" t="0" r="1397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5"/>
                          <a:stretch>
                            <a:fillRect/>
                          </a:stretch>
                        </pic:blipFill>
                        <pic:spPr>
                          <a:xfrm>
                            <a:off x="0" y="0"/>
                            <a:ext cx="2291080" cy="483870"/>
                          </a:xfrm>
                          <a:prstGeom prst="rect">
                            <a:avLst/>
                          </a:prstGeom>
                          <a:noFill/>
                          <a:ln>
                            <a:noFill/>
                          </a:ln>
                        </pic:spPr>
                      </pic:pic>
                    </a:graphicData>
                  </a:graphic>
                </wp:inline>
              </w:drawing>
            </w:r>
          </w:p>
          <w:p w14:paraId="6AD2AAB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2EEB008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Lp1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靠近开口处(或窗户)室内某倍频带的声压级或A声级，dB</w:t>
            </w:r>
            <w:r>
              <w:rPr>
                <w:rFonts w:hint="eastAsia"/>
                <w:color w:val="000000" w:themeColor="text1"/>
                <w14:textFill>
                  <w14:solidFill>
                    <w14:schemeClr w14:val="tx1"/>
                  </w14:solidFill>
                </w14:textFill>
              </w:rPr>
              <w:t>；</w:t>
            </w:r>
          </w:p>
          <w:p w14:paraId="087EEAF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点声源声功率级(A计权或倍频带)，dB</w:t>
            </w:r>
            <w:r>
              <w:rPr>
                <w:rFonts w:hint="eastAsia"/>
                <w:color w:val="000000" w:themeColor="text1"/>
                <w14:textFill>
                  <w14:solidFill>
                    <w14:schemeClr w14:val="tx1"/>
                  </w14:solidFill>
                </w14:textFill>
              </w:rPr>
              <w:t>；</w:t>
            </w:r>
          </w:p>
          <w:p w14:paraId="0808F5F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指向性因数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通常对无指向性声源，当声源放在房间中心时，Q=1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当放在一面墙的中心时，Q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当放在两面墙夹角处时，Q</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当放在三面墙夹角处时，Q=8</w:t>
            </w:r>
            <w:r>
              <w:rPr>
                <w:rFonts w:hint="eastAsia"/>
                <w:color w:val="000000" w:themeColor="text1"/>
                <w14:textFill>
                  <w14:solidFill>
                    <w14:schemeClr w14:val="tx1"/>
                  </w14:solidFill>
                </w14:textFill>
              </w:rPr>
              <w:t>；</w:t>
            </w:r>
          </w:p>
          <w:p w14:paraId="5AD12F0B">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房问常数</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R=S/a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，S为房问内表面面积，m</w:t>
            </w:r>
            <w:r>
              <w:rPr>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a为平均吸声系数</w:t>
            </w:r>
            <w:r>
              <w:rPr>
                <w:rFonts w:hint="eastAsia"/>
                <w:color w:val="000000" w:themeColor="text1"/>
                <w14:textFill>
                  <w14:solidFill>
                    <w14:schemeClr w14:val="tx1"/>
                  </w14:solidFill>
                </w14:textFill>
              </w:rPr>
              <w:t>；</w:t>
            </w:r>
          </w:p>
          <w:p w14:paraId="26068DD1">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计算出所有室内声源在维护结构处产生的i倍频带叠加声压级，具体按下式计算:</w:t>
            </w:r>
          </w:p>
          <w:p w14:paraId="647B5614">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47850" cy="43815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1847850" cy="438150"/>
                          </a:xfrm>
                          <a:prstGeom prst="rect">
                            <a:avLst/>
                          </a:prstGeom>
                          <a:noFill/>
                          <a:ln>
                            <a:noFill/>
                          </a:ln>
                        </pic:spPr>
                      </pic:pic>
                    </a:graphicData>
                  </a:graphic>
                </wp:inline>
              </w:drawing>
            </w:r>
          </w:p>
          <w:p w14:paraId="6AA21E3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686E4C31">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Lpli(T)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靠近围护结构处室内N个声源i倍频带的叠加声压级，dB;Lpi一室内j声源i倍频带的声压级，dB</w:t>
            </w:r>
            <w:r>
              <w:rPr>
                <w:rFonts w:hint="eastAsia"/>
                <w:color w:val="000000" w:themeColor="text1"/>
                <w14:textFill>
                  <w14:solidFill>
                    <w14:schemeClr w14:val="tx1"/>
                  </w14:solidFill>
                </w14:textFill>
              </w:rPr>
              <w:t>；</w:t>
            </w:r>
          </w:p>
          <w:p w14:paraId="6A6DEBA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室内声源总数。</w:t>
            </w:r>
          </w:p>
          <w:p w14:paraId="15F78A6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在室内近似为扩散声场时，按下式计算出靠近室外围护结构处的声压级</w:t>
            </w:r>
          </w:p>
          <w:p w14:paraId="5484F4CB">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423160" cy="381000"/>
                  <wp:effectExtent l="0" t="0" r="15240"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7"/>
                          <a:stretch>
                            <a:fillRect/>
                          </a:stretch>
                        </pic:blipFill>
                        <pic:spPr>
                          <a:xfrm>
                            <a:off x="0" y="0"/>
                            <a:ext cx="2423160" cy="381000"/>
                          </a:xfrm>
                          <a:prstGeom prst="rect">
                            <a:avLst/>
                          </a:prstGeom>
                          <a:noFill/>
                          <a:ln>
                            <a:noFill/>
                          </a:ln>
                        </pic:spPr>
                      </pic:pic>
                    </a:graphicData>
                  </a:graphic>
                </wp:inline>
              </w:drawing>
            </w:r>
          </w:p>
          <w:p w14:paraId="0BB0011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7A27888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Lp2i(T)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靠近围护结构处室外N个声源i倍频带的叠加声压级，dB</w:t>
            </w:r>
            <w:r>
              <w:rPr>
                <w:rFonts w:hint="eastAsia"/>
                <w:color w:val="000000" w:themeColor="text1"/>
                <w14:textFill>
                  <w14:solidFill>
                    <w14:schemeClr w14:val="tx1"/>
                  </w14:solidFill>
                </w14:textFill>
              </w:rPr>
              <w:t>；</w:t>
            </w:r>
          </w:p>
          <w:p w14:paraId="59AE935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TL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围护结构i倍频带的隔声量，dB。将室外声源的声压级和透过面积换算成等效的室外声源，计算出中心位置位于透声面积(S)处的等效声源的倍频带声功率级，具体计算公式如下:</w:t>
            </w:r>
          </w:p>
          <w:p w14:paraId="19565B47">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Lw =L</w:t>
            </w:r>
            <w:r>
              <w:rPr>
                <w:color w:val="000000" w:themeColor="text1"/>
                <w:vertAlign w:val="subscript"/>
                <w14:textFill>
                  <w14:solidFill>
                    <w14:schemeClr w14:val="tx1"/>
                  </w14:solidFill>
                </w14:textFill>
              </w:rPr>
              <w:t>p2</w:t>
            </w:r>
            <w:r>
              <w:rPr>
                <w:color w:val="000000" w:themeColor="text1"/>
                <w14:textFill>
                  <w14:solidFill>
                    <w14:schemeClr w14:val="tx1"/>
                  </w14:solidFill>
                </w14:textFill>
              </w:rPr>
              <w:t>(T)+10lg</w:t>
            </w:r>
            <w:r>
              <w:rPr>
                <w:rFonts w:hint="eastAsia"/>
                <w:color w:val="000000" w:themeColor="text1"/>
                <w14:textFill>
                  <w14:solidFill>
                    <w14:schemeClr w14:val="tx1"/>
                  </w14:solidFill>
                </w14:textFill>
              </w:rPr>
              <w:t>S</w:t>
            </w:r>
          </w:p>
          <w:p w14:paraId="20F865E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7469D762">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中心位置位于透声面积(S)处的等效声源的倍频带声功率级，dB</w:t>
            </w:r>
            <w:r>
              <w:rPr>
                <w:rFonts w:hint="eastAsia"/>
                <w:color w:val="000000" w:themeColor="text1"/>
                <w14:textFill>
                  <w14:solidFill>
                    <w14:schemeClr w14:val="tx1"/>
                  </w14:solidFill>
                </w14:textFill>
              </w:rPr>
              <w:t>；</w:t>
            </w:r>
          </w:p>
          <w:p w14:paraId="1B78B89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w:t>
            </w:r>
            <w:r>
              <w:rPr>
                <w:color w:val="000000" w:themeColor="text1"/>
                <w:vertAlign w:val="subscript"/>
                <w14:textFill>
                  <w14:solidFill>
                    <w14:schemeClr w14:val="tx1"/>
                  </w14:solidFill>
                </w14:textFill>
              </w:rPr>
              <w:t>p2</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靠近围护结构处室外声源的声压级，dB</w:t>
            </w:r>
            <w:r>
              <w:rPr>
                <w:rFonts w:hint="eastAsia"/>
                <w:color w:val="000000" w:themeColor="text1"/>
                <w14:textFill>
                  <w14:solidFill>
                    <w14:schemeClr w14:val="tx1"/>
                  </w14:solidFill>
                </w14:textFill>
              </w:rPr>
              <w:t>；</w:t>
            </w:r>
          </w:p>
          <w:p w14:paraId="014E91F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透声面积，m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3E415B2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(2)室外声源</w:t>
            </w:r>
          </w:p>
          <w:p w14:paraId="6C54005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根据声源声功率级、户外声传播衰减，计算预测点的声级，具体计算公示如下:</w:t>
            </w:r>
          </w:p>
          <w:p w14:paraId="6D9E5FAC">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Lp (r)= Lw + Dc -(Adiv + Aatm + Agr + Abar + Amisc)</w:t>
            </w:r>
          </w:p>
          <w:p w14:paraId="6FC947B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17D1FA0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Lp(r)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预测点处声压级，dB;</w:t>
            </w:r>
          </w:p>
          <w:p w14:paraId="6D7276D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Lw</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由点声源产生的声功率级(A计权或倍频带)，dB;</w:t>
            </w:r>
          </w:p>
          <w:p w14:paraId="5B46508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Dc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指向性校正，它描述点声源的等效连续声压级与产生声功率级L的全向点声源在规定方向的声级的偏差程度，dB;</w:t>
            </w:r>
          </w:p>
          <w:p w14:paraId="338C21E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Aaiv</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几何发散引起的衰减，dB;</w:t>
            </w:r>
          </w:p>
          <w:p w14:paraId="21FCC8F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Aamm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大气吸收引起的衰减，dB;</w:t>
            </w:r>
          </w:p>
          <w:p w14:paraId="79B5D0B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地面效应引起的衰减，dB;</w:t>
            </w:r>
          </w:p>
          <w:p w14:paraId="4F13FBE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Abar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障碍物屏蔽引起的衰减，dB;</w:t>
            </w:r>
          </w:p>
          <w:p w14:paraId="4CB3B272">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Ammise</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其他多方面效应引起的衰减，dB。</w:t>
            </w:r>
          </w:p>
          <w:p w14:paraId="24D19DF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衰减项的计算详见《环境影响评价技术导则 声环境》(HJ2.4-2021)附录A中的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A.3衰减项的计算</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小节内容，此处不再赘述。</w:t>
            </w:r>
          </w:p>
          <w:p w14:paraId="18A63C2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预测点的A声级计</w:t>
            </w:r>
          </w:p>
          <w:p w14:paraId="3C5DED05">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预测点的A声级LA(r)可按下式计算，具体如下:</w:t>
            </w:r>
          </w:p>
          <w:p w14:paraId="7A5ABEA4">
            <w:pPr>
              <w:pStyle w:val="8"/>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702560" cy="622300"/>
                  <wp:effectExtent l="0" t="0" r="254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8"/>
                          <a:stretch>
                            <a:fillRect/>
                          </a:stretch>
                        </pic:blipFill>
                        <pic:spPr>
                          <a:xfrm>
                            <a:off x="0" y="0"/>
                            <a:ext cx="2702560" cy="622300"/>
                          </a:xfrm>
                          <a:prstGeom prst="rect">
                            <a:avLst/>
                          </a:prstGeom>
                          <a:noFill/>
                          <a:ln>
                            <a:noFill/>
                          </a:ln>
                        </pic:spPr>
                      </pic:pic>
                    </a:graphicData>
                  </a:graphic>
                </wp:inline>
              </w:drawing>
            </w:r>
          </w:p>
          <w:p w14:paraId="0650940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Lpi(r)</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预测点(r)处，第i倍频带声压级，dB</w:t>
            </w:r>
            <w:r>
              <w:rPr>
                <w:rFonts w:hint="eastAsia"/>
                <w:color w:val="000000" w:themeColor="text1"/>
                <w14:textFill>
                  <w14:solidFill>
                    <w14:schemeClr w14:val="tx1"/>
                  </w14:solidFill>
                </w14:textFill>
              </w:rPr>
              <w:t>；</w:t>
            </w:r>
          </w:p>
          <w:p w14:paraId="5C4B096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第i倍频带的A计权网络修正值，dB。</w:t>
            </w:r>
          </w:p>
          <w:p w14:paraId="45B5D911">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预测点贡献值计算</w:t>
            </w:r>
          </w:p>
          <w:p w14:paraId="6C5530A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设第i个室外声源在预测点产生的A声级为LAi，在T时间内该声源工作时间为t;第j个等效室外声源在预测点产生的A声级为LA，在T时间内该声源工作时间为t，则拟建工程声源对预测点产生的贡献值(Lcqg)为:</w:t>
            </w:r>
          </w:p>
          <w:p w14:paraId="1B392BF9">
            <w:pPr>
              <w:pStyle w:val="8"/>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175635" cy="656590"/>
                  <wp:effectExtent l="0" t="0" r="5715" b="1016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9"/>
                          <a:stretch>
                            <a:fillRect/>
                          </a:stretch>
                        </pic:blipFill>
                        <pic:spPr>
                          <a:xfrm>
                            <a:off x="0" y="0"/>
                            <a:ext cx="3175635" cy="656590"/>
                          </a:xfrm>
                          <a:prstGeom prst="rect">
                            <a:avLst/>
                          </a:prstGeom>
                          <a:noFill/>
                          <a:ln>
                            <a:noFill/>
                          </a:ln>
                        </pic:spPr>
                      </pic:pic>
                    </a:graphicData>
                  </a:graphic>
                </wp:inline>
              </w:drawing>
            </w:r>
          </w:p>
          <w:p w14:paraId="7B58C21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式中:</w:t>
            </w:r>
          </w:p>
          <w:p w14:paraId="171B46B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Le</w:t>
            </w:r>
            <w:r>
              <w:rPr>
                <w:rFonts w:hint="eastAsia"/>
                <w:color w:val="000000" w:themeColor="text1"/>
                <w14:textFill>
                  <w14:solidFill>
                    <w14:schemeClr w14:val="tx1"/>
                  </w14:solidFill>
                </w14:textFill>
              </w:rPr>
              <w:t>q</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建设项目声源在预测点产生的噪声贡献值，dB;</w:t>
            </w:r>
          </w:p>
          <w:p w14:paraId="0C740032">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用于计算等效声级的时间，s:</w:t>
            </w:r>
          </w:p>
          <w:p w14:paraId="5938365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N</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室外声源个数;</w:t>
            </w:r>
          </w:p>
          <w:p w14:paraId="5C8A4A1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t在T时间内i声源工作时间，s:</w:t>
            </w:r>
          </w:p>
          <w:p w14:paraId="4049A9C0">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等效室外声源个数;</w:t>
            </w:r>
          </w:p>
          <w:p w14:paraId="6502109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t在T时间内j声源工作时间，s。</w:t>
            </w:r>
          </w:p>
          <w:p w14:paraId="1B42D1D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噪声环境影响预测及评价</w:t>
            </w:r>
          </w:p>
          <w:p w14:paraId="6D78D0F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厂界噪声环境影响预测及评价</w:t>
            </w:r>
          </w:p>
          <w:p w14:paraId="4EF46AF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建设项日各厂界噪声预测结果详见表4</w:t>
            </w:r>
            <w:r>
              <w:rPr>
                <w:rFonts w:hint="eastAsia"/>
                <w:color w:val="000000" w:themeColor="text1"/>
                <w14:textFill>
                  <w14:solidFill>
                    <w14:schemeClr w14:val="tx1"/>
                  </w14:solidFill>
                </w14:textFill>
              </w:rPr>
              <w:t>.2.3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w:t>
            </w:r>
          </w:p>
          <w:p w14:paraId="11B96A05">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4.2.3-2</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建设项目各厂界噪声预测结果一览表  单位:dB(A)</w:t>
            </w:r>
          </w:p>
          <w:tbl>
            <w:tblPr>
              <w:tblStyle w:val="1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2"/>
              <w:gridCol w:w="994"/>
              <w:gridCol w:w="997"/>
              <w:gridCol w:w="997"/>
              <w:gridCol w:w="997"/>
              <w:gridCol w:w="997"/>
              <w:gridCol w:w="999"/>
            </w:tblGrid>
            <w:tr w14:paraId="5EF1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4" w:type="pct"/>
                  <w:vMerge w:val="restart"/>
                  <w:vAlign w:val="center"/>
                </w:tcPr>
                <w:p w14:paraId="1124E9D5">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厂界</w:t>
                  </w:r>
                </w:p>
              </w:tc>
              <w:tc>
                <w:tcPr>
                  <w:tcW w:w="1250" w:type="pct"/>
                  <w:gridSpan w:val="2"/>
                  <w:vAlign w:val="center"/>
                </w:tcPr>
                <w:p w14:paraId="502B43B4">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噪声贡献值/dB(A)</w:t>
                  </w:r>
                </w:p>
              </w:tc>
              <w:tc>
                <w:tcPr>
                  <w:tcW w:w="1252" w:type="pct"/>
                  <w:gridSpan w:val="2"/>
                  <w:vAlign w:val="center"/>
                </w:tcPr>
                <w:p w14:paraId="26D13A7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噪声标准/dB(A)</w:t>
                  </w:r>
                </w:p>
              </w:tc>
              <w:tc>
                <w:tcPr>
                  <w:tcW w:w="1253" w:type="pct"/>
                  <w:gridSpan w:val="2"/>
                  <w:vAlign w:val="center"/>
                </w:tcPr>
                <w:p w14:paraId="43BDAF0B">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达标情况</w:t>
                  </w:r>
                </w:p>
              </w:tc>
            </w:tr>
            <w:tr w14:paraId="54AA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4" w:type="pct"/>
                  <w:vMerge w:val="continue"/>
                  <w:vAlign w:val="center"/>
                </w:tcPr>
                <w:p w14:paraId="5F9222C0">
                  <w:pPr>
                    <w:adjustRightInd w:val="0"/>
                    <w:snapToGrid w:val="0"/>
                    <w:jc w:val="center"/>
                    <w:rPr>
                      <w:b/>
                      <w:color w:val="000000" w:themeColor="text1"/>
                      <w:sz w:val="21"/>
                      <w:szCs w:val="21"/>
                      <w14:textFill>
                        <w14:solidFill>
                          <w14:schemeClr w14:val="tx1"/>
                        </w14:solidFill>
                      </w14:textFill>
                    </w:rPr>
                  </w:pPr>
                </w:p>
              </w:tc>
              <w:tc>
                <w:tcPr>
                  <w:tcW w:w="624" w:type="pct"/>
                  <w:vAlign w:val="center"/>
                </w:tcPr>
                <w:p w14:paraId="044C14F1">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昼间</w:t>
                  </w:r>
                </w:p>
              </w:tc>
              <w:tc>
                <w:tcPr>
                  <w:tcW w:w="626" w:type="pct"/>
                  <w:vAlign w:val="center"/>
                </w:tcPr>
                <w:p w14:paraId="75CC1852">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夜间</w:t>
                  </w:r>
                </w:p>
              </w:tc>
              <w:tc>
                <w:tcPr>
                  <w:tcW w:w="626" w:type="pct"/>
                  <w:vAlign w:val="center"/>
                </w:tcPr>
                <w:p w14:paraId="31CDF987">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昼间</w:t>
                  </w:r>
                </w:p>
              </w:tc>
              <w:tc>
                <w:tcPr>
                  <w:tcW w:w="626" w:type="pct"/>
                  <w:vAlign w:val="center"/>
                </w:tcPr>
                <w:p w14:paraId="45EA6DB5">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夜间</w:t>
                  </w:r>
                </w:p>
              </w:tc>
              <w:tc>
                <w:tcPr>
                  <w:tcW w:w="626" w:type="pct"/>
                  <w:vAlign w:val="center"/>
                </w:tcPr>
                <w:p w14:paraId="4D7FA566">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昼间</w:t>
                  </w:r>
                </w:p>
              </w:tc>
              <w:tc>
                <w:tcPr>
                  <w:tcW w:w="626" w:type="pct"/>
                  <w:vAlign w:val="center"/>
                </w:tcPr>
                <w:p w14:paraId="34F9226E">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夜间</w:t>
                  </w:r>
                </w:p>
              </w:tc>
            </w:tr>
            <w:tr w14:paraId="5FB4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4" w:type="pct"/>
                  <w:vAlign w:val="center"/>
                </w:tcPr>
                <w:p w14:paraId="334C7B7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东厂界</w:t>
                  </w:r>
                </w:p>
              </w:tc>
              <w:tc>
                <w:tcPr>
                  <w:tcW w:w="624" w:type="pct"/>
                  <w:vAlign w:val="center"/>
                </w:tcPr>
                <w:p w14:paraId="18294E6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46.06</w:t>
                  </w:r>
                </w:p>
              </w:tc>
              <w:tc>
                <w:tcPr>
                  <w:tcW w:w="626" w:type="pct"/>
                  <w:vAlign w:val="center"/>
                </w:tcPr>
                <w:p w14:paraId="03B1E53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41.20</w:t>
                  </w:r>
                </w:p>
              </w:tc>
              <w:tc>
                <w:tcPr>
                  <w:tcW w:w="626" w:type="pct"/>
                  <w:vAlign w:val="center"/>
                </w:tcPr>
                <w:p w14:paraId="5AB43FDB">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w:t>
                  </w:r>
                </w:p>
              </w:tc>
              <w:tc>
                <w:tcPr>
                  <w:tcW w:w="626" w:type="pct"/>
                  <w:vAlign w:val="center"/>
                </w:tcPr>
                <w:p w14:paraId="5002A793">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w:t>
                  </w:r>
                </w:p>
              </w:tc>
              <w:tc>
                <w:tcPr>
                  <w:tcW w:w="626" w:type="pct"/>
                  <w:vAlign w:val="center"/>
                </w:tcPr>
                <w:p w14:paraId="10E3854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c>
                <w:tcPr>
                  <w:tcW w:w="1136" w:type="dxa"/>
                  <w:vAlign w:val="center"/>
                </w:tcPr>
                <w:p w14:paraId="037CA43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213F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4" w:type="pct"/>
                  <w:vAlign w:val="center"/>
                </w:tcPr>
                <w:p w14:paraId="3C9045F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南厂界</w:t>
                  </w:r>
                </w:p>
              </w:tc>
              <w:tc>
                <w:tcPr>
                  <w:tcW w:w="624" w:type="pct"/>
                  <w:vAlign w:val="center"/>
                </w:tcPr>
                <w:p w14:paraId="05D88201">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56.08</w:t>
                  </w:r>
                </w:p>
              </w:tc>
              <w:tc>
                <w:tcPr>
                  <w:tcW w:w="626" w:type="pct"/>
                  <w:vAlign w:val="center"/>
                </w:tcPr>
                <w:p w14:paraId="5E00041A">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48.60</w:t>
                  </w:r>
                </w:p>
              </w:tc>
              <w:tc>
                <w:tcPr>
                  <w:tcW w:w="626" w:type="pct"/>
                  <w:vAlign w:val="center"/>
                </w:tcPr>
                <w:p w14:paraId="41AA4BF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w:t>
                  </w:r>
                </w:p>
              </w:tc>
              <w:tc>
                <w:tcPr>
                  <w:tcW w:w="626" w:type="pct"/>
                  <w:vAlign w:val="center"/>
                </w:tcPr>
                <w:p w14:paraId="3D2FFEA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w:t>
                  </w:r>
                </w:p>
              </w:tc>
              <w:tc>
                <w:tcPr>
                  <w:tcW w:w="626" w:type="pct"/>
                  <w:vAlign w:val="center"/>
                </w:tcPr>
                <w:p w14:paraId="7548CC3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c>
                <w:tcPr>
                  <w:tcW w:w="1136" w:type="dxa"/>
                  <w:vAlign w:val="center"/>
                </w:tcPr>
                <w:p w14:paraId="04CF56B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460C6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4" w:type="pct"/>
                  <w:vAlign w:val="center"/>
                </w:tcPr>
                <w:p w14:paraId="15A3E7A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西厂界</w:t>
                  </w:r>
                </w:p>
              </w:tc>
              <w:tc>
                <w:tcPr>
                  <w:tcW w:w="624" w:type="pct"/>
                  <w:vAlign w:val="center"/>
                </w:tcPr>
                <w:p w14:paraId="4BFBB715">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54.06</w:t>
                  </w:r>
                </w:p>
              </w:tc>
              <w:tc>
                <w:tcPr>
                  <w:tcW w:w="626" w:type="pct"/>
                  <w:vAlign w:val="center"/>
                </w:tcPr>
                <w:p w14:paraId="12AB754D">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47.36</w:t>
                  </w:r>
                </w:p>
              </w:tc>
              <w:tc>
                <w:tcPr>
                  <w:tcW w:w="626" w:type="pct"/>
                  <w:vAlign w:val="center"/>
                </w:tcPr>
                <w:p w14:paraId="56BFC830">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w:t>
                  </w:r>
                </w:p>
              </w:tc>
              <w:tc>
                <w:tcPr>
                  <w:tcW w:w="626" w:type="pct"/>
                  <w:vAlign w:val="center"/>
                </w:tcPr>
                <w:p w14:paraId="166FC2A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w:t>
                  </w:r>
                </w:p>
              </w:tc>
              <w:tc>
                <w:tcPr>
                  <w:tcW w:w="626" w:type="pct"/>
                  <w:vAlign w:val="center"/>
                </w:tcPr>
                <w:p w14:paraId="588AC1F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c>
                <w:tcPr>
                  <w:tcW w:w="1136" w:type="dxa"/>
                  <w:vAlign w:val="center"/>
                </w:tcPr>
                <w:p w14:paraId="5E3F8634">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r w14:paraId="5B84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1244" w:type="pct"/>
                  <w:vAlign w:val="center"/>
                </w:tcPr>
                <w:p w14:paraId="65D3B34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北厂界</w:t>
                  </w:r>
                </w:p>
              </w:tc>
              <w:tc>
                <w:tcPr>
                  <w:tcW w:w="624" w:type="pct"/>
                  <w:vAlign w:val="center"/>
                </w:tcPr>
                <w:p w14:paraId="0592A58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47.32</w:t>
                  </w:r>
                </w:p>
              </w:tc>
              <w:tc>
                <w:tcPr>
                  <w:tcW w:w="626" w:type="pct"/>
                  <w:vAlign w:val="center"/>
                </w:tcPr>
                <w:p w14:paraId="65E619D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40.62</w:t>
                  </w:r>
                </w:p>
              </w:tc>
              <w:tc>
                <w:tcPr>
                  <w:tcW w:w="626" w:type="pct"/>
                  <w:vAlign w:val="center"/>
                </w:tcPr>
                <w:p w14:paraId="477A447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65</w:t>
                  </w:r>
                </w:p>
              </w:tc>
              <w:tc>
                <w:tcPr>
                  <w:tcW w:w="626" w:type="pct"/>
                  <w:vAlign w:val="center"/>
                </w:tcPr>
                <w:p w14:paraId="38A170A2">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55</w:t>
                  </w:r>
                </w:p>
              </w:tc>
              <w:tc>
                <w:tcPr>
                  <w:tcW w:w="626" w:type="pct"/>
                  <w:vAlign w:val="center"/>
                </w:tcPr>
                <w:p w14:paraId="246AC3C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c>
                <w:tcPr>
                  <w:tcW w:w="1136" w:type="dxa"/>
                  <w:vAlign w:val="center"/>
                </w:tcPr>
                <w:p w14:paraId="2EE67E38">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达标</w:t>
                  </w:r>
                </w:p>
              </w:tc>
            </w:tr>
          </w:tbl>
          <w:p w14:paraId="15EAB42F">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根据表4.2.3-2分析表明，本项目运营后，各设备所产生的噪声在采取相应的措施后以及厂区内合理布局后，厂界昼间噪声预测值能达到《工业企业厂界环境噪声排放标准》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3类标准。</w:t>
            </w:r>
          </w:p>
          <w:p w14:paraId="680F32BB">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综上所述，建设项目噪声排放对周围环境影响较小，噪声防治措施可行。企业必须重视设备噪声治理、减振工程的设计及施工质量，确保达标，不得影响周边环境。</w:t>
            </w:r>
          </w:p>
          <w:p w14:paraId="2A1A30F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噪声污染源监测计划</w:t>
            </w:r>
          </w:p>
          <w:p w14:paraId="49D51EF7">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建设项目噪声污染源监测计划详见表</w:t>
            </w:r>
            <w:r>
              <w:rPr>
                <w:rFonts w:hint="eastAsia"/>
                <w:color w:val="000000" w:themeColor="text1"/>
                <w14:textFill>
                  <w14:solidFill>
                    <w14:schemeClr w14:val="tx1"/>
                  </w14:solidFill>
                </w14:textFill>
              </w:rPr>
              <w:t>4.2.3-3</w:t>
            </w:r>
            <w:r>
              <w:rPr>
                <w:color w:val="000000" w:themeColor="text1"/>
                <w14:textFill>
                  <w14:solidFill>
                    <w14:schemeClr w14:val="tx1"/>
                  </w14:solidFill>
                </w14:textFill>
              </w:rPr>
              <w:t>。</w:t>
            </w:r>
          </w:p>
          <w:p w14:paraId="3AEAEE58">
            <w:pPr>
              <w:spacing w:line="360" w:lineRule="auto"/>
              <w:jc w:val="center"/>
              <w:rPr>
                <w:b/>
                <w:color w:val="000000" w:themeColor="text1"/>
                <w14:textFill>
                  <w14:solidFill>
                    <w14:schemeClr w14:val="tx1"/>
                  </w14:solidFill>
                </w14:textFill>
              </w:rPr>
            </w:pPr>
          </w:p>
          <w:p w14:paraId="1011BC28">
            <w:pPr>
              <w:spacing w:line="360" w:lineRule="auto"/>
              <w:jc w:val="center"/>
              <w:rPr>
                <w:b/>
                <w:color w:val="000000" w:themeColor="text1"/>
                <w:szCs w:val="2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4.2.3-3 建设项目噪声污染源监测计划一览表</w:t>
            </w:r>
          </w:p>
          <w:tbl>
            <w:tblPr>
              <w:tblStyle w:val="1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1"/>
              <w:gridCol w:w="2657"/>
              <w:gridCol w:w="2657"/>
            </w:tblGrid>
            <w:tr w14:paraId="3F91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vAlign w:val="center"/>
                </w:tcPr>
                <w:p w14:paraId="136BF684">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监测点位</w:t>
                  </w:r>
                </w:p>
              </w:tc>
              <w:tc>
                <w:tcPr>
                  <w:tcW w:w="1667" w:type="pct"/>
                  <w:vAlign w:val="center"/>
                </w:tcPr>
                <w:p w14:paraId="2FDCF155">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监测因子</w:t>
                  </w:r>
                </w:p>
              </w:tc>
              <w:tc>
                <w:tcPr>
                  <w:tcW w:w="1667" w:type="pct"/>
                  <w:vAlign w:val="center"/>
                </w:tcPr>
                <w:p w14:paraId="4A231961">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监测频次</w:t>
                  </w:r>
                </w:p>
              </w:tc>
            </w:tr>
            <w:tr w14:paraId="460F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664" w:type="pct"/>
                  <w:vAlign w:val="center"/>
                </w:tcPr>
                <w:p w14:paraId="491D5B6E">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厂界四周</w:t>
                  </w:r>
                </w:p>
              </w:tc>
              <w:tc>
                <w:tcPr>
                  <w:tcW w:w="1667" w:type="pct"/>
                  <w:vAlign w:val="center"/>
                </w:tcPr>
                <w:p w14:paraId="06497237">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Leq</w:t>
                  </w:r>
                </w:p>
              </w:tc>
              <w:tc>
                <w:tcPr>
                  <w:tcW w:w="1667" w:type="pct"/>
                  <w:vAlign w:val="center"/>
                </w:tcPr>
                <w:p w14:paraId="4AAF66FF">
                  <w:pPr>
                    <w:adjustRightInd w:val="0"/>
                    <w:snapToGrid w:val="0"/>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1次/季度</w:t>
                  </w:r>
                </w:p>
              </w:tc>
            </w:tr>
          </w:tbl>
          <w:p w14:paraId="4BAF6FE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4.2.4</w:t>
            </w:r>
            <w:r>
              <w:rPr>
                <w:color w:val="000000" w:themeColor="text1"/>
                <w14:textFill>
                  <w14:solidFill>
                    <w14:schemeClr w14:val="tx1"/>
                  </w14:solidFill>
                </w14:textFill>
              </w:rPr>
              <w:t>固体废物</w:t>
            </w:r>
          </w:p>
          <w:p w14:paraId="2464AC1D">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本项目产生的固体废弃物主要为生活垃圾、废包装材料、废铜丝、废铝丝、</w:t>
            </w:r>
            <w:r>
              <w:rPr>
                <w:rFonts w:hint="eastAsia"/>
                <w:color w:val="000000" w:themeColor="text1"/>
                <w14:textFill>
                  <w14:solidFill>
                    <w14:schemeClr w14:val="tx1"/>
                  </w14:solidFill>
                </w14:textFill>
              </w:rPr>
              <w:t>废</w:t>
            </w:r>
            <w:r>
              <w:rPr>
                <w:color w:val="000000" w:themeColor="text1"/>
                <w14:textFill>
                  <w14:solidFill>
                    <w14:schemeClr w14:val="tx1"/>
                  </w14:solidFill>
                </w14:textFill>
              </w:rPr>
              <w:t>边角料、不合格品、废拉丝液</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废拉丝液</w:t>
            </w:r>
            <w:r>
              <w:rPr>
                <w:rFonts w:hint="eastAsia"/>
                <w:color w:val="000000" w:themeColor="text1"/>
                <w14:textFill>
                  <w14:solidFill>
                    <w14:schemeClr w14:val="tx1"/>
                  </w14:solidFill>
                </w14:textFill>
              </w:rPr>
              <w:t>桶</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机</w:t>
            </w:r>
            <w:r>
              <w:rPr>
                <w:color w:val="000000" w:themeColor="text1"/>
                <w14:textFill>
                  <w14:solidFill>
                    <w14:schemeClr w14:val="tx1"/>
                  </w14:solidFill>
                </w14:textFill>
              </w:rPr>
              <w:t>油桶、废油墨瓶、废活性炭。</w:t>
            </w:r>
          </w:p>
          <w:p w14:paraId="452B9B0B">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生活垃圾</w:t>
            </w:r>
          </w:p>
          <w:p w14:paraId="34E7CBE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本项目员工人数1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0人，项目内设食堂，不住宿，年工作日为300天，根据我国生活污染物排放系数，不住厂的生活垃圾按每人每天0.5kg/人d计算，则项目生活垃圾产生量为1</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ta。生活垃圾交由环卫部门统一收集处置。</w:t>
            </w:r>
          </w:p>
          <w:p w14:paraId="3B869E75">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废包装材料</w:t>
            </w:r>
          </w:p>
          <w:p w14:paraId="3679CF2A">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主要为外购原料、一次性用品包装袋，如塑料包装</w:t>
            </w:r>
            <w:r>
              <w:rPr>
                <w:rFonts w:hint="eastAsia"/>
                <w:color w:val="000000" w:themeColor="text1"/>
                <w14:textFill>
                  <w14:solidFill>
                    <w14:schemeClr w14:val="tx1"/>
                  </w14:solidFill>
                </w14:textFill>
              </w:rPr>
              <w:t>桶、</w:t>
            </w:r>
            <w:r>
              <w:rPr>
                <w:color w:val="000000" w:themeColor="text1"/>
                <w14:textFill>
                  <w14:solidFill>
                    <w14:schemeClr w14:val="tx1"/>
                  </w14:solidFill>
                </w14:textFill>
              </w:rPr>
              <w:t>纸箱等。产生量约</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t/a，属于一般废物，收集后外售综合利用。</w:t>
            </w:r>
          </w:p>
          <w:p w14:paraId="7A0D3DDE">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废铜丝</w:t>
            </w:r>
          </w:p>
          <w:p w14:paraId="690B7604">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拉丝、</w:t>
            </w:r>
            <w:r>
              <w:rPr>
                <w:color w:val="000000" w:themeColor="text1"/>
                <w14:textFill>
                  <w14:solidFill>
                    <w14:schemeClr w14:val="tx1"/>
                  </w14:solidFill>
                </w14:textFill>
              </w:rPr>
              <w:t>绞合工序工序会产生废铜丝，按照铜丝用量0.1%计，本项目使用金属量为</w:t>
            </w:r>
            <w:r>
              <w:rPr>
                <w:rFonts w:hint="eastAsia"/>
                <w:color w:val="000000" w:themeColor="text1"/>
                <w14:textFill>
                  <w14:solidFill>
                    <w14:schemeClr w14:val="tx1"/>
                  </w14:solidFill>
                </w14:textFill>
              </w:rPr>
              <w:t>3700t</w:t>
            </w:r>
            <w:r>
              <w:rPr>
                <w:color w:val="000000" w:themeColor="text1"/>
                <w14:textFill>
                  <w14:solidFill>
                    <w14:schemeClr w14:val="tx1"/>
                  </w14:solidFill>
                </w14:textFill>
              </w:rPr>
              <w:t>/a，则废金属料产生量约为</w:t>
            </w:r>
            <w:r>
              <w:rPr>
                <w:rFonts w:hint="eastAsia"/>
                <w:color w:val="000000" w:themeColor="text1"/>
                <w14:textFill>
                  <w14:solidFill>
                    <w14:schemeClr w14:val="tx1"/>
                  </w14:solidFill>
                </w14:textFill>
              </w:rPr>
              <w:t>3.7</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a，产生的废金属料收集后外售综合利用。</w:t>
            </w:r>
          </w:p>
          <w:p w14:paraId="77BB67C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废铝丝</w:t>
            </w:r>
          </w:p>
          <w:p w14:paraId="6B88D51E">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拉丝</w:t>
            </w:r>
            <w:r>
              <w:rPr>
                <w:color w:val="000000" w:themeColor="text1"/>
                <w14:textFill>
                  <w14:solidFill>
                    <w14:schemeClr w14:val="tx1"/>
                  </w14:solidFill>
                </w14:textFill>
              </w:rPr>
              <w:t>工序会产生废铝丝，按照铝丝用量0.1%计，本项目使用金属量为1</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00/a，则废金属料产生量约为1.5t/a，产生的废金属料收集后外售综合利用。</w:t>
            </w:r>
          </w:p>
          <w:p w14:paraId="7B64D71B">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边角料</w:t>
            </w:r>
          </w:p>
          <w:p w14:paraId="669D26B6">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本项目挤绝缘工序和挤护套工序、成缆、编织、铠装工序会产生废塑料边角料及废无纺布边角料，统称为边角料，按照项目塑料用量0.1%计，本项日塑料使用量为1</w:t>
            </w:r>
            <w:r>
              <w:rPr>
                <w:rFonts w:hint="eastAsia"/>
                <w:color w:val="000000" w:themeColor="text1"/>
                <w14:textFill>
                  <w14:solidFill>
                    <w14:schemeClr w14:val="tx1"/>
                  </w14:solidFill>
                </w14:textFill>
              </w:rPr>
              <w:t>0500</w:t>
            </w:r>
            <w:r>
              <w:rPr>
                <w:color w:val="000000" w:themeColor="text1"/>
                <w14:textFill>
                  <w14:solidFill>
                    <w14:schemeClr w14:val="tx1"/>
                  </w14:solidFill>
                </w14:textFill>
              </w:rPr>
              <w:t>t/a，产生量约为</w:t>
            </w:r>
            <w:r>
              <w:rPr>
                <w:rFonts w:hint="eastAsia"/>
                <w:color w:val="000000" w:themeColor="text1"/>
                <w14:textFill>
                  <w14:solidFill>
                    <w14:schemeClr w14:val="tx1"/>
                  </w14:solidFill>
                </w14:textFill>
              </w:rPr>
              <w:t>10.5</w:t>
            </w:r>
            <w:r>
              <w:rPr>
                <w:color w:val="000000" w:themeColor="text1"/>
                <w14:textFill>
                  <w14:solidFill>
                    <w14:schemeClr w14:val="tx1"/>
                  </w14:solidFill>
                </w14:textFill>
              </w:rPr>
              <w:t>t/a，产生的边角料收集后外售综合利用。</w:t>
            </w:r>
          </w:p>
          <w:p w14:paraId="35E2F05B">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不合格品</w:t>
            </w:r>
          </w:p>
          <w:p w14:paraId="5E2B9D89">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本项目检验工序会产生不合格产品，产生量约为4t/a，产生的不合格产品外售综合利用。</w:t>
            </w:r>
          </w:p>
          <w:p w14:paraId="54C2519A">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（7）废拉丝液</w:t>
            </w:r>
          </w:p>
          <w:p w14:paraId="46558F2D">
            <w:pPr>
              <w:numPr>
                <w:ilvl w:val="255"/>
                <w:numId w:val="0"/>
              </w:num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除去拉丝过程中挥发的拉丝油及铜丝、铝丝携带的拉丝油，剩余的拉丝油循环使用不外排，</w:t>
            </w:r>
            <w:r>
              <w:rPr>
                <w:rFonts w:hint="eastAsia"/>
                <w:color w:val="000000" w:themeColor="text1"/>
                <w14:textFill>
                  <w14:solidFill>
                    <w14:schemeClr w14:val="tx1"/>
                  </w14:solidFill>
                </w14:textFill>
              </w:rPr>
              <w:t>定期</w:t>
            </w:r>
            <w:r>
              <w:rPr>
                <w:color w:val="000000" w:themeColor="text1"/>
                <w14:textFill>
                  <w14:solidFill>
                    <w14:schemeClr w14:val="tx1"/>
                  </w14:solidFill>
                </w14:textFill>
              </w:rPr>
              <w:t>清理出的废拉丝液作为</w:t>
            </w:r>
            <w:r>
              <w:rPr>
                <w:rFonts w:hint="eastAsia"/>
                <w:color w:val="000000" w:themeColor="text1"/>
                <w14:textFill>
                  <w14:solidFill>
                    <w14:schemeClr w14:val="tx1"/>
                  </w14:solidFill>
                </w14:textFill>
              </w:rPr>
              <w:t>危险废物</w:t>
            </w:r>
            <w:r>
              <w:rPr>
                <w:color w:val="000000" w:themeColor="text1"/>
                <w14:textFill>
                  <w14:solidFill>
                    <w14:schemeClr w14:val="tx1"/>
                  </w14:solidFill>
                </w14:textFill>
              </w:rPr>
              <w:t>，约</w:t>
            </w:r>
            <w:r>
              <w:rPr>
                <w:rFonts w:hint="eastAsia"/>
                <w:color w:val="000000" w:themeColor="text1"/>
                <w14:textFill>
                  <w14:solidFill>
                    <w14:schemeClr w14:val="tx1"/>
                  </w14:solidFill>
                </w14:textFill>
              </w:rPr>
              <w:t>9</w:t>
            </w:r>
            <w:r>
              <w:rPr>
                <w:color w:val="000000" w:themeColor="text1"/>
                <w14:textFill>
                  <w14:solidFill>
                    <w14:schemeClr w14:val="tx1"/>
                  </w14:solidFill>
                </w14:textFill>
              </w:rPr>
              <w:t>t/a</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收集后交由资质单位处置。</w:t>
            </w:r>
          </w:p>
          <w:p w14:paraId="4A477FBD">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w:t>
            </w:r>
            <w:r>
              <w:rPr>
                <w:color w:val="000000" w:themeColor="text1"/>
                <w14:textFill>
                  <w14:solidFill>
                    <w14:schemeClr w14:val="tx1"/>
                  </w14:solidFill>
                </w14:textFill>
              </w:rPr>
              <w:t>废拉丝液</w:t>
            </w:r>
            <w:r>
              <w:rPr>
                <w:rFonts w:hint="eastAsia"/>
                <w:color w:val="000000" w:themeColor="text1"/>
                <w14:textFill>
                  <w14:solidFill>
                    <w14:schemeClr w14:val="tx1"/>
                  </w14:solidFill>
                </w14:textFill>
              </w:rPr>
              <w:t>桶</w:t>
            </w:r>
          </w:p>
          <w:p w14:paraId="33FC4FE0">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项日拉丝工序中使用矿物油，此过程产生废油桶，属于危险废物，危废种类为HW08，危废代码为900-249-08，根据业主提供的资料，废油桶年产生量约为0.01t/a。企业收集后交由有危废处置资质单位处理。</w:t>
            </w:r>
          </w:p>
          <w:p w14:paraId="71911286">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（9）</w:t>
            </w:r>
            <w:r>
              <w:rPr>
                <w:color w:val="000000" w:themeColor="text1"/>
                <w14:textFill>
                  <w14:solidFill>
                    <w14:schemeClr w14:val="tx1"/>
                  </w14:solidFill>
                </w14:textFill>
              </w:rPr>
              <w:t>废机油</w:t>
            </w:r>
          </w:p>
          <w:p w14:paraId="658089D3">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项目生产设备日常维护中会产生废机油，属于危险废物，危废种类为HW08，危废代码为900-214-08，本项目年使用量为0.2t，废机油产生量约为20%，废机油年产生量约为 0.04t/a。收集后暂存于厂区危险废物暂存场所，定期交由有危废处置资质单位进行处理。</w:t>
            </w:r>
          </w:p>
          <w:p w14:paraId="0F345A44">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（10）</w:t>
            </w:r>
            <w:r>
              <w:rPr>
                <w:color w:val="000000" w:themeColor="text1"/>
                <w14:textFill>
                  <w14:solidFill>
                    <w14:schemeClr w14:val="tx1"/>
                  </w14:solidFill>
                </w14:textFill>
              </w:rPr>
              <w:t>废机油桶</w:t>
            </w:r>
          </w:p>
          <w:p w14:paraId="6677AAC8">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项目生产设备日常维护中使用机油，此过程产生废机油桶，属于危险废物，危废种类为HW08，危废代码为900-249-08，根据业主提供的资料，废机油桶年产生量约为0.002t/a。企业收集后交由有危废处置资质单位处理。</w:t>
            </w:r>
          </w:p>
          <w:p w14:paraId="17DFB0D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（11）</w:t>
            </w: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油墨瓶</w:t>
            </w:r>
          </w:p>
          <w:p w14:paraId="7B8F2CEC">
            <w:pPr>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根据设备厂家提供相关资料，废油墨盒为原料的10%，废油墨盒产生约0.0</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ta，均暂存厂区危废间，定期交于资质单位处理。废油墨盒属于危险废物，危废类别为“HW49其他废物”，危废代码为900-041-49，暂存于厂区危废间，委托有危废处理资质的单位进行处理。</w:t>
            </w:r>
          </w:p>
          <w:p w14:paraId="3EBB4242">
            <w:pPr>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（12）</w:t>
            </w:r>
            <w:r>
              <w:rPr>
                <w:color w:val="000000" w:themeColor="text1"/>
                <w14:textFill>
                  <w14:solidFill>
                    <w14:schemeClr w14:val="tx1"/>
                  </w14:solidFill>
                </w14:textFill>
              </w:rPr>
              <w:t>废活性炭</w:t>
            </w:r>
          </w:p>
          <w:p w14:paraId="30E9C6CD">
            <w:pPr>
              <w:pStyle w:val="3"/>
              <w:spacing w:line="360" w:lineRule="auto"/>
              <w:ind w:firstLine="480"/>
              <w:rPr>
                <w:color w:val="000000" w:themeColor="text1"/>
                <w:spacing w:val="-3"/>
                <w:sz w:val="24"/>
                <w14:textFill>
                  <w14:solidFill>
                    <w14:schemeClr w14:val="tx1"/>
                  </w14:solidFill>
                </w14:textFill>
              </w:rPr>
            </w:pPr>
            <w:r>
              <w:rPr>
                <w:rFonts w:hint="eastAsia"/>
                <w:color w:val="000000" w:themeColor="text1"/>
                <w:sz w:val="24"/>
                <w14:textFill>
                  <w14:solidFill>
                    <w14:schemeClr w14:val="tx1"/>
                  </w14:solidFill>
                </w14:textFill>
              </w:rPr>
              <w:t>本项目废气处理过程会产生废活性炭，每吨活性炭可以处理0.3吨有机废气，本项目设置四套“二级活性炭吸附装置”，吸附有机废气约14.22t，需要47.40t活性炭，故产生废活性炭约61.62t/a，属丁《国家危险废物名录》(2021年版)中HW49其他废物类别，收集后妥善存放，交由有危废资质的单位回收处理。</w:t>
            </w:r>
          </w:p>
          <w:p w14:paraId="137C84BC">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4.2.4-1</w:t>
            </w:r>
            <w:r>
              <w:rPr>
                <w:b/>
                <w:color w:val="000000" w:themeColor="text1"/>
                <w14:textFill>
                  <w14:solidFill>
                    <w14:schemeClr w14:val="tx1"/>
                  </w14:solidFill>
                </w14:textFill>
              </w:rPr>
              <w:t xml:space="preserve"> 建设项目副产物产生情况汇总表</w:t>
            </w:r>
          </w:p>
          <w:tbl>
            <w:tblPr>
              <w:tblStyle w:val="1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740"/>
              <w:gridCol w:w="1916"/>
              <w:gridCol w:w="1110"/>
              <w:gridCol w:w="2371"/>
            </w:tblGrid>
            <w:tr w14:paraId="0294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18" w:type="pct"/>
                  <w:vAlign w:val="center"/>
                </w:tcPr>
                <w:p w14:paraId="2AFCE71B">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固废种类</w:t>
                  </w:r>
                </w:p>
              </w:tc>
              <w:tc>
                <w:tcPr>
                  <w:tcW w:w="1092" w:type="pct"/>
                  <w:vAlign w:val="center"/>
                </w:tcPr>
                <w:p w14:paraId="433AC33C">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固废名称</w:t>
                  </w:r>
                </w:p>
              </w:tc>
              <w:tc>
                <w:tcPr>
                  <w:tcW w:w="1203" w:type="pct"/>
                  <w:vAlign w:val="center"/>
                </w:tcPr>
                <w:p w14:paraId="4060B920">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分类编号</w:t>
                  </w:r>
                </w:p>
              </w:tc>
              <w:tc>
                <w:tcPr>
                  <w:tcW w:w="697" w:type="pct"/>
                  <w:vAlign w:val="center"/>
                </w:tcPr>
                <w:p w14:paraId="59AAE2C8">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产生量（t/a）</w:t>
                  </w:r>
                </w:p>
              </w:tc>
              <w:tc>
                <w:tcPr>
                  <w:tcW w:w="1488" w:type="pct"/>
                  <w:vAlign w:val="center"/>
                </w:tcPr>
                <w:p w14:paraId="0BCAEA8D">
                  <w:pPr>
                    <w:adjustRightInd w:val="0"/>
                    <w:snapToGrid w:val="0"/>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处置途径</w:t>
                  </w:r>
                </w:p>
              </w:tc>
            </w:tr>
            <w:tr w14:paraId="5C00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18" w:type="pct"/>
                  <w:vMerge w:val="restart"/>
                  <w:vAlign w:val="center"/>
                </w:tcPr>
                <w:p w14:paraId="235C3E6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一般固废</w:t>
                  </w:r>
                </w:p>
              </w:tc>
              <w:tc>
                <w:tcPr>
                  <w:tcW w:w="1092" w:type="pct"/>
                  <w:vAlign w:val="center"/>
                </w:tcPr>
                <w:p w14:paraId="24D3ECD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废包装材料</w:t>
                  </w:r>
                </w:p>
              </w:tc>
              <w:tc>
                <w:tcPr>
                  <w:tcW w:w="1203" w:type="pct"/>
                  <w:vAlign w:val="center"/>
                </w:tcPr>
                <w:p w14:paraId="7130B2C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383-001-07</w:t>
                  </w:r>
                </w:p>
              </w:tc>
              <w:tc>
                <w:tcPr>
                  <w:tcW w:w="697" w:type="pct"/>
                  <w:vAlign w:val="center"/>
                </w:tcPr>
                <w:p w14:paraId="7447D74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488" w:type="pct"/>
                  <w:vMerge w:val="restart"/>
                  <w:vAlign w:val="center"/>
                </w:tcPr>
                <w:p w14:paraId="031BC925">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收集后外售综合利用</w:t>
                  </w:r>
                </w:p>
              </w:tc>
            </w:tr>
            <w:tr w14:paraId="1A08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vAlign w:val="center"/>
                </w:tcPr>
                <w:p w14:paraId="1117E19A">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5C367FB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废铜丝</w:t>
                  </w:r>
                </w:p>
              </w:tc>
              <w:tc>
                <w:tcPr>
                  <w:tcW w:w="1203" w:type="pct"/>
                  <w:vAlign w:val="center"/>
                </w:tcPr>
                <w:p w14:paraId="31CDDD0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383-001-10</w:t>
                  </w:r>
                </w:p>
              </w:tc>
              <w:tc>
                <w:tcPr>
                  <w:tcW w:w="697" w:type="pct"/>
                  <w:vAlign w:val="center"/>
                </w:tcPr>
                <w:p w14:paraId="41A6328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w:t>
                  </w:r>
                </w:p>
              </w:tc>
              <w:tc>
                <w:tcPr>
                  <w:tcW w:w="1488" w:type="pct"/>
                  <w:vMerge w:val="continue"/>
                  <w:vAlign w:val="center"/>
                </w:tcPr>
                <w:p w14:paraId="1FEE74F0">
                  <w:pPr>
                    <w:adjustRightInd w:val="0"/>
                    <w:snapToGrid w:val="0"/>
                    <w:jc w:val="center"/>
                    <w:rPr>
                      <w:color w:val="000000" w:themeColor="text1"/>
                      <w:sz w:val="21"/>
                      <w:szCs w:val="21"/>
                      <w14:textFill>
                        <w14:solidFill>
                          <w14:schemeClr w14:val="tx1"/>
                        </w14:solidFill>
                      </w14:textFill>
                    </w:rPr>
                  </w:pPr>
                </w:p>
              </w:tc>
            </w:tr>
            <w:tr w14:paraId="1D2F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5" w:hRule="atLeast"/>
                <w:jc w:val="center"/>
              </w:trPr>
              <w:tc>
                <w:tcPr>
                  <w:tcW w:w="518" w:type="pct"/>
                  <w:vMerge w:val="continue"/>
                  <w:vAlign w:val="center"/>
                </w:tcPr>
                <w:p w14:paraId="615165E2">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0ABE6D1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废铝丝</w:t>
                  </w:r>
                </w:p>
              </w:tc>
              <w:tc>
                <w:tcPr>
                  <w:tcW w:w="1203" w:type="pct"/>
                  <w:vAlign w:val="center"/>
                </w:tcPr>
                <w:p w14:paraId="466AD01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383-001-10</w:t>
                  </w:r>
                </w:p>
              </w:tc>
              <w:tc>
                <w:tcPr>
                  <w:tcW w:w="697" w:type="pct"/>
                  <w:vAlign w:val="center"/>
                </w:tcPr>
                <w:p w14:paraId="0ABE9F1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488" w:type="pct"/>
                  <w:vMerge w:val="continue"/>
                  <w:vAlign w:val="center"/>
                </w:tcPr>
                <w:p w14:paraId="4DE9CB75">
                  <w:pPr>
                    <w:adjustRightInd w:val="0"/>
                    <w:snapToGrid w:val="0"/>
                    <w:jc w:val="center"/>
                    <w:rPr>
                      <w:color w:val="000000" w:themeColor="text1"/>
                      <w:sz w:val="21"/>
                      <w:szCs w:val="21"/>
                      <w14:textFill>
                        <w14:solidFill>
                          <w14:schemeClr w14:val="tx1"/>
                        </w14:solidFill>
                      </w14:textFill>
                    </w:rPr>
                  </w:pPr>
                </w:p>
              </w:tc>
            </w:tr>
            <w:tr w14:paraId="72BF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vAlign w:val="center"/>
                </w:tcPr>
                <w:p w14:paraId="377A77F9">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7059604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边角料</w:t>
                  </w:r>
                </w:p>
              </w:tc>
              <w:tc>
                <w:tcPr>
                  <w:tcW w:w="1203" w:type="pct"/>
                  <w:vAlign w:val="center"/>
                </w:tcPr>
                <w:p w14:paraId="2FCF4EF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383-001-06</w:t>
                  </w:r>
                </w:p>
              </w:tc>
              <w:tc>
                <w:tcPr>
                  <w:tcW w:w="697" w:type="pct"/>
                  <w:vAlign w:val="center"/>
                </w:tcPr>
                <w:p w14:paraId="3F147AF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10.5</w:t>
                  </w:r>
                </w:p>
              </w:tc>
              <w:tc>
                <w:tcPr>
                  <w:tcW w:w="1488" w:type="pct"/>
                  <w:vMerge w:val="continue"/>
                  <w:vAlign w:val="center"/>
                </w:tcPr>
                <w:p w14:paraId="0FBD7860">
                  <w:pPr>
                    <w:adjustRightInd w:val="0"/>
                    <w:snapToGrid w:val="0"/>
                    <w:jc w:val="center"/>
                    <w:rPr>
                      <w:color w:val="000000" w:themeColor="text1"/>
                      <w:sz w:val="21"/>
                      <w:szCs w:val="21"/>
                      <w14:textFill>
                        <w14:solidFill>
                          <w14:schemeClr w14:val="tx1"/>
                        </w14:solidFill>
                      </w14:textFill>
                    </w:rPr>
                  </w:pPr>
                </w:p>
              </w:tc>
            </w:tr>
            <w:tr w14:paraId="1B819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pct"/>
                  <w:vMerge w:val="continue"/>
                  <w:vAlign w:val="center"/>
                </w:tcPr>
                <w:p w14:paraId="3CB359D6">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478A39B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不合格品</w:t>
                  </w:r>
                </w:p>
              </w:tc>
              <w:tc>
                <w:tcPr>
                  <w:tcW w:w="1203" w:type="pct"/>
                  <w:vAlign w:val="center"/>
                </w:tcPr>
                <w:p w14:paraId="1CD3F1B4">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383-001-09</w:t>
                  </w:r>
                </w:p>
              </w:tc>
              <w:tc>
                <w:tcPr>
                  <w:tcW w:w="697" w:type="pct"/>
                  <w:vAlign w:val="center"/>
                </w:tcPr>
                <w:p w14:paraId="09EC34E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488" w:type="pct"/>
                  <w:vMerge w:val="continue"/>
                  <w:vAlign w:val="center"/>
                </w:tcPr>
                <w:p w14:paraId="45B713DB">
                  <w:pPr>
                    <w:adjustRightInd w:val="0"/>
                    <w:snapToGrid w:val="0"/>
                    <w:jc w:val="center"/>
                    <w:rPr>
                      <w:color w:val="000000" w:themeColor="text1"/>
                      <w:sz w:val="21"/>
                      <w:szCs w:val="21"/>
                      <w14:textFill>
                        <w14:solidFill>
                          <w14:schemeClr w14:val="tx1"/>
                        </w14:solidFill>
                      </w14:textFill>
                    </w:rPr>
                  </w:pPr>
                </w:p>
              </w:tc>
            </w:tr>
            <w:tr w14:paraId="7DF7A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restart"/>
                  <w:vAlign w:val="center"/>
                </w:tcPr>
                <w:p w14:paraId="4FA98B5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危险废物</w:t>
                  </w:r>
                </w:p>
              </w:tc>
              <w:tc>
                <w:tcPr>
                  <w:tcW w:w="1092" w:type="pct"/>
                  <w:vAlign w:val="center"/>
                </w:tcPr>
                <w:p w14:paraId="42C528A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w:t>
                  </w:r>
                </w:p>
              </w:tc>
              <w:tc>
                <w:tcPr>
                  <w:tcW w:w="1203" w:type="pct"/>
                  <w:vAlign w:val="center"/>
                </w:tcPr>
                <w:p w14:paraId="5B6D08E2">
                  <w:pPr>
                    <w:adjustRightInd w:val="0"/>
                    <w:snapToGrid w:val="0"/>
                    <w:jc w:val="center"/>
                    <w:rPr>
                      <w:sz w:val="21"/>
                      <w:szCs w:val="21"/>
                    </w:rPr>
                  </w:pPr>
                  <w:r>
                    <w:rPr>
                      <w:rFonts w:hint="eastAsia"/>
                      <w:sz w:val="21"/>
                      <w:szCs w:val="21"/>
                    </w:rPr>
                    <w:t>HW09</w:t>
                  </w:r>
                </w:p>
                <w:p w14:paraId="67A6602D">
                  <w:pPr>
                    <w:adjustRightInd w:val="0"/>
                    <w:snapToGrid w:val="0"/>
                    <w:jc w:val="center"/>
                    <w:rPr>
                      <w:color w:val="000000" w:themeColor="text1"/>
                      <w:sz w:val="21"/>
                      <w:szCs w:val="21"/>
                      <w14:textFill>
                        <w14:solidFill>
                          <w14:schemeClr w14:val="tx1"/>
                        </w14:solidFill>
                      </w14:textFill>
                    </w:rPr>
                  </w:pPr>
                  <w:r>
                    <w:rPr>
                      <w:rFonts w:hint="eastAsia"/>
                      <w:sz w:val="21"/>
                      <w:szCs w:val="21"/>
                    </w:rPr>
                    <w:t>900-006-09</w:t>
                  </w:r>
                </w:p>
              </w:tc>
              <w:tc>
                <w:tcPr>
                  <w:tcW w:w="697" w:type="pct"/>
                  <w:vAlign w:val="center"/>
                </w:tcPr>
                <w:p w14:paraId="73A56378">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1488" w:type="pct"/>
                  <w:vMerge w:val="restart"/>
                  <w:vAlign w:val="center"/>
                </w:tcPr>
                <w:p w14:paraId="14F8C02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收集后暂存于危废库内、定期交由有资质单位处置</w:t>
                  </w:r>
                </w:p>
              </w:tc>
            </w:tr>
            <w:tr w14:paraId="34A9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vAlign w:val="center"/>
                </w:tcPr>
                <w:p w14:paraId="554D1F8D">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0AC0589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废拉丝液桶</w:t>
                  </w:r>
                </w:p>
              </w:tc>
              <w:tc>
                <w:tcPr>
                  <w:tcW w:w="1203" w:type="pct"/>
                  <w:vAlign w:val="center"/>
                </w:tcPr>
                <w:p w14:paraId="10134FB5">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HW08 900-249-08</w:t>
                  </w:r>
                </w:p>
              </w:tc>
              <w:tc>
                <w:tcPr>
                  <w:tcW w:w="697" w:type="pct"/>
                  <w:vAlign w:val="center"/>
                </w:tcPr>
                <w:p w14:paraId="4FE584B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0.01</w:t>
                  </w:r>
                </w:p>
              </w:tc>
              <w:tc>
                <w:tcPr>
                  <w:tcW w:w="1488" w:type="pct"/>
                  <w:vMerge w:val="continue"/>
                  <w:vAlign w:val="center"/>
                </w:tcPr>
                <w:p w14:paraId="3321D9B1">
                  <w:pPr>
                    <w:adjustRightInd w:val="0"/>
                    <w:snapToGrid w:val="0"/>
                    <w:jc w:val="center"/>
                    <w:rPr>
                      <w:color w:val="000000" w:themeColor="text1"/>
                      <w:sz w:val="21"/>
                      <w:szCs w:val="21"/>
                      <w14:textFill>
                        <w14:solidFill>
                          <w14:schemeClr w14:val="tx1"/>
                        </w14:solidFill>
                      </w14:textFill>
                    </w:rPr>
                  </w:pPr>
                </w:p>
              </w:tc>
            </w:tr>
            <w:tr w14:paraId="3EE9E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18" w:type="pct"/>
                  <w:vMerge w:val="continue"/>
                  <w:vAlign w:val="center"/>
                </w:tcPr>
                <w:p w14:paraId="5B31AEB2">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1C07CE7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w:t>
                  </w:r>
                </w:p>
              </w:tc>
              <w:tc>
                <w:tcPr>
                  <w:tcW w:w="1203" w:type="pct"/>
                  <w:vAlign w:val="center"/>
                </w:tcPr>
                <w:p w14:paraId="7289537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900-</w:t>
                  </w:r>
                  <w:r>
                    <w:rPr>
                      <w:rFonts w:hint="eastAsia"/>
                      <w:color w:val="000000" w:themeColor="text1"/>
                      <w:sz w:val="21"/>
                      <w:szCs w:val="21"/>
                      <w14:textFill>
                        <w14:solidFill>
                          <w14:schemeClr w14:val="tx1"/>
                        </w14:solidFill>
                      </w14:textFill>
                    </w:rPr>
                    <w:t>214</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w:t>
                  </w:r>
                </w:p>
              </w:tc>
              <w:tc>
                <w:tcPr>
                  <w:tcW w:w="697" w:type="pct"/>
                  <w:vAlign w:val="center"/>
                </w:tcPr>
                <w:p w14:paraId="195510E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0.04</w:t>
                  </w:r>
                </w:p>
              </w:tc>
              <w:tc>
                <w:tcPr>
                  <w:tcW w:w="1488" w:type="pct"/>
                  <w:vMerge w:val="continue"/>
                  <w:vAlign w:val="center"/>
                </w:tcPr>
                <w:p w14:paraId="6F76E2DB">
                  <w:pPr>
                    <w:adjustRightInd w:val="0"/>
                    <w:snapToGrid w:val="0"/>
                    <w:jc w:val="center"/>
                    <w:rPr>
                      <w:color w:val="000000" w:themeColor="text1"/>
                      <w:sz w:val="21"/>
                      <w:szCs w:val="21"/>
                      <w14:textFill>
                        <w14:solidFill>
                          <w14:schemeClr w14:val="tx1"/>
                        </w14:solidFill>
                      </w14:textFill>
                    </w:rPr>
                  </w:pPr>
                </w:p>
              </w:tc>
            </w:tr>
            <w:tr w14:paraId="62892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vAlign w:val="center"/>
                </w:tcPr>
                <w:p w14:paraId="2DC757DE">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5382B61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废机油桶</w:t>
                  </w:r>
                </w:p>
              </w:tc>
              <w:tc>
                <w:tcPr>
                  <w:tcW w:w="1203" w:type="pct"/>
                  <w:vAlign w:val="center"/>
                </w:tcPr>
                <w:p w14:paraId="589167E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900-</w:t>
                  </w:r>
                  <w:r>
                    <w:rPr>
                      <w:rFonts w:hint="eastAsia"/>
                      <w:color w:val="000000" w:themeColor="text1"/>
                      <w:sz w:val="21"/>
                      <w:szCs w:val="21"/>
                      <w14:textFill>
                        <w14:solidFill>
                          <w14:schemeClr w14:val="tx1"/>
                        </w14:solidFill>
                      </w14:textFill>
                    </w:rPr>
                    <w:t>249</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08</w:t>
                  </w:r>
                </w:p>
              </w:tc>
              <w:tc>
                <w:tcPr>
                  <w:tcW w:w="697" w:type="pct"/>
                  <w:vAlign w:val="center"/>
                </w:tcPr>
                <w:p w14:paraId="5D4BDBF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0.002</w:t>
                  </w:r>
                </w:p>
              </w:tc>
              <w:tc>
                <w:tcPr>
                  <w:tcW w:w="1488" w:type="pct"/>
                  <w:vMerge w:val="continue"/>
                  <w:vAlign w:val="center"/>
                </w:tcPr>
                <w:p w14:paraId="424169EB">
                  <w:pPr>
                    <w:adjustRightInd w:val="0"/>
                    <w:snapToGrid w:val="0"/>
                    <w:jc w:val="center"/>
                    <w:rPr>
                      <w:color w:val="000000" w:themeColor="text1"/>
                      <w:sz w:val="21"/>
                      <w:szCs w:val="21"/>
                      <w14:textFill>
                        <w14:solidFill>
                          <w14:schemeClr w14:val="tx1"/>
                        </w14:solidFill>
                      </w14:textFill>
                    </w:rPr>
                  </w:pPr>
                </w:p>
              </w:tc>
            </w:tr>
            <w:tr w14:paraId="4C84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vAlign w:val="center"/>
                </w:tcPr>
                <w:p w14:paraId="4395B6F0">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6197EE8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废油墨瓶</w:t>
                  </w:r>
                </w:p>
              </w:tc>
              <w:tc>
                <w:tcPr>
                  <w:tcW w:w="1203" w:type="pct"/>
                  <w:vAlign w:val="center"/>
                </w:tcPr>
                <w:p w14:paraId="1CA5921F">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900-041-49</w:t>
                  </w:r>
                </w:p>
              </w:tc>
              <w:tc>
                <w:tcPr>
                  <w:tcW w:w="697" w:type="pct"/>
                  <w:vAlign w:val="center"/>
                </w:tcPr>
                <w:p w14:paraId="16E37F2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0.08</w:t>
                  </w:r>
                </w:p>
              </w:tc>
              <w:tc>
                <w:tcPr>
                  <w:tcW w:w="1488" w:type="pct"/>
                  <w:vMerge w:val="continue"/>
                  <w:vAlign w:val="center"/>
                </w:tcPr>
                <w:p w14:paraId="30912D52">
                  <w:pPr>
                    <w:adjustRightInd w:val="0"/>
                    <w:snapToGrid w:val="0"/>
                    <w:jc w:val="center"/>
                    <w:rPr>
                      <w:color w:val="000000" w:themeColor="text1"/>
                      <w:sz w:val="21"/>
                      <w:szCs w:val="21"/>
                      <w14:textFill>
                        <w14:solidFill>
                          <w14:schemeClr w14:val="tx1"/>
                        </w14:solidFill>
                      </w14:textFill>
                    </w:rPr>
                  </w:pPr>
                </w:p>
              </w:tc>
            </w:tr>
            <w:tr w14:paraId="76988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8" w:type="pct"/>
                  <w:vMerge w:val="continue"/>
                  <w:vAlign w:val="center"/>
                </w:tcPr>
                <w:p w14:paraId="0D838E25">
                  <w:pPr>
                    <w:adjustRightInd w:val="0"/>
                    <w:snapToGrid w:val="0"/>
                    <w:jc w:val="center"/>
                    <w:rPr>
                      <w:color w:val="000000" w:themeColor="text1"/>
                      <w:sz w:val="21"/>
                      <w:szCs w:val="21"/>
                      <w14:textFill>
                        <w14:solidFill>
                          <w14:schemeClr w14:val="tx1"/>
                        </w14:solidFill>
                      </w14:textFill>
                    </w:rPr>
                  </w:pPr>
                </w:p>
              </w:tc>
              <w:tc>
                <w:tcPr>
                  <w:tcW w:w="1092" w:type="pct"/>
                  <w:vAlign w:val="center"/>
                </w:tcPr>
                <w:p w14:paraId="0AF0CED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1203" w:type="pct"/>
                  <w:vAlign w:val="center"/>
                </w:tcPr>
                <w:p w14:paraId="533C3784">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900-0</w:t>
                  </w:r>
                  <w:r>
                    <w:rPr>
                      <w:rFonts w:hint="eastAsia"/>
                      <w:color w:val="000000" w:themeColor="text1"/>
                      <w:sz w:val="21"/>
                      <w:szCs w:val="21"/>
                      <w14:textFill>
                        <w14:solidFill>
                          <w14:schemeClr w14:val="tx1"/>
                        </w14:solidFill>
                      </w14:textFill>
                    </w:rPr>
                    <w:t>39</w:t>
                  </w:r>
                  <w:r>
                    <w:rPr>
                      <w:color w:val="000000" w:themeColor="text1"/>
                      <w:sz w:val="21"/>
                      <w:szCs w:val="21"/>
                      <w14:textFill>
                        <w14:solidFill>
                          <w14:schemeClr w14:val="tx1"/>
                        </w14:solidFill>
                      </w14:textFill>
                    </w:rPr>
                    <w:t>-49</w:t>
                  </w:r>
                </w:p>
              </w:tc>
              <w:tc>
                <w:tcPr>
                  <w:tcW w:w="697" w:type="pct"/>
                  <w:vAlign w:val="center"/>
                </w:tcPr>
                <w:p w14:paraId="482AB73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61.62</w:t>
                  </w:r>
                </w:p>
              </w:tc>
              <w:tc>
                <w:tcPr>
                  <w:tcW w:w="1488" w:type="pct"/>
                  <w:vMerge w:val="continue"/>
                  <w:vAlign w:val="center"/>
                </w:tcPr>
                <w:p w14:paraId="29C49BC5">
                  <w:pPr>
                    <w:adjustRightInd w:val="0"/>
                    <w:snapToGrid w:val="0"/>
                    <w:jc w:val="center"/>
                    <w:rPr>
                      <w:color w:val="000000" w:themeColor="text1"/>
                      <w:sz w:val="21"/>
                      <w:szCs w:val="21"/>
                      <w14:textFill>
                        <w14:solidFill>
                          <w14:schemeClr w14:val="tx1"/>
                        </w14:solidFill>
                      </w14:textFill>
                    </w:rPr>
                  </w:pPr>
                </w:p>
              </w:tc>
            </w:tr>
          </w:tbl>
          <w:p w14:paraId="550C7B24">
            <w:pPr>
              <w:widowControl/>
              <w:spacing w:before="156" w:beforeLines="50"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危险废物属性判定</w:t>
            </w:r>
          </w:p>
          <w:p w14:paraId="5ADCF6C2">
            <w:pPr>
              <w:widowControl/>
              <w:spacing w:line="348" w:lineRule="auto"/>
              <w:ind w:firstLine="464" w:firstLineChars="200"/>
              <w:rPr>
                <w:b/>
                <w:color w:val="000000" w:themeColor="text1"/>
                <w:szCs w:val="21"/>
                <w14:textFill>
                  <w14:solidFill>
                    <w14:schemeClr w14:val="tx1"/>
                  </w14:solidFill>
                </w14:textFill>
              </w:rPr>
            </w:pPr>
            <w:r>
              <w:rPr>
                <w:color w:val="000000" w:themeColor="text1"/>
                <w:spacing w:val="-4"/>
                <w:kern w:val="0"/>
                <w14:textFill>
                  <w14:solidFill>
                    <w14:schemeClr w14:val="tx1"/>
                  </w14:solidFill>
                </w14:textFill>
              </w:rPr>
              <w:t>根据《国家危险废物名录》以及《危险废物鉴别标准》进行判定，具体危险废物属性判定详见下表</w:t>
            </w:r>
            <w:r>
              <w:rPr>
                <w:rFonts w:hint="eastAsia"/>
                <w:color w:val="000000" w:themeColor="text1"/>
                <w:spacing w:val="-4"/>
                <w:kern w:val="0"/>
                <w14:textFill>
                  <w14:solidFill>
                    <w14:schemeClr w14:val="tx1"/>
                  </w14:solidFill>
                </w14:textFill>
              </w:rPr>
              <w:t>4.2.4-2</w:t>
            </w:r>
            <w:r>
              <w:rPr>
                <w:color w:val="000000" w:themeColor="text1"/>
                <w:spacing w:val="-4"/>
                <w:kern w:val="0"/>
                <w14:textFill>
                  <w14:solidFill>
                    <w14:schemeClr w14:val="tx1"/>
                  </w14:solidFill>
                </w14:textFill>
              </w:rPr>
              <w:t>。</w:t>
            </w:r>
          </w:p>
          <w:p w14:paraId="69F352C8">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4.2.4-2</w:t>
            </w:r>
            <w:r>
              <w:rPr>
                <w:b/>
                <w:color w:val="000000" w:themeColor="text1"/>
                <w14:textFill>
                  <w14:solidFill>
                    <w14:schemeClr w14:val="tx1"/>
                  </w14:solidFill>
                </w14:textFill>
              </w:rPr>
              <w:t xml:space="preserve">  危险废物属性判定</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698"/>
              <w:gridCol w:w="1553"/>
              <w:gridCol w:w="1964"/>
              <w:gridCol w:w="1881"/>
            </w:tblGrid>
            <w:tr w14:paraId="2D34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36BBA87C">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066" w:type="pct"/>
                  <w:vAlign w:val="center"/>
                </w:tcPr>
                <w:p w14:paraId="583B711E">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固体废物名称</w:t>
                  </w:r>
                </w:p>
              </w:tc>
              <w:tc>
                <w:tcPr>
                  <w:tcW w:w="975" w:type="pct"/>
                  <w:vAlign w:val="center"/>
                </w:tcPr>
                <w:p w14:paraId="7B6F5E17">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w:t>
                  </w:r>
                </w:p>
              </w:tc>
              <w:tc>
                <w:tcPr>
                  <w:tcW w:w="1233" w:type="pct"/>
                  <w:vAlign w:val="center"/>
                </w:tcPr>
                <w:p w14:paraId="7A79A285">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是否属于危险废物</w:t>
                  </w:r>
                </w:p>
              </w:tc>
              <w:tc>
                <w:tcPr>
                  <w:tcW w:w="1180" w:type="pct"/>
                  <w:vAlign w:val="center"/>
                </w:tcPr>
                <w:p w14:paraId="275CC66C">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废物代码</w:t>
                  </w:r>
                </w:p>
              </w:tc>
            </w:tr>
            <w:tr w14:paraId="0B4B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6242793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066" w:type="pct"/>
                  <w:vAlign w:val="center"/>
                </w:tcPr>
                <w:p w14:paraId="2B31B26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废包装材料</w:t>
                  </w:r>
                </w:p>
              </w:tc>
              <w:tc>
                <w:tcPr>
                  <w:tcW w:w="975" w:type="pct"/>
                  <w:vAlign w:val="center"/>
                </w:tcPr>
                <w:p w14:paraId="2C96482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原辅料包装等</w:t>
                  </w:r>
                </w:p>
              </w:tc>
              <w:tc>
                <w:tcPr>
                  <w:tcW w:w="1233" w:type="pct"/>
                  <w:vAlign w:val="center"/>
                </w:tcPr>
                <w:p w14:paraId="1C5ACA2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2138" w:type="dxa"/>
                  <w:vAlign w:val="center"/>
                </w:tcPr>
                <w:p w14:paraId="6208EBD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383-001-07</w:t>
                  </w:r>
                </w:p>
              </w:tc>
            </w:tr>
            <w:tr w14:paraId="46E3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shd w:val="clear" w:color="auto" w:fill="auto"/>
                  <w:vAlign w:val="center"/>
                </w:tcPr>
                <w:p w14:paraId="6AB8A2A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066" w:type="pct"/>
                  <w:shd w:val="clear" w:color="auto" w:fill="auto"/>
                  <w:vAlign w:val="center"/>
                </w:tcPr>
                <w:p w14:paraId="4844BE1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废边角料</w:t>
                  </w:r>
                </w:p>
              </w:tc>
              <w:tc>
                <w:tcPr>
                  <w:tcW w:w="975" w:type="pct"/>
                  <w:shd w:val="clear" w:color="auto" w:fill="auto"/>
                  <w:vAlign w:val="center"/>
                </w:tcPr>
                <w:p w14:paraId="103DD8B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绞线、挤塑等</w:t>
                  </w:r>
                </w:p>
              </w:tc>
              <w:tc>
                <w:tcPr>
                  <w:tcW w:w="1233" w:type="pct"/>
                  <w:shd w:val="clear" w:color="auto" w:fill="auto"/>
                  <w:vAlign w:val="center"/>
                </w:tcPr>
                <w:p w14:paraId="2FAED1B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2138" w:type="dxa"/>
                  <w:shd w:val="clear" w:color="auto" w:fill="auto"/>
                  <w:vAlign w:val="center"/>
                </w:tcPr>
                <w:p w14:paraId="60AF79D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383-001-10</w:t>
                  </w:r>
                </w:p>
              </w:tc>
            </w:tr>
            <w:tr w14:paraId="42AD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177CA2D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066" w:type="pct"/>
                  <w:vAlign w:val="center"/>
                </w:tcPr>
                <w:p w14:paraId="2380E65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废铜丝</w:t>
                  </w:r>
                </w:p>
              </w:tc>
              <w:tc>
                <w:tcPr>
                  <w:tcW w:w="975" w:type="pct"/>
                  <w:vAlign w:val="center"/>
                </w:tcPr>
                <w:p w14:paraId="2312046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33" w:type="pct"/>
                  <w:vAlign w:val="center"/>
                </w:tcPr>
                <w:p w14:paraId="053ED67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2138" w:type="dxa"/>
                  <w:vAlign w:val="center"/>
                </w:tcPr>
                <w:p w14:paraId="56B6ECF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383-001-10</w:t>
                  </w:r>
                </w:p>
              </w:tc>
            </w:tr>
            <w:tr w14:paraId="2F15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23888D5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066" w:type="pct"/>
                  <w:vAlign w:val="center"/>
                </w:tcPr>
                <w:p w14:paraId="48A4371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废铝丝</w:t>
                  </w:r>
                </w:p>
              </w:tc>
              <w:tc>
                <w:tcPr>
                  <w:tcW w:w="975" w:type="pct"/>
                  <w:vAlign w:val="center"/>
                </w:tcPr>
                <w:p w14:paraId="5EE1AB44">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233" w:type="pct"/>
                  <w:vAlign w:val="center"/>
                </w:tcPr>
                <w:p w14:paraId="127447F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2138" w:type="dxa"/>
                  <w:vAlign w:val="center"/>
                </w:tcPr>
                <w:p w14:paraId="11F996A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383-001-06</w:t>
                  </w:r>
                </w:p>
              </w:tc>
            </w:tr>
            <w:tr w14:paraId="6760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6F7ED5A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066" w:type="pct"/>
                  <w:vAlign w:val="center"/>
                </w:tcPr>
                <w:p w14:paraId="6FD6B5F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不合格品</w:t>
                  </w:r>
                </w:p>
              </w:tc>
              <w:tc>
                <w:tcPr>
                  <w:tcW w:w="975" w:type="pct"/>
                  <w:vAlign w:val="center"/>
                </w:tcPr>
                <w:p w14:paraId="1B109AC8">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检验</w:t>
                  </w:r>
                </w:p>
              </w:tc>
              <w:tc>
                <w:tcPr>
                  <w:tcW w:w="1233" w:type="pct"/>
                  <w:vAlign w:val="center"/>
                </w:tcPr>
                <w:p w14:paraId="670EA57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2138" w:type="dxa"/>
                  <w:vAlign w:val="center"/>
                </w:tcPr>
                <w:p w14:paraId="37EF035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383-001-09</w:t>
                  </w:r>
                </w:p>
              </w:tc>
            </w:tr>
            <w:tr w14:paraId="1798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Align w:val="center"/>
                </w:tcPr>
                <w:p w14:paraId="3CC0E0F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066" w:type="pct"/>
                  <w:vAlign w:val="center"/>
                </w:tcPr>
                <w:p w14:paraId="5F7C6A6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w:t>
                  </w:r>
                </w:p>
              </w:tc>
              <w:tc>
                <w:tcPr>
                  <w:tcW w:w="975" w:type="pct"/>
                  <w:vAlign w:val="center"/>
                </w:tcPr>
                <w:p w14:paraId="311F362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拉丝</w:t>
                  </w:r>
                </w:p>
              </w:tc>
              <w:tc>
                <w:tcPr>
                  <w:tcW w:w="1233" w:type="pct"/>
                  <w:vAlign w:val="center"/>
                </w:tcPr>
                <w:p w14:paraId="0D81F30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2138" w:type="dxa"/>
                  <w:vAlign w:val="center"/>
                </w:tcPr>
                <w:p w14:paraId="09C0D28C">
                  <w:pPr>
                    <w:adjustRightInd w:val="0"/>
                    <w:snapToGrid w:val="0"/>
                    <w:jc w:val="center"/>
                    <w:rPr>
                      <w:sz w:val="21"/>
                      <w:szCs w:val="21"/>
                    </w:rPr>
                  </w:pPr>
                  <w:r>
                    <w:rPr>
                      <w:rFonts w:hint="eastAsia"/>
                      <w:sz w:val="21"/>
                      <w:szCs w:val="21"/>
                    </w:rPr>
                    <w:t>HW09</w:t>
                  </w:r>
                </w:p>
                <w:p w14:paraId="201367EC">
                  <w:pPr>
                    <w:adjustRightInd w:val="0"/>
                    <w:snapToGrid w:val="0"/>
                    <w:jc w:val="center"/>
                    <w:rPr>
                      <w:color w:val="000000" w:themeColor="text1"/>
                      <w:sz w:val="21"/>
                      <w:szCs w:val="21"/>
                      <w14:textFill>
                        <w14:solidFill>
                          <w14:schemeClr w14:val="tx1"/>
                        </w14:solidFill>
                      </w14:textFill>
                    </w:rPr>
                  </w:pPr>
                  <w:r>
                    <w:rPr>
                      <w:rFonts w:hint="eastAsia"/>
                      <w:sz w:val="21"/>
                      <w:szCs w:val="21"/>
                    </w:rPr>
                    <w:t>900-006-09</w:t>
                  </w:r>
                </w:p>
              </w:tc>
            </w:tr>
            <w:tr w14:paraId="02573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shd w:val="clear" w:color="auto" w:fill="auto"/>
                  <w:vAlign w:val="center"/>
                </w:tcPr>
                <w:p w14:paraId="763D962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066" w:type="pct"/>
                  <w:shd w:val="clear" w:color="auto" w:fill="auto"/>
                  <w:vAlign w:val="center"/>
                </w:tcPr>
                <w:p w14:paraId="33B5889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废拉丝液桶</w:t>
                  </w:r>
                </w:p>
              </w:tc>
              <w:tc>
                <w:tcPr>
                  <w:tcW w:w="975" w:type="pct"/>
                  <w:shd w:val="clear" w:color="auto" w:fill="auto"/>
                  <w:vAlign w:val="center"/>
                </w:tcPr>
                <w:p w14:paraId="5646EF6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拉丝</w:t>
                  </w:r>
                </w:p>
              </w:tc>
              <w:tc>
                <w:tcPr>
                  <w:tcW w:w="1233" w:type="pct"/>
                  <w:shd w:val="clear" w:color="auto" w:fill="auto"/>
                  <w:vAlign w:val="center"/>
                </w:tcPr>
                <w:p w14:paraId="7A5A889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1180" w:type="pct"/>
                  <w:shd w:val="clear" w:color="auto" w:fill="auto"/>
                  <w:vAlign w:val="center"/>
                </w:tcPr>
                <w:p w14:paraId="7E36408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HW08 900-249-08</w:t>
                  </w:r>
                </w:p>
              </w:tc>
            </w:tr>
            <w:tr w14:paraId="36E3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shd w:val="clear" w:color="auto" w:fill="auto"/>
                  <w:vAlign w:val="center"/>
                </w:tcPr>
                <w:p w14:paraId="65E3B92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066" w:type="pct"/>
                  <w:shd w:val="clear" w:color="auto" w:fill="auto"/>
                  <w:vAlign w:val="center"/>
                </w:tcPr>
                <w:p w14:paraId="6C440C0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w:t>
                  </w:r>
                </w:p>
              </w:tc>
              <w:tc>
                <w:tcPr>
                  <w:tcW w:w="975" w:type="pct"/>
                  <w:shd w:val="clear" w:color="auto" w:fill="auto"/>
                  <w:vAlign w:val="center"/>
                </w:tcPr>
                <w:p w14:paraId="098F469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设备运行</w:t>
                  </w:r>
                </w:p>
              </w:tc>
              <w:tc>
                <w:tcPr>
                  <w:tcW w:w="1233" w:type="pct"/>
                  <w:shd w:val="clear" w:color="auto" w:fill="auto"/>
                  <w:vAlign w:val="center"/>
                </w:tcPr>
                <w:p w14:paraId="58949A2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1180" w:type="pct"/>
                  <w:shd w:val="clear" w:color="auto" w:fill="auto"/>
                  <w:vAlign w:val="center"/>
                </w:tcPr>
                <w:p w14:paraId="57E9941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HW08 900-214-08</w:t>
                  </w:r>
                </w:p>
              </w:tc>
            </w:tr>
            <w:tr w14:paraId="3E95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shd w:val="clear" w:color="auto" w:fill="auto"/>
                  <w:vAlign w:val="center"/>
                </w:tcPr>
                <w:p w14:paraId="4377B73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066" w:type="pct"/>
                  <w:shd w:val="clear" w:color="auto" w:fill="auto"/>
                  <w:vAlign w:val="center"/>
                </w:tcPr>
                <w:p w14:paraId="62BD0FC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废机油桶</w:t>
                  </w:r>
                </w:p>
              </w:tc>
              <w:tc>
                <w:tcPr>
                  <w:tcW w:w="975" w:type="pct"/>
                  <w:shd w:val="clear" w:color="auto" w:fill="auto"/>
                  <w:vAlign w:val="center"/>
                </w:tcPr>
                <w:p w14:paraId="0A13FC4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原辅料包装</w:t>
                  </w:r>
                </w:p>
              </w:tc>
              <w:tc>
                <w:tcPr>
                  <w:tcW w:w="1233" w:type="pct"/>
                  <w:shd w:val="clear" w:color="auto" w:fill="auto"/>
                  <w:vAlign w:val="center"/>
                </w:tcPr>
                <w:p w14:paraId="3BC0CF6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1180" w:type="pct"/>
                  <w:shd w:val="clear" w:color="auto" w:fill="auto"/>
                  <w:vAlign w:val="center"/>
                </w:tcPr>
                <w:p w14:paraId="6EE0BBE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HW49 900-249-08</w:t>
                  </w:r>
                </w:p>
              </w:tc>
            </w:tr>
            <w:tr w14:paraId="58FF0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shd w:val="clear" w:color="auto" w:fill="auto"/>
                  <w:vAlign w:val="center"/>
                </w:tcPr>
                <w:p w14:paraId="18CA097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066" w:type="pct"/>
                  <w:shd w:val="clear" w:color="auto" w:fill="auto"/>
                  <w:vAlign w:val="center"/>
                </w:tcPr>
                <w:p w14:paraId="19D8E04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废油墨瓶</w:t>
                  </w:r>
                </w:p>
              </w:tc>
              <w:tc>
                <w:tcPr>
                  <w:tcW w:w="975" w:type="pct"/>
                  <w:shd w:val="clear" w:color="auto" w:fill="auto"/>
                  <w:vAlign w:val="center"/>
                </w:tcPr>
                <w:p w14:paraId="3020244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原辅料包装</w:t>
                  </w:r>
                </w:p>
              </w:tc>
              <w:tc>
                <w:tcPr>
                  <w:tcW w:w="1233" w:type="pct"/>
                  <w:shd w:val="clear" w:color="auto" w:fill="auto"/>
                  <w:vAlign w:val="center"/>
                </w:tcPr>
                <w:p w14:paraId="5C1BE17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1180" w:type="pct"/>
                  <w:shd w:val="clear" w:color="auto" w:fill="auto"/>
                  <w:vAlign w:val="center"/>
                </w:tcPr>
                <w:p w14:paraId="34A5D592">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r>
                    <w:rPr>
                      <w:color w:val="000000" w:themeColor="text1"/>
                      <w:sz w:val="21"/>
                      <w:szCs w:val="21"/>
                      <w14:textFill>
                        <w14:solidFill>
                          <w14:schemeClr w14:val="tx1"/>
                        </w14:solidFill>
                      </w14:textFill>
                    </w:rPr>
                    <w:t>900-041-49</w:t>
                  </w:r>
                </w:p>
              </w:tc>
            </w:tr>
            <w:tr w14:paraId="7912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7" w:type="dxa"/>
                  <w:vAlign w:val="center"/>
                </w:tcPr>
                <w:p w14:paraId="4B34170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1066" w:type="pct"/>
                  <w:vAlign w:val="center"/>
                </w:tcPr>
                <w:p w14:paraId="28658573">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975" w:type="pct"/>
                  <w:vAlign w:val="center"/>
                </w:tcPr>
                <w:p w14:paraId="59BD4EF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废气处理</w:t>
                  </w:r>
                </w:p>
              </w:tc>
              <w:tc>
                <w:tcPr>
                  <w:tcW w:w="1233" w:type="pct"/>
                  <w:vAlign w:val="center"/>
                </w:tcPr>
                <w:p w14:paraId="4E8A35F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是</w:t>
                  </w:r>
                </w:p>
              </w:tc>
              <w:tc>
                <w:tcPr>
                  <w:tcW w:w="1180" w:type="pct"/>
                  <w:vAlign w:val="center"/>
                </w:tcPr>
                <w:p w14:paraId="27440F7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HW49 900-041-49</w:t>
                  </w:r>
                </w:p>
              </w:tc>
            </w:tr>
            <w:tr w14:paraId="4521B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Align w:val="center"/>
                </w:tcPr>
                <w:p w14:paraId="5C74CF1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1066" w:type="pct"/>
                  <w:vAlign w:val="center"/>
                </w:tcPr>
                <w:p w14:paraId="083966E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生活垃圾</w:t>
                  </w:r>
                </w:p>
              </w:tc>
              <w:tc>
                <w:tcPr>
                  <w:tcW w:w="975" w:type="pct"/>
                  <w:vAlign w:val="center"/>
                </w:tcPr>
                <w:p w14:paraId="1D2E1CB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员工生活</w:t>
                  </w:r>
                </w:p>
              </w:tc>
              <w:tc>
                <w:tcPr>
                  <w:tcW w:w="1233" w:type="pct"/>
                  <w:vAlign w:val="center"/>
                </w:tcPr>
                <w:p w14:paraId="0D11508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否</w:t>
                  </w:r>
                </w:p>
              </w:tc>
              <w:tc>
                <w:tcPr>
                  <w:tcW w:w="1180" w:type="pct"/>
                  <w:vAlign w:val="center"/>
                </w:tcPr>
                <w:p w14:paraId="6C4C45E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r>
          </w:tbl>
          <w:p w14:paraId="388EC0AF">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3、一般固废环境影响分析</w:t>
            </w:r>
          </w:p>
          <w:p w14:paraId="5782C1F4">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本项目产生的一般工业固体废物集中收集暂存于一般固废间，一般固废间设置在仓库内南侧，面积约10m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。企业在生产过程中，应加强一般固废间的管理，定点收集堆存，并及时处理，不会对环境造成不利影响。</w:t>
            </w:r>
          </w:p>
          <w:p w14:paraId="4E57995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4、危险废物环境影响分析</w:t>
            </w:r>
          </w:p>
          <w:p w14:paraId="11A16C94">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本项目产生的危险废物在转运之前暂存于危废暂存间，危废暂存间设置在仓库内南侧，面积约10m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。储存类别：废活性炭(HW49)、废油墨瓶(HW49)、废机油(HW08)等危险废物。本项目危险废物贮存场所的名称、位置、占地面积、贮存方式、贮存容积、贮存周期等基本信息见下表。</w:t>
            </w:r>
          </w:p>
          <w:p w14:paraId="78CF2D6C">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4.2.4-3</w:t>
            </w:r>
            <w:r>
              <w:rPr>
                <w:b/>
                <w:color w:val="000000" w:themeColor="text1"/>
                <w14:textFill>
                  <w14:solidFill>
                    <w14:schemeClr w14:val="tx1"/>
                  </w14:solidFill>
                </w14:textFill>
              </w:rPr>
              <w:t xml:space="preserve">  </w:t>
            </w:r>
            <w:r>
              <w:rPr>
                <w:rFonts w:hint="eastAsia"/>
                <w:b/>
                <w:color w:val="000000" w:themeColor="text1"/>
                <w14:textFill>
                  <w14:solidFill>
                    <w14:schemeClr w14:val="tx1"/>
                  </w14:solidFill>
                </w14:textFill>
              </w:rPr>
              <w:t>建设项目危险废物贮存场所(设施)基本情况</w:t>
            </w:r>
          </w:p>
          <w:tbl>
            <w:tblPr>
              <w:tblStyle w:val="1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959"/>
              <w:gridCol w:w="875"/>
              <w:gridCol w:w="1116"/>
              <w:gridCol w:w="1334"/>
              <w:gridCol w:w="1068"/>
              <w:gridCol w:w="1068"/>
              <w:gridCol w:w="1081"/>
            </w:tblGrid>
            <w:tr w14:paraId="7A5A4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Align w:val="center"/>
                </w:tcPr>
                <w:p w14:paraId="3F0E8943">
                  <w:pPr>
                    <w:pStyle w:val="31"/>
                    <w:ind w:firstLine="0" w:firstLineChars="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02" w:type="pct"/>
                  <w:vAlign w:val="center"/>
                </w:tcPr>
                <w:p w14:paraId="2BB4A117">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危险</w:t>
                  </w:r>
                  <w:r>
                    <w:rPr>
                      <w:b/>
                      <w:color w:val="000000" w:themeColor="text1"/>
                      <w:szCs w:val="21"/>
                      <w14:textFill>
                        <w14:solidFill>
                          <w14:schemeClr w14:val="tx1"/>
                        </w14:solidFill>
                      </w14:textFill>
                    </w:rPr>
                    <w:t>废物名称</w:t>
                  </w:r>
                </w:p>
              </w:tc>
              <w:tc>
                <w:tcPr>
                  <w:tcW w:w="549" w:type="pct"/>
                  <w:vAlign w:val="center"/>
                </w:tcPr>
                <w:p w14:paraId="4B94A959">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贮存场所</w:t>
                  </w:r>
                </w:p>
              </w:tc>
              <w:tc>
                <w:tcPr>
                  <w:tcW w:w="700" w:type="pct"/>
                  <w:vAlign w:val="center"/>
                </w:tcPr>
                <w:p w14:paraId="2131ABCD">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危险废物类别</w:t>
                  </w:r>
                </w:p>
              </w:tc>
              <w:tc>
                <w:tcPr>
                  <w:tcW w:w="837" w:type="pct"/>
                  <w:vAlign w:val="center"/>
                </w:tcPr>
                <w:p w14:paraId="0998A39A">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危险</w:t>
                  </w:r>
                  <w:r>
                    <w:rPr>
                      <w:b/>
                      <w:color w:val="000000" w:themeColor="text1"/>
                      <w:szCs w:val="21"/>
                      <w14:textFill>
                        <w14:solidFill>
                          <w14:schemeClr w14:val="tx1"/>
                        </w14:solidFill>
                      </w14:textFill>
                    </w:rPr>
                    <w:t>废物代码</w:t>
                  </w:r>
                </w:p>
              </w:tc>
              <w:tc>
                <w:tcPr>
                  <w:tcW w:w="670" w:type="pct"/>
                  <w:vAlign w:val="center"/>
                </w:tcPr>
                <w:p w14:paraId="3FC91367">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占地面积</w:t>
                  </w:r>
                </w:p>
              </w:tc>
              <w:tc>
                <w:tcPr>
                  <w:tcW w:w="670" w:type="pct"/>
                  <w:vAlign w:val="center"/>
                </w:tcPr>
                <w:p w14:paraId="1FFA22B2">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贮存方式</w:t>
                  </w:r>
                </w:p>
              </w:tc>
              <w:tc>
                <w:tcPr>
                  <w:tcW w:w="678" w:type="pct"/>
                  <w:vAlign w:val="center"/>
                </w:tcPr>
                <w:p w14:paraId="5A11DD0E">
                  <w:pPr>
                    <w:topLinePunct/>
                    <w:adjustRightInd w:val="0"/>
                    <w:snapToGrid w:val="0"/>
                    <w:jc w:val="center"/>
                    <w:rPr>
                      <w:b/>
                      <w:color w:val="000000" w:themeColor="text1"/>
                      <w:sz w:val="21"/>
                      <w:szCs w:val="21"/>
                      <w14:textFill>
                        <w14:solidFill>
                          <w14:schemeClr w14:val="tx1"/>
                        </w14:solidFill>
                      </w14:textFill>
                    </w:rPr>
                  </w:pPr>
                  <w:r>
                    <w:rPr>
                      <w:b/>
                      <w:color w:val="000000" w:themeColor="text1"/>
                      <w:kern w:val="0"/>
                      <w:sz w:val="21"/>
                      <w:szCs w:val="21"/>
                      <w14:textFill>
                        <w14:solidFill>
                          <w14:schemeClr w14:val="tx1"/>
                        </w14:solidFill>
                      </w14:textFill>
                    </w:rPr>
                    <w:t>污染防治措施</w:t>
                  </w:r>
                </w:p>
              </w:tc>
            </w:tr>
            <w:tr w14:paraId="04954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vAlign w:val="center"/>
                </w:tcPr>
                <w:p w14:paraId="75350830">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602" w:type="pct"/>
                  <w:shd w:val="clear" w:color="auto" w:fill="auto"/>
                  <w:vAlign w:val="center"/>
                </w:tcPr>
                <w:p w14:paraId="0E87FCD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w:t>
                  </w:r>
                </w:p>
              </w:tc>
              <w:tc>
                <w:tcPr>
                  <w:tcW w:w="549" w:type="pct"/>
                  <w:vMerge w:val="restart"/>
                  <w:shd w:val="clear" w:color="auto" w:fill="auto"/>
                  <w:vAlign w:val="center"/>
                </w:tcPr>
                <w:p w14:paraId="11FCABF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危废暂存间</w:t>
                  </w:r>
                </w:p>
              </w:tc>
              <w:tc>
                <w:tcPr>
                  <w:tcW w:w="700" w:type="pct"/>
                  <w:shd w:val="clear" w:color="auto" w:fill="auto"/>
                  <w:vAlign w:val="center"/>
                </w:tcPr>
                <w:p w14:paraId="255ECC7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HW09 </w:t>
                  </w:r>
                </w:p>
              </w:tc>
              <w:tc>
                <w:tcPr>
                  <w:tcW w:w="837" w:type="pct"/>
                  <w:shd w:val="clear" w:color="auto" w:fill="auto"/>
                  <w:vAlign w:val="center"/>
                </w:tcPr>
                <w:p w14:paraId="40D7F7D5">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900-006-09</w:t>
                  </w:r>
                </w:p>
              </w:tc>
              <w:tc>
                <w:tcPr>
                  <w:tcW w:w="670" w:type="pct"/>
                  <w:vMerge w:val="restart"/>
                  <w:shd w:val="clear" w:color="auto" w:fill="auto"/>
                  <w:vAlign w:val="center"/>
                </w:tcPr>
                <w:p w14:paraId="384B7C1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10m</w:t>
                  </w:r>
                  <w:r>
                    <w:rPr>
                      <w:rFonts w:hint="eastAsia"/>
                      <w:color w:val="000000" w:themeColor="text1"/>
                      <w:sz w:val="21"/>
                      <w:szCs w:val="21"/>
                      <w:vertAlign w:val="superscript"/>
                      <w14:textFill>
                        <w14:solidFill>
                          <w14:schemeClr w14:val="tx1"/>
                        </w14:solidFill>
                      </w14:textFill>
                    </w:rPr>
                    <w:t>2</w:t>
                  </w:r>
                </w:p>
              </w:tc>
              <w:tc>
                <w:tcPr>
                  <w:tcW w:w="670" w:type="pct"/>
                  <w:shd w:val="clear" w:color="auto" w:fill="auto"/>
                  <w:vAlign w:val="center"/>
                </w:tcPr>
                <w:p w14:paraId="42E49D2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桶装</w:t>
                  </w:r>
                </w:p>
              </w:tc>
              <w:tc>
                <w:tcPr>
                  <w:tcW w:w="678" w:type="pct"/>
                  <w:vMerge w:val="restart"/>
                  <w:shd w:val="clear" w:color="auto" w:fill="auto"/>
                  <w:vAlign w:val="center"/>
                </w:tcPr>
                <w:p w14:paraId="576CD0DB">
                  <w:pPr>
                    <w:topLinePunct/>
                    <w:adjustRightInd w:val="0"/>
                    <w:snapToGrid w:val="0"/>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委托有资质单位处置</w:t>
                  </w:r>
                </w:p>
              </w:tc>
            </w:tr>
            <w:tr w14:paraId="4B53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vAlign w:val="center"/>
                </w:tcPr>
                <w:p w14:paraId="5F2AA60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602" w:type="pct"/>
                  <w:shd w:val="clear" w:color="auto" w:fill="auto"/>
                  <w:vAlign w:val="center"/>
                </w:tcPr>
                <w:p w14:paraId="73FA23E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废拉丝液桶</w:t>
                  </w:r>
                </w:p>
              </w:tc>
              <w:tc>
                <w:tcPr>
                  <w:tcW w:w="549" w:type="pct"/>
                  <w:vMerge w:val="continue"/>
                  <w:shd w:val="clear" w:color="auto" w:fill="auto"/>
                  <w:vAlign w:val="center"/>
                </w:tcPr>
                <w:p w14:paraId="069AD69D">
                  <w:pPr>
                    <w:adjustRightInd w:val="0"/>
                    <w:snapToGrid w:val="0"/>
                    <w:jc w:val="center"/>
                    <w:rPr>
                      <w:color w:val="000000" w:themeColor="text1"/>
                      <w:sz w:val="21"/>
                      <w:szCs w:val="21"/>
                      <w14:textFill>
                        <w14:solidFill>
                          <w14:schemeClr w14:val="tx1"/>
                        </w14:solidFill>
                      </w14:textFill>
                    </w:rPr>
                  </w:pPr>
                </w:p>
              </w:tc>
              <w:tc>
                <w:tcPr>
                  <w:tcW w:w="700" w:type="pct"/>
                  <w:shd w:val="clear" w:color="auto" w:fill="auto"/>
                  <w:vAlign w:val="center"/>
                </w:tcPr>
                <w:p w14:paraId="60085CE8">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HW08 </w:t>
                  </w:r>
                </w:p>
              </w:tc>
              <w:tc>
                <w:tcPr>
                  <w:tcW w:w="837" w:type="pct"/>
                  <w:shd w:val="clear" w:color="auto" w:fill="auto"/>
                  <w:vAlign w:val="center"/>
                </w:tcPr>
                <w:p w14:paraId="2B9BD0F2">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900-249-08</w:t>
                  </w:r>
                </w:p>
              </w:tc>
              <w:tc>
                <w:tcPr>
                  <w:tcW w:w="670" w:type="pct"/>
                  <w:vMerge w:val="continue"/>
                  <w:shd w:val="clear" w:color="auto" w:fill="auto"/>
                  <w:vAlign w:val="center"/>
                </w:tcPr>
                <w:p w14:paraId="1A37AC7E">
                  <w:pPr>
                    <w:adjustRightInd w:val="0"/>
                    <w:snapToGrid w:val="0"/>
                    <w:jc w:val="center"/>
                    <w:rPr>
                      <w:color w:val="000000" w:themeColor="text1"/>
                      <w:sz w:val="21"/>
                      <w:szCs w:val="21"/>
                      <w14:textFill>
                        <w14:solidFill>
                          <w14:schemeClr w14:val="tx1"/>
                        </w14:solidFill>
                      </w14:textFill>
                    </w:rPr>
                  </w:pPr>
                </w:p>
              </w:tc>
              <w:tc>
                <w:tcPr>
                  <w:tcW w:w="670" w:type="pct"/>
                  <w:shd w:val="clear" w:color="auto" w:fill="auto"/>
                  <w:vAlign w:val="center"/>
                </w:tcPr>
                <w:p w14:paraId="276E8194">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w:t>
                  </w:r>
                </w:p>
              </w:tc>
              <w:tc>
                <w:tcPr>
                  <w:tcW w:w="678" w:type="pct"/>
                  <w:vMerge w:val="continue"/>
                  <w:shd w:val="clear" w:color="auto" w:fill="auto"/>
                  <w:vAlign w:val="center"/>
                </w:tcPr>
                <w:p w14:paraId="4D9A0CF7">
                  <w:pPr>
                    <w:topLinePunct/>
                    <w:adjustRightInd w:val="0"/>
                    <w:snapToGrid w:val="0"/>
                    <w:jc w:val="center"/>
                    <w:rPr>
                      <w:color w:val="000000" w:themeColor="text1"/>
                      <w:kern w:val="0"/>
                      <w:sz w:val="21"/>
                      <w:szCs w:val="21"/>
                      <w14:textFill>
                        <w14:solidFill>
                          <w14:schemeClr w14:val="tx1"/>
                        </w14:solidFill>
                      </w14:textFill>
                    </w:rPr>
                  </w:pPr>
                </w:p>
              </w:tc>
            </w:tr>
            <w:tr w14:paraId="4DA2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vAlign w:val="center"/>
                </w:tcPr>
                <w:p w14:paraId="6D003F1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602" w:type="pct"/>
                  <w:shd w:val="clear" w:color="auto" w:fill="auto"/>
                  <w:vAlign w:val="center"/>
                </w:tcPr>
                <w:p w14:paraId="3D8268FF">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w:t>
                  </w:r>
                </w:p>
              </w:tc>
              <w:tc>
                <w:tcPr>
                  <w:tcW w:w="549" w:type="pct"/>
                  <w:vMerge w:val="continue"/>
                  <w:shd w:val="clear" w:color="auto" w:fill="auto"/>
                  <w:vAlign w:val="center"/>
                </w:tcPr>
                <w:p w14:paraId="4F02C54B">
                  <w:pPr>
                    <w:adjustRightInd w:val="0"/>
                    <w:snapToGrid w:val="0"/>
                    <w:jc w:val="center"/>
                    <w:rPr>
                      <w:color w:val="000000" w:themeColor="text1"/>
                      <w:sz w:val="21"/>
                      <w:szCs w:val="21"/>
                      <w14:textFill>
                        <w14:solidFill>
                          <w14:schemeClr w14:val="tx1"/>
                        </w14:solidFill>
                      </w14:textFill>
                    </w:rPr>
                  </w:pPr>
                </w:p>
              </w:tc>
              <w:tc>
                <w:tcPr>
                  <w:tcW w:w="700" w:type="pct"/>
                  <w:shd w:val="clear" w:color="auto" w:fill="auto"/>
                  <w:vAlign w:val="center"/>
                </w:tcPr>
                <w:p w14:paraId="3857B31A">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HW08 </w:t>
                  </w:r>
                </w:p>
              </w:tc>
              <w:tc>
                <w:tcPr>
                  <w:tcW w:w="837" w:type="pct"/>
                  <w:shd w:val="clear" w:color="auto" w:fill="auto"/>
                  <w:vAlign w:val="center"/>
                </w:tcPr>
                <w:p w14:paraId="177EB2A8">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900-214-08</w:t>
                  </w:r>
                </w:p>
              </w:tc>
              <w:tc>
                <w:tcPr>
                  <w:tcW w:w="670" w:type="pct"/>
                  <w:vMerge w:val="continue"/>
                  <w:shd w:val="clear" w:color="auto" w:fill="auto"/>
                  <w:vAlign w:val="center"/>
                </w:tcPr>
                <w:p w14:paraId="72989212">
                  <w:pPr>
                    <w:adjustRightInd w:val="0"/>
                    <w:snapToGrid w:val="0"/>
                    <w:jc w:val="center"/>
                    <w:rPr>
                      <w:color w:val="000000" w:themeColor="text1"/>
                      <w:sz w:val="21"/>
                      <w:szCs w:val="21"/>
                      <w14:textFill>
                        <w14:solidFill>
                          <w14:schemeClr w14:val="tx1"/>
                        </w14:solidFill>
                      </w14:textFill>
                    </w:rPr>
                  </w:pPr>
                </w:p>
              </w:tc>
              <w:tc>
                <w:tcPr>
                  <w:tcW w:w="670" w:type="pct"/>
                  <w:shd w:val="clear" w:color="auto" w:fill="auto"/>
                  <w:vAlign w:val="center"/>
                </w:tcPr>
                <w:p w14:paraId="6228C1D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桶装</w:t>
                  </w:r>
                </w:p>
              </w:tc>
              <w:tc>
                <w:tcPr>
                  <w:tcW w:w="678" w:type="pct"/>
                  <w:vMerge w:val="continue"/>
                  <w:shd w:val="clear" w:color="auto" w:fill="auto"/>
                  <w:vAlign w:val="center"/>
                </w:tcPr>
                <w:p w14:paraId="50A10DFA">
                  <w:pPr>
                    <w:adjustRightInd w:val="0"/>
                    <w:snapToGrid w:val="0"/>
                    <w:jc w:val="center"/>
                    <w:rPr>
                      <w:color w:val="000000" w:themeColor="text1"/>
                      <w:sz w:val="21"/>
                      <w:szCs w:val="21"/>
                      <w14:textFill>
                        <w14:solidFill>
                          <w14:schemeClr w14:val="tx1"/>
                        </w14:solidFill>
                      </w14:textFill>
                    </w:rPr>
                  </w:pPr>
                </w:p>
              </w:tc>
            </w:tr>
            <w:tr w14:paraId="7902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vAlign w:val="center"/>
                </w:tcPr>
                <w:p w14:paraId="5B9312FD">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602" w:type="pct"/>
                  <w:shd w:val="clear" w:color="auto" w:fill="auto"/>
                  <w:vAlign w:val="center"/>
                </w:tcPr>
                <w:p w14:paraId="344C5D1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废机油桶</w:t>
                  </w:r>
                </w:p>
              </w:tc>
              <w:tc>
                <w:tcPr>
                  <w:tcW w:w="549" w:type="pct"/>
                  <w:vMerge w:val="continue"/>
                  <w:shd w:val="clear" w:color="auto" w:fill="auto"/>
                  <w:vAlign w:val="center"/>
                </w:tcPr>
                <w:p w14:paraId="709CD5E8">
                  <w:pPr>
                    <w:adjustRightInd w:val="0"/>
                    <w:snapToGrid w:val="0"/>
                    <w:jc w:val="center"/>
                    <w:rPr>
                      <w:color w:val="000000" w:themeColor="text1"/>
                      <w:sz w:val="21"/>
                      <w:szCs w:val="21"/>
                      <w14:textFill>
                        <w14:solidFill>
                          <w14:schemeClr w14:val="tx1"/>
                        </w14:solidFill>
                      </w14:textFill>
                    </w:rPr>
                  </w:pPr>
                </w:p>
              </w:tc>
              <w:tc>
                <w:tcPr>
                  <w:tcW w:w="700" w:type="pct"/>
                  <w:shd w:val="clear" w:color="auto" w:fill="auto"/>
                  <w:vAlign w:val="center"/>
                </w:tcPr>
                <w:p w14:paraId="4BC7243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HW49</w:t>
                  </w:r>
                </w:p>
              </w:tc>
              <w:tc>
                <w:tcPr>
                  <w:tcW w:w="837" w:type="pct"/>
                  <w:shd w:val="clear" w:color="auto" w:fill="auto"/>
                  <w:vAlign w:val="center"/>
                </w:tcPr>
                <w:p w14:paraId="31C4FA1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900-249-08</w:t>
                  </w:r>
                </w:p>
              </w:tc>
              <w:tc>
                <w:tcPr>
                  <w:tcW w:w="670" w:type="pct"/>
                  <w:vMerge w:val="continue"/>
                  <w:shd w:val="clear" w:color="auto" w:fill="auto"/>
                  <w:vAlign w:val="center"/>
                </w:tcPr>
                <w:p w14:paraId="6CBA3ED5">
                  <w:pPr>
                    <w:adjustRightInd w:val="0"/>
                    <w:snapToGrid w:val="0"/>
                    <w:jc w:val="center"/>
                    <w:rPr>
                      <w:color w:val="000000" w:themeColor="text1"/>
                      <w:sz w:val="21"/>
                      <w:szCs w:val="21"/>
                      <w14:textFill>
                        <w14:solidFill>
                          <w14:schemeClr w14:val="tx1"/>
                        </w14:solidFill>
                      </w14:textFill>
                    </w:rPr>
                  </w:pPr>
                </w:p>
              </w:tc>
              <w:tc>
                <w:tcPr>
                  <w:tcW w:w="670" w:type="pct"/>
                  <w:shd w:val="clear" w:color="auto" w:fill="auto"/>
                  <w:vAlign w:val="center"/>
                </w:tcPr>
                <w:p w14:paraId="4009575B">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w:t>
                  </w:r>
                </w:p>
              </w:tc>
              <w:tc>
                <w:tcPr>
                  <w:tcW w:w="678" w:type="pct"/>
                  <w:vMerge w:val="continue"/>
                  <w:shd w:val="clear" w:color="auto" w:fill="auto"/>
                  <w:vAlign w:val="center"/>
                </w:tcPr>
                <w:p w14:paraId="41692024">
                  <w:pPr>
                    <w:adjustRightInd w:val="0"/>
                    <w:snapToGrid w:val="0"/>
                    <w:jc w:val="center"/>
                    <w:rPr>
                      <w:color w:val="000000" w:themeColor="text1"/>
                      <w:sz w:val="21"/>
                      <w:szCs w:val="21"/>
                      <w14:textFill>
                        <w14:solidFill>
                          <w14:schemeClr w14:val="tx1"/>
                        </w14:solidFill>
                      </w14:textFill>
                    </w:rPr>
                  </w:pPr>
                </w:p>
              </w:tc>
            </w:tr>
            <w:tr w14:paraId="2B32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shd w:val="clear" w:color="auto" w:fill="auto"/>
                  <w:vAlign w:val="center"/>
                </w:tcPr>
                <w:p w14:paraId="7CD89E6E">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602" w:type="pct"/>
                  <w:shd w:val="clear" w:color="auto" w:fill="auto"/>
                  <w:vAlign w:val="center"/>
                </w:tcPr>
                <w:p w14:paraId="1D42D979">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废油墨瓶</w:t>
                  </w:r>
                </w:p>
              </w:tc>
              <w:tc>
                <w:tcPr>
                  <w:tcW w:w="549" w:type="pct"/>
                  <w:vMerge w:val="continue"/>
                  <w:shd w:val="clear" w:color="auto" w:fill="auto"/>
                  <w:vAlign w:val="center"/>
                </w:tcPr>
                <w:p w14:paraId="289DC602">
                  <w:pPr>
                    <w:adjustRightInd w:val="0"/>
                    <w:snapToGrid w:val="0"/>
                    <w:jc w:val="center"/>
                    <w:rPr>
                      <w:color w:val="000000" w:themeColor="text1"/>
                      <w:sz w:val="21"/>
                      <w:szCs w:val="21"/>
                      <w14:textFill>
                        <w14:solidFill>
                          <w14:schemeClr w14:val="tx1"/>
                        </w14:solidFill>
                      </w14:textFill>
                    </w:rPr>
                  </w:pPr>
                </w:p>
              </w:tc>
              <w:tc>
                <w:tcPr>
                  <w:tcW w:w="700" w:type="pct"/>
                  <w:shd w:val="clear" w:color="auto" w:fill="auto"/>
                  <w:vAlign w:val="center"/>
                </w:tcPr>
                <w:p w14:paraId="47C20667">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HW49</w:t>
                  </w:r>
                  <w:r>
                    <w:rPr>
                      <w:rFonts w:hint="eastAsia"/>
                      <w:color w:val="000000" w:themeColor="text1"/>
                      <w:sz w:val="21"/>
                      <w:szCs w:val="21"/>
                      <w14:textFill>
                        <w14:solidFill>
                          <w14:schemeClr w14:val="tx1"/>
                        </w14:solidFill>
                      </w14:textFill>
                    </w:rPr>
                    <w:t xml:space="preserve"> </w:t>
                  </w:r>
                </w:p>
              </w:tc>
              <w:tc>
                <w:tcPr>
                  <w:tcW w:w="837" w:type="pct"/>
                  <w:shd w:val="clear" w:color="auto" w:fill="auto"/>
                  <w:vAlign w:val="center"/>
                </w:tcPr>
                <w:p w14:paraId="797C88C9">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900-041-49</w:t>
                  </w:r>
                </w:p>
              </w:tc>
              <w:tc>
                <w:tcPr>
                  <w:tcW w:w="670" w:type="pct"/>
                  <w:vMerge w:val="continue"/>
                  <w:shd w:val="clear" w:color="auto" w:fill="auto"/>
                  <w:vAlign w:val="center"/>
                </w:tcPr>
                <w:p w14:paraId="39989263">
                  <w:pPr>
                    <w:adjustRightInd w:val="0"/>
                    <w:snapToGrid w:val="0"/>
                    <w:jc w:val="center"/>
                    <w:rPr>
                      <w:color w:val="000000" w:themeColor="text1"/>
                      <w:sz w:val="21"/>
                      <w:szCs w:val="21"/>
                      <w14:textFill>
                        <w14:solidFill>
                          <w14:schemeClr w14:val="tx1"/>
                        </w14:solidFill>
                      </w14:textFill>
                    </w:rPr>
                  </w:pPr>
                </w:p>
              </w:tc>
              <w:tc>
                <w:tcPr>
                  <w:tcW w:w="670" w:type="pct"/>
                  <w:shd w:val="clear" w:color="auto" w:fill="auto"/>
                  <w:vAlign w:val="center"/>
                </w:tcPr>
                <w:p w14:paraId="2D34B41C">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w:t>
                  </w:r>
                </w:p>
              </w:tc>
              <w:tc>
                <w:tcPr>
                  <w:tcW w:w="678" w:type="pct"/>
                  <w:vMerge w:val="continue"/>
                  <w:shd w:val="clear" w:color="auto" w:fill="auto"/>
                  <w:vAlign w:val="center"/>
                </w:tcPr>
                <w:p w14:paraId="59EE6F56">
                  <w:pPr>
                    <w:adjustRightInd w:val="0"/>
                    <w:snapToGrid w:val="0"/>
                    <w:jc w:val="center"/>
                    <w:rPr>
                      <w:color w:val="000000" w:themeColor="text1"/>
                      <w:sz w:val="21"/>
                      <w:szCs w:val="21"/>
                      <w14:textFill>
                        <w14:solidFill>
                          <w14:schemeClr w14:val="tx1"/>
                        </w14:solidFill>
                      </w14:textFill>
                    </w:rPr>
                  </w:pPr>
                </w:p>
              </w:tc>
            </w:tr>
            <w:tr w14:paraId="4802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 w:type="pct"/>
                  <w:vAlign w:val="center"/>
                </w:tcPr>
                <w:p w14:paraId="3B7FFD37">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602" w:type="pct"/>
                  <w:vAlign w:val="center"/>
                </w:tcPr>
                <w:p w14:paraId="3821F1D6">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废活性炭</w:t>
                  </w:r>
                </w:p>
              </w:tc>
              <w:tc>
                <w:tcPr>
                  <w:tcW w:w="549" w:type="pct"/>
                  <w:vMerge w:val="continue"/>
                  <w:vAlign w:val="center"/>
                </w:tcPr>
                <w:p w14:paraId="094763D4">
                  <w:pPr>
                    <w:adjustRightInd w:val="0"/>
                    <w:snapToGrid w:val="0"/>
                    <w:jc w:val="center"/>
                    <w:rPr>
                      <w:color w:val="000000" w:themeColor="text1"/>
                      <w:sz w:val="21"/>
                      <w:szCs w:val="21"/>
                      <w14:textFill>
                        <w14:solidFill>
                          <w14:schemeClr w14:val="tx1"/>
                        </w14:solidFill>
                      </w14:textFill>
                    </w:rPr>
                  </w:pPr>
                </w:p>
              </w:tc>
              <w:tc>
                <w:tcPr>
                  <w:tcW w:w="700" w:type="pct"/>
                  <w:vAlign w:val="center"/>
                </w:tcPr>
                <w:p w14:paraId="12CD81A1">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HW49 </w:t>
                  </w:r>
                </w:p>
              </w:tc>
              <w:tc>
                <w:tcPr>
                  <w:tcW w:w="837" w:type="pct"/>
                  <w:vAlign w:val="center"/>
                </w:tcPr>
                <w:p w14:paraId="70F2A725">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900-041-49</w:t>
                  </w:r>
                </w:p>
              </w:tc>
              <w:tc>
                <w:tcPr>
                  <w:tcW w:w="670" w:type="pct"/>
                  <w:vMerge w:val="continue"/>
                  <w:vAlign w:val="center"/>
                </w:tcPr>
                <w:p w14:paraId="28033659">
                  <w:pPr>
                    <w:adjustRightInd w:val="0"/>
                    <w:snapToGrid w:val="0"/>
                    <w:jc w:val="center"/>
                    <w:rPr>
                      <w:color w:val="000000" w:themeColor="text1"/>
                      <w:sz w:val="21"/>
                      <w:szCs w:val="21"/>
                      <w14:textFill>
                        <w14:solidFill>
                          <w14:schemeClr w14:val="tx1"/>
                        </w14:solidFill>
                      </w14:textFill>
                    </w:rPr>
                  </w:pPr>
                </w:p>
              </w:tc>
              <w:tc>
                <w:tcPr>
                  <w:tcW w:w="670" w:type="pct"/>
                  <w:vAlign w:val="center"/>
                </w:tcPr>
                <w:p w14:paraId="1E48AA35">
                  <w:pPr>
                    <w:adjustRightInd w:val="0"/>
                    <w:snapToGrid w:val="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袋装</w:t>
                  </w:r>
                </w:p>
              </w:tc>
              <w:tc>
                <w:tcPr>
                  <w:tcW w:w="678" w:type="pct"/>
                  <w:vMerge w:val="continue"/>
                  <w:vAlign w:val="center"/>
                </w:tcPr>
                <w:p w14:paraId="64B67DBB">
                  <w:pPr>
                    <w:adjustRightInd w:val="0"/>
                    <w:snapToGrid w:val="0"/>
                    <w:jc w:val="center"/>
                    <w:rPr>
                      <w:color w:val="000000" w:themeColor="text1"/>
                      <w:sz w:val="21"/>
                      <w:szCs w:val="21"/>
                      <w14:textFill>
                        <w14:solidFill>
                          <w14:schemeClr w14:val="tx1"/>
                        </w14:solidFill>
                      </w14:textFill>
                    </w:rPr>
                  </w:pPr>
                </w:p>
              </w:tc>
            </w:tr>
          </w:tbl>
          <w:p w14:paraId="1DD9412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日危险废物在厂内贮存时，执行《危险废物贮存污染控制标准》GB18597-2023)中相关规定，规范建设危废暂存问，般措施如下:1贮存设施应根据危险废物的形态、物理化学性质、包装形式和污染物迁移途径，采取必要的防风、防晒、防雨、防漏、防渗、防腐以及其他环境污染防治措施，不应露天堆放危险废物。</w:t>
            </w:r>
          </w:p>
          <w:p w14:paraId="32A48381">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①贮存设施应根据危险废物的类别、数量、形态、物理化学性质和污染防治等要求设置必要的贮存分区，避免不相容的危险废物接触、混合。</w:t>
            </w:r>
          </w:p>
          <w:p w14:paraId="6C55B0A5">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②贮存设施或贮存分区内地面、墙面裙脚、堵截泄漏的围堰、接触危险废物的隔板和墙体等应采用坚固的材料建造，表面无裂缝。</w:t>
            </w:r>
          </w:p>
          <w:p w14:paraId="2E66A068">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③贮存设施地面与裙脚应采取表面防渗措施:表面防渗材料应与所接触的物料或污染物相容，可采用抗渗混凝土、高密度聚乙烯膜、钠基膨润土防水毯或其他防渗性能等效的材料。</w:t>
            </w:r>
          </w:p>
          <w:p w14:paraId="3224700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④贮存的危险废物直接接触地面的，还应进行基础防渗，防渗层为至少1m厚黏层，或至少2mm厚高密度聚乙烯膜等人工防渗材料(渗透系数不大于10cm/s)，或其他防渗性能等效的材料。</w:t>
            </w:r>
          </w:p>
          <w:p w14:paraId="3AE98F0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⑤同一贮存设施宜采用相同的防渗、防腐工艺(包括防渗、防腐结构或材料)，防渗、防腐材料应覆盖所有可能与废物及其渗滤液、渗漏液等接触的构筑物表面;采用不同防渗、防腐工艺应分别建设贮存分区。</w:t>
            </w:r>
          </w:p>
          <w:p w14:paraId="2D2025DB">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⑥贮存设施应采取技术和管理措施防止无关人员进入。</w:t>
            </w:r>
          </w:p>
          <w:p w14:paraId="45590C23">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本项目属于危废贮存库，其加强污染控制措施如下：</w:t>
            </w:r>
          </w:p>
          <w:p w14:paraId="043382CB">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①贮存库内不同贮存分区之间应采取隔离措施。隔离措施可根据危险废物特性采川过道、隔板或隔墙等方式。</w:t>
            </w:r>
          </w:p>
          <w:p w14:paraId="472D64B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在购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337C7D98">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③贮存易产生粉尘、VOCs、酸雾、有毒有害大气污染物和刺激性气味气体的危险废物贮存库，应设置气体收集装置和气体净化设施；气体净化设施的排气筒高度应符合GB16297要求。</w:t>
            </w:r>
          </w:p>
          <w:p w14:paraId="49EAF8E6">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采取上述措施后，能够确保本项目危险废物在厂内贮存时得到有效的处置，对环境影响较小。</w:t>
            </w:r>
          </w:p>
          <w:p w14:paraId="565B70BC">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危险废物运输及转移过程环境影响分析：</w:t>
            </w:r>
          </w:p>
          <w:p w14:paraId="0D00CCB1">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外运时严格按照中华人民共和国生态环境部令第23号文件《危险废物转移管理办法》的相关规定报批危险废物转移计划，转移危险废物时按照规定填报危险废物转移联单，并向危险废物移出地和接受地的县级以上:地方人民政府生态环境主管部门报告。运输危险废物的人员接受专业培训经考核合格后从事运输危险废物的工作；运输危险废物的资质单位应当制定在发生意外事故时采取的应急措施和防范措施方可运输;运输时，发生突发性事故必须立即采取措施消除或者减轻对环境的污染危害，及时通报给附近的单位和居民，并向事故发生地县级以上人民政府生态环境主管部门和有关部门报告，接受调查处理。运输过程中做到密闭，沿途不抛酒，应有明显的标志，并有防雨、防晒等设施。运输路线按照主管部门制定路线进行运输，同吋应配备全球卫星定位和事故报警装置。</w:t>
            </w:r>
          </w:p>
          <w:p w14:paraId="72B96775">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综上所述，项目运输过程做好相关工作对外环境的影响是可以控制的。环评要求危险废物应及时转运，废物的转运过程中应封闭，以防散落，转运车辆应加盖蓬布，以防散入路面。危险废物内部转运应综合考虑厂区的实际情况确定转运路线，尽量避开生活区和办公区；危险废物内部转运应采用专用的工具。</w:t>
            </w:r>
          </w:p>
          <w:p w14:paraId="4DC2E67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4.2.5地下水、土壤</w:t>
            </w:r>
          </w:p>
          <w:p w14:paraId="490F6F77">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（1）污染源及污染途径</w:t>
            </w:r>
          </w:p>
          <w:p w14:paraId="70341014">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本项目污染物可能造成地下水和土壤污染的主要污染源和途径为危废暂存间和油类存放区防渗措施不到位，在危废和油类贮存及转运过程中操作不当引起物料泄漏，造成污染。</w:t>
            </w:r>
          </w:p>
          <w:p w14:paraId="1859C608">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（2）污染防控措施</w:t>
            </w:r>
          </w:p>
          <w:p w14:paraId="470ED0A3">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危废暂存间的危废容器均根据物料性质选择相容材质的容器存放；建立巡检制度，定期对危废暂存间和油类存放区进行检查，确保设施设备状况良好。危废暂存间按重点防渗区进行防渗，危险废物暂存场所的设置和管理严格执行《危险废物贮存污染控制标准》(GB18597-2023)的规定：具体分区防治措施详见下表。</w:t>
            </w:r>
          </w:p>
          <w:p w14:paraId="1E66CBBE">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4.2.5-1</w:t>
            </w:r>
            <w:r>
              <w:rPr>
                <w:b/>
                <w:color w:val="000000" w:themeColor="text1"/>
                <w14:textFill>
                  <w14:solidFill>
                    <w14:schemeClr w14:val="tx1"/>
                  </w14:solidFill>
                </w14:textFill>
              </w:rPr>
              <w:t xml:space="preserve"> </w:t>
            </w:r>
            <w:r>
              <w:rPr>
                <w:rFonts w:hint="eastAsia"/>
                <w:b/>
                <w:color w:val="000000" w:themeColor="text1"/>
                <w:lang w:val="en-US" w:eastAsia="zh-CN"/>
                <w14:textFill>
                  <w14:solidFill>
                    <w14:schemeClr w14:val="tx1"/>
                  </w14:solidFill>
                </w14:textFill>
              </w:rPr>
              <w:t xml:space="preserve"> </w:t>
            </w:r>
            <w:r>
              <w:rPr>
                <w:rFonts w:hint="eastAsia"/>
                <w:b/>
                <w:color w:val="000000" w:themeColor="text1"/>
                <w14:textFill>
                  <w14:solidFill>
                    <w14:schemeClr w14:val="tx1"/>
                  </w14:solidFill>
                </w14:textFill>
              </w:rPr>
              <w:t>项目防渗分区</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2240"/>
              <w:gridCol w:w="2043"/>
              <w:gridCol w:w="2605"/>
            </w:tblGrid>
            <w:tr w14:paraId="0DB1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68A2F949">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防渗区</w:t>
                  </w:r>
                </w:p>
              </w:tc>
              <w:tc>
                <w:tcPr>
                  <w:tcW w:w="1406" w:type="pct"/>
                  <w:vAlign w:val="center"/>
                </w:tcPr>
                <w:p w14:paraId="4F424760">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构筑物名称</w:t>
                  </w:r>
                </w:p>
              </w:tc>
              <w:tc>
                <w:tcPr>
                  <w:tcW w:w="1282" w:type="pct"/>
                  <w:vAlign w:val="center"/>
                </w:tcPr>
                <w:p w14:paraId="3CB91042">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防腐防渗措施</w:t>
                  </w:r>
                </w:p>
              </w:tc>
              <w:tc>
                <w:tcPr>
                  <w:tcW w:w="1635" w:type="pct"/>
                  <w:vAlign w:val="center"/>
                </w:tcPr>
                <w:p w14:paraId="22B17A69">
                  <w:pPr>
                    <w:pStyle w:val="31"/>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防渗技术要求</w:t>
                  </w:r>
                </w:p>
              </w:tc>
            </w:tr>
            <w:tr w14:paraId="7440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7BA21149">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重点防渗区</w:t>
                  </w:r>
                </w:p>
              </w:tc>
              <w:tc>
                <w:tcPr>
                  <w:tcW w:w="1406" w:type="pct"/>
                  <w:vAlign w:val="center"/>
                </w:tcPr>
                <w:p w14:paraId="137E242B">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危废暂存</w:t>
                  </w:r>
                  <w:r>
                    <w:rPr>
                      <w:rFonts w:hint="eastAsia"/>
                      <w:bCs/>
                      <w:color w:val="000000" w:themeColor="text1"/>
                      <w:szCs w:val="21"/>
                      <w:lang w:val="en-US" w:eastAsia="zh-CN"/>
                      <w14:textFill>
                        <w14:solidFill>
                          <w14:schemeClr w14:val="tx1"/>
                        </w14:solidFill>
                      </w14:textFill>
                    </w:rPr>
                    <w:t>间</w:t>
                  </w:r>
                  <w:r>
                    <w:rPr>
                      <w:rFonts w:hint="eastAsia"/>
                      <w:bCs/>
                      <w:color w:val="000000" w:themeColor="text1"/>
                      <w:szCs w:val="21"/>
                      <w14:textFill>
                        <w14:solidFill>
                          <w14:schemeClr w14:val="tx1"/>
                        </w14:solidFill>
                      </w14:textFill>
                    </w:rPr>
                    <w:t>、油类存放区</w:t>
                  </w:r>
                  <w:r>
                    <w:rPr>
                      <w:rFonts w:hint="eastAsia"/>
                      <w:bCs/>
                      <w:color w:val="000000" w:themeColor="text1"/>
                      <w:szCs w:val="21"/>
                      <w:lang w:eastAsia="zh-CN"/>
                      <w14:textFill>
                        <w14:solidFill>
                          <w14:schemeClr w14:val="tx1"/>
                        </w14:solidFill>
                      </w14:textFill>
                    </w:rPr>
                    <w:t>、</w:t>
                  </w:r>
                  <w:r>
                    <w:rPr>
                      <w:rFonts w:hint="eastAsia"/>
                      <w:bCs/>
                      <w:color w:val="000000" w:themeColor="text1"/>
                      <w:szCs w:val="21"/>
                      <w14:textFill>
                        <w14:solidFill>
                          <w14:schemeClr w14:val="tx1"/>
                        </w14:solidFill>
                      </w14:textFill>
                    </w:rPr>
                    <w:t>初期雨水池、事故应急池</w:t>
                  </w:r>
                  <w:r>
                    <w:rPr>
                      <w:rFonts w:hint="eastAsia"/>
                      <w:bCs/>
                      <w:color w:val="000000" w:themeColor="text1"/>
                      <w:szCs w:val="21"/>
                      <w:lang w:eastAsia="zh-CN"/>
                      <w14:textFill>
                        <w14:solidFill>
                          <w14:schemeClr w14:val="tx1"/>
                        </w14:solidFill>
                      </w14:textFill>
                    </w:rPr>
                    <w:t>、</w:t>
                  </w:r>
                </w:p>
              </w:tc>
              <w:tc>
                <w:tcPr>
                  <w:tcW w:w="1282" w:type="pct"/>
                  <w:vAlign w:val="center"/>
                </w:tcPr>
                <w:p w14:paraId="693E48D4">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抗渗混凝土+环氧树脂</w:t>
                  </w:r>
                </w:p>
              </w:tc>
              <w:tc>
                <w:tcPr>
                  <w:tcW w:w="1635" w:type="pct"/>
                  <w:vAlign w:val="center"/>
                </w:tcPr>
                <w:p w14:paraId="157CEA99">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等效黏土防渗层Mb≥6.0m,K≤10</w:t>
                  </w:r>
                  <w:r>
                    <w:rPr>
                      <w:rFonts w:hint="eastAsia"/>
                      <w:bCs/>
                      <w:color w:val="000000" w:themeColor="text1"/>
                      <w:szCs w:val="21"/>
                      <w:vertAlign w:val="superscript"/>
                      <w14:textFill>
                        <w14:solidFill>
                          <w14:schemeClr w14:val="tx1"/>
                        </w14:solidFill>
                      </w14:textFill>
                    </w:rPr>
                    <w:t>-7</w:t>
                  </w:r>
                  <w:r>
                    <w:rPr>
                      <w:rFonts w:hint="eastAsia"/>
                      <w:bCs/>
                      <w:color w:val="000000" w:themeColor="text1"/>
                      <w:szCs w:val="21"/>
                      <w14:textFill>
                        <w14:solidFill>
                          <w14:schemeClr w14:val="tx1"/>
                        </w14:solidFill>
                      </w14:textFill>
                    </w:rPr>
                    <w:t>cm/s或者参照GB18597-2023执行</w:t>
                  </w:r>
                </w:p>
              </w:tc>
            </w:tr>
            <w:tr w14:paraId="44E4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7134ABAB">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一般防渗区</w:t>
                  </w:r>
                </w:p>
              </w:tc>
              <w:tc>
                <w:tcPr>
                  <w:tcW w:w="1406" w:type="pct"/>
                  <w:vAlign w:val="center"/>
                </w:tcPr>
                <w:p w14:paraId="0CAAA6C0">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循环水池以及除重点防渗的其他区域</w:t>
                  </w:r>
                </w:p>
              </w:tc>
              <w:tc>
                <w:tcPr>
                  <w:tcW w:w="1282" w:type="pct"/>
                  <w:vAlign w:val="center"/>
                </w:tcPr>
                <w:p w14:paraId="09CBCF52">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抗渗混凝土</w:t>
                  </w:r>
                </w:p>
              </w:tc>
              <w:tc>
                <w:tcPr>
                  <w:tcW w:w="1635" w:type="pct"/>
                  <w:vAlign w:val="center"/>
                </w:tcPr>
                <w:p w14:paraId="6ADD3FC6">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等效粘土防渗层Mb&gt;1.5m.K≤10</w:t>
                  </w:r>
                  <w:r>
                    <w:rPr>
                      <w:rFonts w:hint="eastAsia"/>
                      <w:bCs/>
                      <w:color w:val="000000" w:themeColor="text1"/>
                      <w:szCs w:val="21"/>
                      <w:vertAlign w:val="superscript"/>
                      <w14:textFill>
                        <w14:solidFill>
                          <w14:schemeClr w14:val="tx1"/>
                        </w14:solidFill>
                      </w14:textFill>
                    </w:rPr>
                    <w:t>-7</w:t>
                  </w:r>
                  <w:r>
                    <w:rPr>
                      <w:rFonts w:hint="eastAsia"/>
                      <w:bCs/>
                      <w:color w:val="000000" w:themeColor="text1"/>
                      <w:szCs w:val="21"/>
                      <w14:textFill>
                        <w14:solidFill>
                          <w14:schemeClr w14:val="tx1"/>
                        </w14:solidFill>
                      </w14:textFill>
                    </w:rPr>
                    <w:t>cm/s或参照GB18597-2023执行</w:t>
                  </w:r>
                </w:p>
              </w:tc>
            </w:tr>
            <w:tr w14:paraId="2260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6" w:type="pct"/>
                  <w:vAlign w:val="center"/>
                </w:tcPr>
                <w:p w14:paraId="0BCD45B6">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简单防渗区</w:t>
                  </w:r>
                </w:p>
              </w:tc>
              <w:tc>
                <w:tcPr>
                  <w:tcW w:w="1406" w:type="pct"/>
                  <w:vAlign w:val="center"/>
                </w:tcPr>
                <w:p w14:paraId="5CF806C5">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重点防渗区之外的区域</w:t>
                  </w:r>
                </w:p>
              </w:tc>
              <w:tc>
                <w:tcPr>
                  <w:tcW w:w="1282" w:type="pct"/>
                  <w:vAlign w:val="center"/>
                </w:tcPr>
                <w:p w14:paraId="3228A17D">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水泥地面硬化</w:t>
                  </w:r>
                </w:p>
              </w:tc>
              <w:tc>
                <w:tcPr>
                  <w:tcW w:w="1635" w:type="pct"/>
                  <w:vAlign w:val="center"/>
                </w:tcPr>
                <w:p w14:paraId="5BC7FDCB">
                  <w:pPr>
                    <w:pStyle w:val="31"/>
                    <w:ind w:firstLine="0" w:firstLineChars="0"/>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一般地面硬化</w:t>
                  </w:r>
                </w:p>
              </w:tc>
            </w:tr>
          </w:tbl>
          <w:p w14:paraId="600D34F9">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运行期严格管理，加强巡检，及时发现污染物泄漏:一旦出现泄漏及时处理，检查检修设备，将污染物泄漏的环境风险事故降到最低。</w:t>
            </w:r>
          </w:p>
          <w:p w14:paraId="75B60F7E">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固体废物转运、贮存等各环节做好防风、防雨、防渗措施，禁止随意弃置、堆放、填埋。</w:t>
            </w:r>
          </w:p>
          <w:p w14:paraId="647D4936">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按照有关的规范要求采取上述污染防治措施，可以避免项目对周边地下水和土壤产生明显影响，营运期地下水和土壤污染防治措施是可行的。</w:t>
            </w:r>
          </w:p>
          <w:p w14:paraId="356E80F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4.2.6环境风险影响分析</w:t>
            </w:r>
          </w:p>
          <w:p w14:paraId="6B55A611">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危险物质识别根据《危险化学品重大危险源辨识》(GB18218-2018)与《建设项日环境风险评价技术导则》(HJ169-2018)附录B。通过对本项目的原、辅材料及中间产品进行识别分析，企业不涉及任何辅料的使用，项目危险因素分布于运输、贮存环节。</w:t>
            </w:r>
          </w:p>
          <w:p w14:paraId="4FD0D86E">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危险物质数量与临界量的比值（Q）计算方法见如下公式：</w:t>
            </w:r>
          </w:p>
          <w:p w14:paraId="1A0BD05A">
            <w:pPr>
              <w:pStyle w:val="8"/>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818640" cy="462280"/>
                  <wp:effectExtent l="0" t="0" r="10160" b="1397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0"/>
                          <a:stretch>
                            <a:fillRect/>
                          </a:stretch>
                        </pic:blipFill>
                        <pic:spPr>
                          <a:xfrm>
                            <a:off x="0" y="0"/>
                            <a:ext cx="1818640" cy="462280"/>
                          </a:xfrm>
                          <a:prstGeom prst="rect">
                            <a:avLst/>
                          </a:prstGeom>
                          <a:noFill/>
                          <a:ln>
                            <a:noFill/>
                          </a:ln>
                        </pic:spPr>
                      </pic:pic>
                    </a:graphicData>
                  </a:graphic>
                </wp:inline>
              </w:drawing>
            </w:r>
          </w:p>
          <w:p w14:paraId="5244BEBF">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式中：qi、q2、...q一每种危险物质的最大存在总量，t；</w:t>
            </w:r>
          </w:p>
          <w:p w14:paraId="32568C1D">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Q1、Q2、...Qn一每种危险物质的临界量，t。</w:t>
            </w:r>
          </w:p>
          <w:p w14:paraId="3D4A0F8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本项目涉及的风险物质识别见表4.2.6-1。</w:t>
            </w:r>
          </w:p>
          <w:p w14:paraId="5D41689B">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4.2.6-1项目涉及的危险物料最大使用量及储存方式</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54"/>
              <w:gridCol w:w="1236"/>
              <w:gridCol w:w="1575"/>
              <w:gridCol w:w="1575"/>
              <w:gridCol w:w="1576"/>
            </w:tblGrid>
            <w:tr w14:paraId="0928E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3156EA9C">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序号</w:t>
                  </w:r>
                </w:p>
              </w:tc>
              <w:tc>
                <w:tcPr>
                  <w:tcW w:w="849" w:type="pct"/>
                  <w:vAlign w:val="center"/>
                </w:tcPr>
                <w:p w14:paraId="6E733684">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名称</w:t>
                  </w:r>
                </w:p>
              </w:tc>
              <w:tc>
                <w:tcPr>
                  <w:tcW w:w="775" w:type="pct"/>
                  <w:vAlign w:val="center"/>
                </w:tcPr>
                <w:p w14:paraId="54FF499B">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CAS号</w:t>
                  </w:r>
                </w:p>
              </w:tc>
              <w:tc>
                <w:tcPr>
                  <w:tcW w:w="988" w:type="pct"/>
                  <w:vAlign w:val="center"/>
                </w:tcPr>
                <w:p w14:paraId="60B7AFA0">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最大储存量q（t）</w:t>
                  </w:r>
                </w:p>
              </w:tc>
              <w:tc>
                <w:tcPr>
                  <w:tcW w:w="988" w:type="pct"/>
                  <w:vAlign w:val="center"/>
                </w:tcPr>
                <w:p w14:paraId="01D971AF">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临界量Q（t）</w:t>
                  </w:r>
                </w:p>
              </w:tc>
              <w:tc>
                <w:tcPr>
                  <w:tcW w:w="988" w:type="pct"/>
                  <w:vAlign w:val="center"/>
                </w:tcPr>
                <w:p w14:paraId="0DEAF0E9">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q/Q</w:t>
                  </w:r>
                </w:p>
              </w:tc>
            </w:tr>
            <w:tr w14:paraId="698A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01131A6D">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849" w:type="pct"/>
                  <w:vAlign w:val="center"/>
                </w:tcPr>
                <w:p w14:paraId="54E9856A">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油墨</w:t>
                  </w:r>
                </w:p>
              </w:tc>
              <w:tc>
                <w:tcPr>
                  <w:tcW w:w="775" w:type="pct"/>
                  <w:vAlign w:val="center"/>
                </w:tcPr>
                <w:p w14:paraId="1DB007BB">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78-93-3</w:t>
                  </w:r>
                </w:p>
              </w:tc>
              <w:tc>
                <w:tcPr>
                  <w:tcW w:w="988" w:type="pct"/>
                  <w:vAlign w:val="center"/>
                </w:tcPr>
                <w:p w14:paraId="0525562C">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0.1</w:t>
                  </w:r>
                </w:p>
              </w:tc>
              <w:tc>
                <w:tcPr>
                  <w:tcW w:w="988" w:type="pct"/>
                  <w:vAlign w:val="center"/>
                </w:tcPr>
                <w:p w14:paraId="0467832C">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10</w:t>
                  </w:r>
                </w:p>
              </w:tc>
              <w:tc>
                <w:tcPr>
                  <w:tcW w:w="988" w:type="pct"/>
                  <w:vAlign w:val="center"/>
                </w:tcPr>
                <w:p w14:paraId="121FD068">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0.01</w:t>
                  </w:r>
                </w:p>
              </w:tc>
            </w:tr>
            <w:tr w14:paraId="50BD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0ECEC9E0">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849" w:type="pct"/>
                  <w:vAlign w:val="center"/>
                </w:tcPr>
                <w:p w14:paraId="2E23570A">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机油</w:t>
                  </w:r>
                </w:p>
              </w:tc>
              <w:tc>
                <w:tcPr>
                  <w:tcW w:w="775" w:type="pct"/>
                  <w:vAlign w:val="center"/>
                </w:tcPr>
                <w:p w14:paraId="1CCEEB1C">
                  <w:pPr>
                    <w:pStyle w:val="31"/>
                    <w:ind w:firstLine="0" w:firstLineChars="0"/>
                    <w:jc w:val="center"/>
                    <w:rPr>
                      <w:bCs/>
                      <w:color w:val="000000" w:themeColor="text1"/>
                      <w14:textFill>
                        <w14:solidFill>
                          <w14:schemeClr w14:val="tx1"/>
                        </w14:solidFill>
                      </w14:textFill>
                    </w:rPr>
                  </w:pPr>
                </w:p>
              </w:tc>
              <w:tc>
                <w:tcPr>
                  <w:tcW w:w="988" w:type="pct"/>
                  <w:vAlign w:val="center"/>
                </w:tcPr>
                <w:p w14:paraId="491E47CB">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0.2</w:t>
                  </w:r>
                </w:p>
              </w:tc>
              <w:tc>
                <w:tcPr>
                  <w:tcW w:w="988" w:type="pct"/>
                  <w:vAlign w:val="center"/>
                </w:tcPr>
                <w:p w14:paraId="29B5208C">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2500</w:t>
                  </w:r>
                </w:p>
              </w:tc>
              <w:tc>
                <w:tcPr>
                  <w:tcW w:w="988" w:type="pct"/>
                  <w:vAlign w:val="center"/>
                </w:tcPr>
                <w:p w14:paraId="24AE609F">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0.00008</w:t>
                  </w:r>
                </w:p>
              </w:tc>
            </w:tr>
            <w:tr w14:paraId="737F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0DCC79B9">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849" w:type="pct"/>
                  <w:vAlign w:val="center"/>
                </w:tcPr>
                <w:p w14:paraId="786664C0">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拉丝液</w:t>
                  </w:r>
                </w:p>
              </w:tc>
              <w:tc>
                <w:tcPr>
                  <w:tcW w:w="775" w:type="pct"/>
                  <w:vAlign w:val="center"/>
                </w:tcPr>
                <w:p w14:paraId="0B3422F2">
                  <w:pPr>
                    <w:pStyle w:val="31"/>
                    <w:ind w:firstLine="0" w:firstLineChars="0"/>
                    <w:jc w:val="center"/>
                    <w:rPr>
                      <w:bCs/>
                      <w:color w:val="000000" w:themeColor="text1"/>
                      <w14:textFill>
                        <w14:solidFill>
                          <w14:schemeClr w14:val="tx1"/>
                        </w14:solidFill>
                      </w14:textFill>
                    </w:rPr>
                  </w:pPr>
                </w:p>
              </w:tc>
              <w:tc>
                <w:tcPr>
                  <w:tcW w:w="988" w:type="pct"/>
                  <w:vAlign w:val="center"/>
                </w:tcPr>
                <w:p w14:paraId="6A2D67DE">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988" w:type="pct"/>
                  <w:vAlign w:val="center"/>
                </w:tcPr>
                <w:p w14:paraId="6AF69433">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2500</w:t>
                  </w:r>
                </w:p>
              </w:tc>
              <w:tc>
                <w:tcPr>
                  <w:tcW w:w="988" w:type="pct"/>
                  <w:vAlign w:val="center"/>
                </w:tcPr>
                <w:p w14:paraId="10A05F97">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0.0008</w:t>
                  </w:r>
                </w:p>
              </w:tc>
            </w:tr>
          </w:tbl>
          <w:p w14:paraId="0E123FE9">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根据《建设项目环境风险评价技术导则》(HJ169-2018)，本项目Q=0.01088</w:t>
            </w:r>
          </w:p>
          <w:p w14:paraId="6D2A9067">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2、本项目环境风险源分布及影响途径：</w:t>
            </w:r>
          </w:p>
          <w:p w14:paraId="14F2B98E">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①危险废物收集过程潜在风险识别拟建项目的危险废物收集工作由本单位自行收集。企业在收集过程中由于操作不当、容器破裂等原因，可能造成危险废物的泄漏、火灾、中毒等风险事故。</w:t>
            </w:r>
          </w:p>
          <w:p w14:paraId="3EC5330F">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危险废物运输过程潜在风险识别拟建项目从外单位收集的危险废物全部由汽车运入，运输依托外界运输力量，对于危险废物委托具备相应资质的运输公司承担运输任务，本项目不配备运输车辆。本项目运输风险主要为汽车运输外来危险废物至项目地过程中可能存在的泄漏风险。</w:t>
            </w:r>
          </w:p>
          <w:p w14:paraId="2E44A25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危险废物暂存过程潜在风险识别拟建项目暂存过程的潜在风险主要为半固态、液态危险废物。在厂内装卸和暂存过程中，若管理不善或操作失误，易造成泄漏、燃烧、爆炸等事故。袋装固态危险废物在暂存过程中由于包装袋的破裂等，可能造成危险废物的泄漏。</w:t>
            </w:r>
          </w:p>
          <w:p w14:paraId="1A13A511">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可能影响环境的途径：</w:t>
            </w:r>
          </w:p>
          <w:p w14:paraId="7EB03405">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①地表水风险分析</w:t>
            </w:r>
          </w:p>
          <w:p w14:paraId="48C8A285">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项目所使用的油墨、拉丝矿物油、机油发生泄漏，若进入地表水体，将污染地表水水质。</w:t>
            </w:r>
          </w:p>
          <w:p w14:paraId="540FA826">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②地下水环境风险分析</w:t>
            </w:r>
          </w:p>
          <w:p w14:paraId="77B29FDB">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项目所使用的油墨、拉丝矿物油、机油发生泄漏，若进入土壤渗漏，污染物进入地层包气带，随着大气降水下渗进入地下含水层，形成一个污团从上向下扩散，对区域地下水环境造成污染。</w:t>
            </w:r>
          </w:p>
          <w:p w14:paraId="1AAB7D89">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危险废物贮存和转运过程中产生的环境风险项目产生的危险固废含有部分有毒有害物质，如不加强管理、随意丢弃，或者转运过程中出现泄漏，流散到人们生活环境中，就会污染大气、水源、土地，严重危害人们的身体健康。所以应加强本项目危废的暂存与转运的管理。</w:t>
            </w:r>
          </w:p>
          <w:p w14:paraId="3FFBB6AE">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3、环境风险防范措施</w:t>
            </w:r>
          </w:p>
          <w:p w14:paraId="369BF6BF">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为使环境风险减小到最低限度，必须加强劳动安全卫生管理，制定完善、有效的安全防范措施，尽可能降低本项目环境风险事故发生的概率。同时，企业应开展编制突发环境事件应急预案。</w:t>
            </w:r>
          </w:p>
          <w:p w14:paraId="1855C67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①加强宣传教育</w:t>
            </w:r>
          </w:p>
          <w:p w14:paraId="2DAABAB6">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实践证明，许多环境污染事故平时只要提高警惕，加强管理和防范是完全可以避免的。因此，加强事故防范措施的宣传教育，防止风险事故的发生。此外应根据环评及实际生产情况对安全事故隐患进行调查登记，对企业的安全措施常抓不懈，将本项目风险事故的发生概率控制在最小范围内。</w:t>
            </w:r>
          </w:p>
          <w:p w14:paraId="09C9B3E8">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②</w:t>
            </w:r>
            <w:r>
              <w:rPr>
                <w:color w:val="000000" w:themeColor="text1"/>
                <w14:textFill>
                  <w14:solidFill>
                    <w14:schemeClr w14:val="tx1"/>
                  </w14:solidFill>
                </w14:textFill>
              </w:rPr>
              <w:t>总图布置和建筑安全防范措施</w:t>
            </w:r>
          </w:p>
          <w:p w14:paraId="1A079251">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功能分区布置，充分考虑安全防护距离，厂房内实现消防和疏散通道以及人货分流等问题。在消防设计方面以“预防为主、防消结合”的原则，严格执行国家颁布的消防法规。完善厂区消防管理体系和消防人员的建制，配置对外联络的通讯设备和网站。</w:t>
            </w:r>
          </w:p>
          <w:p w14:paraId="2F84E865">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贮运风险防范措施</w:t>
            </w:r>
          </w:p>
          <w:p w14:paraId="18D442A9">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拉丝矿物油、机油设置在油类暂存区，同时加强管理，非使用人员不得随意接触。</w:t>
            </w:r>
          </w:p>
          <w:p w14:paraId="220E0A50">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运输危险品的车辆应有特殊标志，拉丝矿物油、机油装卸前后，必须对车辆和储存设备进行检查，一旦发现有破损现象，应及时进行维修，直至消除隐患为止。</w:t>
            </w:r>
          </w:p>
          <w:p w14:paraId="0FAE6C64">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贮存拉丝矿物油、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3180FD30">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火灾防范措施</w:t>
            </w:r>
          </w:p>
          <w:p w14:paraId="3C7DF181">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采取遏制污染物进入环境的紧急措施等。</w:t>
            </w:r>
          </w:p>
          <w:p w14:paraId="46A6BE40">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本次环评提出以下火灾风险防范措施:</w:t>
            </w:r>
          </w:p>
          <w:p w14:paraId="05DD75AB">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厂房内应配备个人防护用品及应急处置设施，一旦发生化学品或危废泄漏，现场人员应立即佩戴防护用品，及时清除泄漏物，避免对环境及人员健康造成危害;</w:t>
            </w:r>
          </w:p>
          <w:p w14:paraId="1BF7E17D">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贮存场所应设置禁止牌和防火标志，禁止非工作人员进入并严禁明火;</w:t>
            </w:r>
          </w:p>
          <w:p w14:paraId="0F922D03">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严禁动用明火、电热器和能引起电火花的电气设备，门上挂“严禁烟火”警告牌;</w:t>
            </w:r>
          </w:p>
          <w:p w14:paraId="75D59332">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每日生产结束后必须关闭水、电，检查水池和下水管道是否有堵塞。严防漏水漏电和电气设备处于长时间通电、通水而无人照管的状态</w:t>
            </w:r>
            <w:r>
              <w:rPr>
                <w:rFonts w:hint="eastAsia"/>
                <w:color w:val="000000" w:themeColor="text1"/>
                <w14:textFill>
                  <w14:solidFill>
                    <w14:schemeClr w14:val="tx1"/>
                  </w14:solidFill>
                </w14:textFill>
              </w:rPr>
              <w:t>；</w:t>
            </w:r>
          </w:p>
          <w:p w14:paraId="1D7CCD77">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如发现火情，现场工作人员应立即采取措施处理，防止火势蔓延;并迅速报告，并马上确定火灾发生位置，判断出火灾发生的原因;</w:t>
            </w:r>
          </w:p>
          <w:p w14:paraId="57E32213">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工作人员应定期培训，熟悉火灾处理方法、灭火器材使用方法，做到冷静处理，不慌不乱</w:t>
            </w:r>
            <w:r>
              <w:rPr>
                <w:rFonts w:hint="eastAsia"/>
                <w:color w:val="000000" w:themeColor="text1"/>
                <w14:textFill>
                  <w14:solidFill>
                    <w14:schemeClr w14:val="tx1"/>
                  </w14:solidFill>
                </w14:textFill>
              </w:rPr>
              <w:t>；</w:t>
            </w:r>
          </w:p>
          <w:p w14:paraId="3F9F168F">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建立事故管理和经过优化的应急处理计划，包括各种应急处理设备器材、事故现场指挥、救护、通讯等系统建立，设立急救指挥小组，由公司有关部门负责，一旦发生事故，进行统一指挥和协调。</w:t>
            </w:r>
          </w:p>
          <w:p w14:paraId="553135C1">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设立事故池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应急事故水池应考虑多种因素确定</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应急事故废水最大量的确定采用公式法计算，具体算法如下:</w:t>
            </w:r>
          </w:p>
          <w:p w14:paraId="5BE803BB">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总</w:t>
            </w:r>
            <w:r>
              <w:rPr>
                <w:color w:val="000000" w:themeColor="text1"/>
                <w14:textFill>
                  <w14:solidFill>
                    <w14:schemeClr w14:val="tx1"/>
                  </w14:solidFill>
                </w14:textFill>
              </w:rPr>
              <w:t>= (V</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max+V</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5</w:t>
            </w:r>
          </w:p>
          <w:p w14:paraId="6EE3F5DF">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注</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)max是指对收集系统范围内不同罐组或装置分别计算V</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，取其中最大值。</w:t>
            </w:r>
          </w:p>
          <w:p w14:paraId="3A5C5D27">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最大一个容量的设备(装置)或储罐的物料存储量，m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，本项目生产过程不涉及危险化学品储罐等。</w:t>
            </w:r>
          </w:p>
          <w:p w14:paraId="046E85CD">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发生事故的消防水量，m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p w14:paraId="1F0FBAC7">
            <w:pPr>
              <w:widowControl/>
              <w:spacing w:line="360" w:lineRule="auto"/>
              <w:ind w:firstLine="48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57250" cy="247650"/>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31"/>
                          <a:stretch>
                            <a:fillRect/>
                          </a:stretch>
                        </pic:blipFill>
                        <pic:spPr>
                          <a:xfrm>
                            <a:off x="0" y="0"/>
                            <a:ext cx="857250" cy="247650"/>
                          </a:xfrm>
                          <a:prstGeom prst="rect">
                            <a:avLst/>
                          </a:prstGeom>
                          <a:noFill/>
                          <a:ln>
                            <a:noFill/>
                          </a:ln>
                        </pic:spPr>
                      </pic:pic>
                    </a:graphicData>
                  </a:graphic>
                </wp:inline>
              </w:drawing>
            </w:r>
          </w:p>
          <w:p w14:paraId="397D2BB3">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发生事故的储罐或装置的同时使用的消防设施给水流量，m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Q</w:t>
            </w:r>
            <w:r>
              <w:rPr>
                <w:color w:val="000000" w:themeColor="text1"/>
                <w:vertAlign w:val="subscript"/>
                <w14:textFill>
                  <w14:solidFill>
                    <w14:schemeClr w14:val="tx1"/>
                  </w14:solidFill>
                </w14:textFill>
              </w:rPr>
              <w:t>消</w:t>
            </w:r>
            <w:r>
              <w:rPr>
                <w:color w:val="000000" w:themeColor="text1"/>
                <w14:textFill>
                  <w14:solidFill>
                    <w14:schemeClr w14:val="tx1"/>
                  </w14:solidFill>
                </w14:textFill>
              </w:rPr>
              <w:t>(事故消防废水用量按15L/s计)，t</w:t>
            </w:r>
            <w:r>
              <w:rPr>
                <w:color w:val="000000" w:themeColor="text1"/>
                <w:vertAlign w:val="subscript"/>
                <w14:textFill>
                  <w14:solidFill>
                    <w14:schemeClr w14:val="tx1"/>
                  </w14:solidFill>
                </w14:textFill>
              </w:rPr>
              <w:t>消</w:t>
            </w:r>
            <w:r>
              <w:rPr>
                <w:color w:val="000000" w:themeColor="text1"/>
                <w14:textFill>
                  <w14:solidFill>
                    <w14:schemeClr w14:val="tx1"/>
                  </w14:solidFill>
                </w14:textFill>
              </w:rPr>
              <w:t>消防设施对应的设计消防历时，h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本项目事故持续时间假定为3h</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14:paraId="12024FD7">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发生事故时可以转输到其他储存或处理设施的物料量(m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;本项目原材料均为固态及液体桶装。正常生产中不会出现泄漏等问题。</w:t>
            </w:r>
          </w:p>
          <w:p w14:paraId="7DBDAE76">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发生事故时仍必须进入该收集系统的生产废水量(m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;本项目生产废水与事故废水管线不交叉，无此项。</w:t>
            </w:r>
          </w:p>
          <w:p w14:paraId="70DAF062">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5</w:t>
            </w:r>
            <w:r>
              <w:rPr>
                <w:color w:val="000000" w:themeColor="text1"/>
                <w14:textFill>
                  <w14:solidFill>
                    <w14:schemeClr w14:val="tx1"/>
                  </w14:solidFill>
                </w14:textFill>
              </w:rPr>
              <w:t>发生事故时可能进入该收集系统的降雨量，m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;本项目设有雨水池，无此项。</w:t>
            </w:r>
          </w:p>
          <w:p w14:paraId="1A44C1D6">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通过以上基础数据可计算得本项目的事故池容积约为</w:t>
            </w:r>
            <w:r>
              <w:rPr>
                <w:rFonts w:hint="eastAsia"/>
                <w:color w:val="000000" w:themeColor="text1"/>
                <w14:textFill>
                  <w14:solidFill>
                    <w14:schemeClr w14:val="tx1"/>
                  </w14:solidFill>
                </w14:textFill>
              </w:rPr>
              <w:t>：</w:t>
            </w:r>
          </w:p>
          <w:p w14:paraId="5ACCE750">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总</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1</w:t>
            </w:r>
            <w:r>
              <w:rPr>
                <w:color w:val="000000" w:themeColor="text1"/>
                <w14:textFill>
                  <w14:solidFill>
                    <w14:schemeClr w14:val="tx1"/>
                  </w14:solidFill>
                </w14:textFill>
              </w:rPr>
              <w:t>+V</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-V</w:t>
            </w:r>
            <w:r>
              <w:rPr>
                <w:rFonts w:hint="eastAsia"/>
                <w:color w:val="000000" w:themeColor="text1"/>
                <w:vertAlign w:val="subscript"/>
                <w14:textFill>
                  <w14:solidFill>
                    <w14:schemeClr w14:val="tx1"/>
                  </w14:solidFill>
                </w14:textFill>
              </w:rPr>
              <w:t>3</w:t>
            </w:r>
            <w:r>
              <w:rPr>
                <w:color w:val="000000" w:themeColor="text1"/>
                <w14:textFill>
                  <w14:solidFill>
                    <w14:schemeClr w14:val="tx1"/>
                  </w14:solidFill>
                </w14:textFill>
              </w:rPr>
              <w:t>)max+V4+V5=162m</w:t>
            </w:r>
            <w:r>
              <w:rPr>
                <w:rFonts w:hint="eastAsia"/>
                <w:color w:val="000000" w:themeColor="text1"/>
                <w:vertAlign w:val="superscript"/>
                <w14:textFill>
                  <w14:solidFill>
                    <w14:schemeClr w14:val="tx1"/>
                  </w14:solidFill>
                </w14:textFill>
              </w:rPr>
              <w:t>3</w:t>
            </w:r>
          </w:p>
          <w:p w14:paraId="01D2C73A">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根据上述计算结果，本项目事故废水产生量为 162m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。本项目设计建设</w:t>
            </w:r>
            <w:r>
              <w:rPr>
                <w:rFonts w:hint="eastAsia"/>
                <w:color w:val="000000" w:themeColor="text1"/>
                <w14:textFill>
                  <w14:solidFill>
                    <w14:schemeClr w14:val="tx1"/>
                  </w14:solidFill>
                </w14:textFill>
              </w:rPr>
              <w:t>300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，故符合要求。建设项目雨水排口设置切换装置，事故发生后应第一时间切断雨水外排口，使事故废水、雨水等全部收集到事故池，待事故结束后排入污水处理设施处理达标后排放。</w:t>
            </w:r>
          </w:p>
          <w:p w14:paraId="0E31A369">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⑤</w:t>
            </w:r>
            <w:r>
              <w:rPr>
                <w:color w:val="000000" w:themeColor="text1"/>
                <w14:textFill>
                  <w14:solidFill>
                    <w14:schemeClr w14:val="tx1"/>
                  </w14:solidFill>
                </w14:textFill>
              </w:rPr>
              <w:t>废气事故风险防范措施</w:t>
            </w:r>
          </w:p>
          <w:p w14:paraId="2156B47D">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平时加强废气处理设施的维护保养，及时发现处理设备的隐患并进行维修，确保废气处理系统正常运行;</w:t>
            </w:r>
          </w:p>
          <w:p w14:paraId="1656D284">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建立健全的环保机构，对管理人员和技术人员进行岗位培训，对废气处理实行全过程跟踪控制。</w:t>
            </w:r>
          </w:p>
          <w:p w14:paraId="1BD6C0C9">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⑥</w:t>
            </w:r>
            <w:r>
              <w:rPr>
                <w:color w:val="000000" w:themeColor="text1"/>
                <w14:textFill>
                  <w14:solidFill>
                    <w14:schemeClr w14:val="tx1"/>
                  </w14:solidFill>
                </w14:textFill>
              </w:rPr>
              <w:t>固废收集、贮存事故风险防范措施</w:t>
            </w:r>
          </w:p>
          <w:p w14:paraId="18AEA6A7">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全厂一般工业固废分类收集至一般固废间，不被雨淋、风吹、专车运送，定期外售综合利用，危险废物暂存于厂区的危废暂存间，委托有资质的单位处置，固废实现“零排放”是有保证的，不会对环境产生二次污染。为避免危废对环境造成危害，建议采用以下措施</w:t>
            </w:r>
            <w:r>
              <w:rPr>
                <w:rFonts w:hint="eastAsia"/>
                <w:color w:val="000000" w:themeColor="text1"/>
                <w14:textFill>
                  <w14:solidFill>
                    <w14:schemeClr w14:val="tx1"/>
                  </w14:solidFill>
                </w14:textFill>
              </w:rPr>
              <w:t>：</w:t>
            </w:r>
          </w:p>
          <w:p w14:paraId="7F3C2104">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在收集过程中要根据各种危险废物的性质进行分类、分别收集和贮存。危废暂存区应严格按照《危险废物贮存污染控制标准》(GB18597-2023)的要求规范建设，并做好防雨、防风、防渗、防漏等措施。</w:t>
            </w:r>
          </w:p>
          <w:p w14:paraId="40CB9A2D">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厂内应设置专门的废物贮存场所、以便贮存不能及时送出处理的固废，避免在露天堆放中产生的泄漏、渗透、蒸发、雨水淋溶等产生二次污染;各种危险废物要有单独的贮存室、贮存罐，并贴上标签;装载液体、半固体危险废物的容器顶与液面间需要保留100mm以上的空间，容器及容器的材质要满足相应强度要求，并必须完整无损。</w:t>
            </w:r>
          </w:p>
          <w:p w14:paraId="5DE696C6">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应严格执行《危险废物收集贮存运输技术规范》(HJ2025-2012)和《危险废物转移管理办法》(生态环境部、公安部、交通运输部令第23号)，危险废物转移前向环保主管部门报批危险废物转移计划，经批准后，向生态环境主管部门申请领取联单，并在转移前三日内报告移出地生态环境主管部门，并同时将预期到达时间报告接受地生态环境主管部门。同时，危险废物装卸、运输应委托有资质单位进行，编制《危险废物运输车辆事故应急预案》，杜绝包装、运输过程中危险废物散落、泄漏的环境影响。</w:t>
            </w:r>
          </w:p>
          <w:p w14:paraId="72330F61">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项目厂区内危废暂存区应由专业人员操作，单独收集和贮运，严格执行转移联单管理制度及国家和省有关转移管理的相关规定、处置过程安全操作规程、人员培训考核制度、档案管理制度、处置全过程管理制度等，严格按照要求办理有关手续。</w:t>
            </w:r>
          </w:p>
          <w:p w14:paraId="2BE1FA32">
            <w:pPr>
              <w:widowControl/>
              <w:spacing w:line="36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w:t>
            </w:r>
            <w:r>
              <w:rPr>
                <w:color w:val="000000" w:themeColor="text1"/>
                <w14:textFill>
                  <w14:solidFill>
                    <w14:schemeClr w14:val="tx1"/>
                  </w14:solidFill>
                </w14:textFill>
              </w:rPr>
              <w:t>结论</w:t>
            </w:r>
          </w:p>
          <w:p w14:paraId="174810AE">
            <w:pPr>
              <w:widowControl/>
              <w:spacing w:line="36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在严格落实评价提出的各项风险防范措施和应急预案后，本项目可能出现的风险概率将减小，其最大可信事故所造成的环境影响范围和后果也将减小，能将事故的环境风险降到最低，该项目的风险水平是可防控的。</w:t>
            </w:r>
          </w:p>
          <w:p w14:paraId="42B4A5BF">
            <w:pPr>
              <w:pStyle w:val="8"/>
              <w:rPr>
                <w:color w:val="000000" w:themeColor="text1"/>
                <w14:textFill>
                  <w14:solidFill>
                    <w14:schemeClr w14:val="tx1"/>
                  </w14:solidFill>
                </w14:textFill>
              </w:rPr>
            </w:pPr>
          </w:p>
        </w:tc>
      </w:tr>
    </w:tbl>
    <w:p w14:paraId="7B77F115">
      <w:pPr>
        <w:sectPr>
          <w:pgSz w:w="11906" w:h="16838"/>
          <w:pgMar w:top="1247" w:right="1134" w:bottom="1134" w:left="1247" w:header="851" w:footer="992" w:gutter="0"/>
          <w:cols w:space="425" w:num="1"/>
          <w:docGrid w:type="lines" w:linePitch="312" w:charSpace="0"/>
        </w:sectPr>
      </w:pPr>
    </w:p>
    <w:p w14:paraId="4368A5CB">
      <w:pPr>
        <w:pStyle w:val="13"/>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五</w:t>
      </w:r>
      <w:r>
        <w:rPr>
          <w:rFonts w:ascii="Times New Roman" w:hAnsi="Times New Roman" w:eastAsia="黑体"/>
          <w:snapToGrid w:val="0"/>
          <w:sz w:val="30"/>
          <w:szCs w:val="30"/>
        </w:rPr>
        <w:t>、</w:t>
      </w:r>
      <w:r>
        <w:rPr>
          <w:rFonts w:hint="eastAsia" w:ascii="Times New Roman" w:hAnsi="Times New Roman" w:eastAsia="黑体"/>
          <w:snapToGrid w:val="0"/>
          <w:sz w:val="30"/>
          <w:szCs w:val="30"/>
        </w:rPr>
        <w:t>环境保护措施监督检查清单</w:t>
      </w:r>
    </w:p>
    <w:tbl>
      <w:tblPr>
        <w:tblStyle w:val="15"/>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3"/>
        <w:gridCol w:w="1114"/>
        <w:gridCol w:w="1234"/>
        <w:gridCol w:w="2613"/>
        <w:gridCol w:w="3747"/>
      </w:tblGrid>
      <w:tr w14:paraId="2EA3C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tcBorders>
              <w:tl2br w:val="single" w:color="auto" w:sz="8" w:space="0"/>
            </w:tcBorders>
            <w:vAlign w:val="center"/>
          </w:tcPr>
          <w:p w14:paraId="20AD3DA1">
            <w:pPr>
              <w:adjustRightInd w:val="0"/>
              <w:snapToGrid w:val="0"/>
              <w:jc w:val="right"/>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 xml:space="preserve"> 内容</w:t>
            </w:r>
          </w:p>
          <w:p w14:paraId="31221E02">
            <w:pPr>
              <w:adjustRightInd w:val="0"/>
              <w:snapToGrid w:val="0"/>
              <w:jc w:val="left"/>
              <w:rPr>
                <w:rFonts w:ascii="宋体" w:hAnsi="宋体" w:cs="宋体"/>
                <w:b/>
                <w:bCs/>
                <w:color w:val="000000" w:themeColor="text1"/>
                <w:kern w:val="0"/>
                <w:sz w:val="24"/>
                <w:szCs w:val="24"/>
                <w14:textFill>
                  <w14:solidFill>
                    <w14:schemeClr w14:val="tx1"/>
                  </w14:solidFill>
                </w14:textFill>
              </w:rPr>
            </w:pPr>
            <w:r>
              <w:rPr>
                <w:rFonts w:hint="eastAsia" w:ascii="宋体" w:hAnsi="宋体" w:cs="宋体"/>
                <w:b/>
                <w:bCs/>
                <w:color w:val="000000" w:themeColor="text1"/>
                <w:kern w:val="0"/>
                <w:sz w:val="24"/>
                <w:szCs w:val="24"/>
                <w14:textFill>
                  <w14:solidFill>
                    <w14:schemeClr w14:val="tx1"/>
                  </w14:solidFill>
                </w14:textFill>
              </w:rPr>
              <w:t>要素</w:t>
            </w:r>
          </w:p>
        </w:tc>
        <w:tc>
          <w:tcPr>
            <w:tcW w:w="572" w:type="pct"/>
            <w:vAlign w:val="center"/>
          </w:tcPr>
          <w:p w14:paraId="04E60860">
            <w:pPr>
              <w:pStyle w:val="5"/>
              <w:keepNext/>
              <w:spacing w:before="0" w:line="24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排放口(编号、名称)/污染源</w:t>
            </w:r>
          </w:p>
        </w:tc>
        <w:tc>
          <w:tcPr>
            <w:tcW w:w="633" w:type="pct"/>
            <w:vAlign w:val="center"/>
          </w:tcPr>
          <w:p w14:paraId="07DBEF98">
            <w:pPr>
              <w:pStyle w:val="5"/>
              <w:keepNext/>
              <w:spacing w:before="0" w:line="24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污染物项目</w:t>
            </w:r>
          </w:p>
        </w:tc>
        <w:tc>
          <w:tcPr>
            <w:tcW w:w="1342" w:type="pct"/>
            <w:vAlign w:val="center"/>
          </w:tcPr>
          <w:p w14:paraId="1B834DD9">
            <w:pPr>
              <w:pStyle w:val="5"/>
              <w:keepNext/>
              <w:spacing w:before="0" w:line="24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环境保护措施</w:t>
            </w:r>
          </w:p>
        </w:tc>
        <w:tc>
          <w:tcPr>
            <w:tcW w:w="1925" w:type="pct"/>
            <w:vAlign w:val="center"/>
          </w:tcPr>
          <w:p w14:paraId="174E3714">
            <w:pPr>
              <w:pStyle w:val="5"/>
              <w:keepNext/>
              <w:spacing w:before="0" w:line="240" w:lineRule="auto"/>
              <w:rPr>
                <w:rFonts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执行标准</w:t>
            </w:r>
          </w:p>
        </w:tc>
      </w:tr>
      <w:tr w14:paraId="46C89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restart"/>
            <w:vAlign w:val="center"/>
          </w:tcPr>
          <w:p w14:paraId="5CBF707B">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大气环境</w:t>
            </w:r>
          </w:p>
        </w:tc>
        <w:tc>
          <w:tcPr>
            <w:tcW w:w="572" w:type="pct"/>
            <w:vMerge w:val="restart"/>
            <w:vAlign w:val="center"/>
          </w:tcPr>
          <w:p w14:paraId="374B09C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DA001</w:t>
            </w:r>
          </w:p>
        </w:tc>
        <w:tc>
          <w:tcPr>
            <w:tcW w:w="633" w:type="pct"/>
            <w:vAlign w:val="center"/>
          </w:tcPr>
          <w:p w14:paraId="54C2209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Merge w:val="restart"/>
            <w:vAlign w:val="center"/>
          </w:tcPr>
          <w:p w14:paraId="7FA804F2">
            <w:pPr>
              <w:widowControl/>
              <w:jc w:val="center"/>
              <w:rPr>
                <w:rFonts w:ascii="宋体" w:hAnsi="宋体" w:eastAsia="宋体" w:cs="宋体"/>
                <w:color w:val="000000" w:themeColor="text1"/>
                <w:sz w:val="24"/>
                <w:szCs w:val="24"/>
                <w14:textFill>
                  <w14:solidFill>
                    <w14:schemeClr w14:val="tx1"/>
                  </w14:solidFill>
                </w14:textFill>
              </w:rPr>
            </w:pPr>
            <w:r>
              <w:rPr>
                <w:rFonts w:hint="eastAsia"/>
                <w:color w:val="000000"/>
                <w:kern w:val="0"/>
                <w:sz w:val="24"/>
                <w:szCs w:val="24"/>
              </w:rPr>
              <w:t>设置</w:t>
            </w:r>
            <w:r>
              <w:rPr>
                <w:rFonts w:hint="eastAsia"/>
                <w:color w:val="000000"/>
                <w:kern w:val="0"/>
                <w:sz w:val="24"/>
                <w:szCs w:val="24"/>
                <w:lang w:val="en-US" w:eastAsia="zh-CN"/>
              </w:rPr>
              <w:t>管道/</w:t>
            </w:r>
            <w:r>
              <w:rPr>
                <w:rFonts w:hint="eastAsia"/>
                <w:color w:val="000000"/>
                <w:kern w:val="0"/>
                <w:sz w:val="24"/>
                <w:szCs w:val="24"/>
              </w:rPr>
              <w:t>集气罩并加设软帘收集废气，通入“1</w:t>
            </w:r>
            <w:r>
              <w:rPr>
                <w:color w:val="000000"/>
                <w:kern w:val="0"/>
                <w:sz w:val="24"/>
                <w:szCs w:val="24"/>
              </w:rPr>
              <w:t>#</w:t>
            </w:r>
            <w:r>
              <w:rPr>
                <w:rFonts w:hint="eastAsia"/>
                <w:color w:val="000000"/>
                <w:kern w:val="0"/>
                <w:sz w:val="24"/>
                <w:szCs w:val="24"/>
              </w:rPr>
              <w:t>碱水喷淋塔+除雾+二级活性炭吸附装置”处理</w:t>
            </w:r>
            <w:r>
              <w:rPr>
                <w:rFonts w:hint="eastAsia"/>
                <w:color w:val="000000"/>
                <w:kern w:val="0"/>
                <w:sz w:val="24"/>
                <w:szCs w:val="24"/>
                <w:lang w:val="en-US" w:eastAsia="zh-CN"/>
              </w:rPr>
              <w:t>后，</w:t>
            </w:r>
            <w:r>
              <w:rPr>
                <w:rFonts w:hint="eastAsia" w:ascii="宋体" w:hAnsi="宋体" w:eastAsia="宋体" w:cs="宋体"/>
                <w:color w:val="000000" w:themeColor="text1"/>
                <w:sz w:val="24"/>
                <w:szCs w:val="24"/>
                <w14:textFill>
                  <w14:solidFill>
                    <w14:schemeClr w14:val="tx1"/>
                  </w14:solidFill>
                </w14:textFill>
              </w:rPr>
              <w:t>经15m排气筒</w:t>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DA001）</w:t>
            </w:r>
            <w:r>
              <w:rPr>
                <w:rFonts w:hint="eastAsia" w:ascii="宋体" w:hAnsi="宋体" w:eastAsia="宋体" w:cs="宋体"/>
                <w:color w:val="000000" w:themeColor="text1"/>
                <w:sz w:val="24"/>
                <w:szCs w:val="24"/>
                <w14:textFill>
                  <w14:solidFill>
                    <w14:schemeClr w14:val="tx1"/>
                  </w14:solidFill>
                </w14:textFill>
              </w:rPr>
              <w:t>排放</w:t>
            </w:r>
          </w:p>
        </w:tc>
        <w:tc>
          <w:tcPr>
            <w:tcW w:w="1925" w:type="pct"/>
            <w:vAlign w:val="center"/>
          </w:tcPr>
          <w:p w14:paraId="11CED4D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从严执行《合成树脂工业污染物排放标准》（GB 31572-2015，含2024年修改单）、《固定源挥发性有机物综合排放标准 第6部分 其他行业》（DB34-4812.6-2024）</w:t>
            </w:r>
          </w:p>
        </w:tc>
      </w:tr>
      <w:tr w14:paraId="22893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193A8D8B">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7654D0D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2EDD46B7">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HCl</w:t>
            </w:r>
          </w:p>
        </w:tc>
        <w:tc>
          <w:tcPr>
            <w:tcW w:w="1342" w:type="pct"/>
            <w:vMerge w:val="continue"/>
            <w:vAlign w:val="center"/>
          </w:tcPr>
          <w:p w14:paraId="79EE9658">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1925" w:type="pct"/>
            <w:vAlign w:val="center"/>
          </w:tcPr>
          <w:p w14:paraId="510AB33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《大气污染物综合排放标准》(GB16297-1996)表2中无组织排放限值</w:t>
            </w:r>
          </w:p>
        </w:tc>
      </w:tr>
      <w:tr w14:paraId="08D3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05153FD7">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restart"/>
            <w:vAlign w:val="center"/>
          </w:tcPr>
          <w:p w14:paraId="1B3ED3D4">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DA002</w:t>
            </w:r>
          </w:p>
        </w:tc>
        <w:tc>
          <w:tcPr>
            <w:tcW w:w="633" w:type="pct"/>
            <w:vAlign w:val="center"/>
          </w:tcPr>
          <w:p w14:paraId="545132B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Merge w:val="restart"/>
            <w:vAlign w:val="center"/>
          </w:tcPr>
          <w:p w14:paraId="4A14B535">
            <w:pPr>
              <w:rPr>
                <w:rFonts w:ascii="宋体" w:hAnsi="宋体" w:eastAsia="宋体" w:cs="宋体"/>
                <w:color w:val="000000" w:themeColor="text1"/>
                <w:sz w:val="24"/>
                <w:szCs w:val="24"/>
                <w14:textFill>
                  <w14:solidFill>
                    <w14:schemeClr w14:val="tx1"/>
                  </w14:solidFill>
                </w14:textFill>
              </w:rPr>
            </w:pPr>
            <w:r>
              <w:rPr>
                <w:rFonts w:hint="eastAsia"/>
                <w:color w:val="000000"/>
                <w:kern w:val="0"/>
                <w:sz w:val="24"/>
                <w:szCs w:val="24"/>
              </w:rPr>
              <w:t>设置集气罩并加设软帘收集废气，通入“</w:t>
            </w:r>
            <w:r>
              <w:rPr>
                <w:rFonts w:hint="eastAsia"/>
                <w:color w:val="000000"/>
                <w:kern w:val="0"/>
                <w:sz w:val="24"/>
                <w:szCs w:val="24"/>
                <w:lang w:val="en-US" w:eastAsia="zh-CN"/>
              </w:rPr>
              <w:t>2</w:t>
            </w:r>
            <w:r>
              <w:rPr>
                <w:color w:val="000000"/>
                <w:kern w:val="0"/>
                <w:sz w:val="24"/>
                <w:szCs w:val="24"/>
              </w:rPr>
              <w:t>#</w:t>
            </w:r>
            <w:r>
              <w:rPr>
                <w:rFonts w:hint="eastAsia"/>
                <w:color w:val="000000"/>
                <w:kern w:val="0"/>
                <w:sz w:val="24"/>
                <w:szCs w:val="24"/>
              </w:rPr>
              <w:t>碱水喷淋塔+除雾+二级活性炭吸附装置”处理</w:t>
            </w:r>
            <w:r>
              <w:rPr>
                <w:rFonts w:hint="eastAsia"/>
                <w:color w:val="000000"/>
                <w:kern w:val="0"/>
                <w:sz w:val="24"/>
                <w:szCs w:val="24"/>
                <w:lang w:val="en-US" w:eastAsia="zh-CN"/>
              </w:rPr>
              <w:t>后，</w:t>
            </w:r>
            <w:r>
              <w:rPr>
                <w:rFonts w:hint="eastAsia" w:ascii="Times New Roman" w:hAnsi="Times New Roman" w:eastAsia="宋体" w:cs="Times New Roman"/>
                <w:color w:val="000000"/>
                <w:kern w:val="0"/>
                <w:sz w:val="24"/>
                <w:szCs w:val="24"/>
              </w:rPr>
              <w:t>经15m排气筒</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DA00</w:t>
            </w:r>
            <w:r>
              <w:rPr>
                <w:rFonts w:hint="eastAsia" w:cs="Times New Roman"/>
                <w:color w:val="000000"/>
                <w:kern w:val="0"/>
                <w:sz w:val="24"/>
                <w:szCs w:val="24"/>
                <w:lang w:val="en-US" w:eastAsia="zh-CN"/>
              </w:rPr>
              <w:t>2</w:t>
            </w:r>
            <w:r>
              <w:rPr>
                <w:rFonts w:hint="eastAsia"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rPr>
              <w:t>排放</w:t>
            </w:r>
          </w:p>
        </w:tc>
        <w:tc>
          <w:tcPr>
            <w:tcW w:w="1925" w:type="pct"/>
            <w:vAlign w:val="center"/>
          </w:tcPr>
          <w:p w14:paraId="17789AB5">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从严执行《合成树脂工业污染物排放标准》（GB 31572-2015，含2024年修改单）、《固定源挥发性有机物综合排放标准 第6部分 其他行业》（DB34-4812.6-2024）</w:t>
            </w:r>
          </w:p>
        </w:tc>
      </w:tr>
      <w:tr w14:paraId="0AFFCB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4072EC66">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13E3CF9D">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25A0633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HCl</w:t>
            </w:r>
          </w:p>
        </w:tc>
        <w:tc>
          <w:tcPr>
            <w:tcW w:w="1342" w:type="pct"/>
            <w:vMerge w:val="continue"/>
            <w:vAlign w:val="center"/>
          </w:tcPr>
          <w:p w14:paraId="150C3DF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1925" w:type="pct"/>
            <w:vAlign w:val="center"/>
          </w:tcPr>
          <w:p w14:paraId="11B294B6">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《大气污染物综合排放标准》(GB16297-1996)表2中无组织排放限值</w:t>
            </w:r>
          </w:p>
        </w:tc>
      </w:tr>
      <w:tr w14:paraId="1FBA28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122A2A19">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restart"/>
            <w:vAlign w:val="center"/>
          </w:tcPr>
          <w:p w14:paraId="769DBD19">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DA003</w:t>
            </w:r>
          </w:p>
        </w:tc>
        <w:tc>
          <w:tcPr>
            <w:tcW w:w="633" w:type="pct"/>
            <w:vAlign w:val="center"/>
          </w:tcPr>
          <w:p w14:paraId="1C6C54E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Merge w:val="restart"/>
            <w:vAlign w:val="center"/>
          </w:tcPr>
          <w:p w14:paraId="03010BB1">
            <w:pPr>
              <w:rPr>
                <w:rFonts w:ascii="宋体" w:hAnsi="宋体" w:eastAsia="宋体" w:cs="宋体"/>
                <w:color w:val="000000" w:themeColor="text1"/>
                <w:sz w:val="24"/>
                <w:szCs w:val="24"/>
                <w14:textFill>
                  <w14:solidFill>
                    <w14:schemeClr w14:val="tx1"/>
                  </w14:solidFill>
                </w14:textFill>
              </w:rPr>
            </w:pPr>
            <w:r>
              <w:rPr>
                <w:rFonts w:hint="eastAsia"/>
                <w:color w:val="000000"/>
                <w:kern w:val="0"/>
                <w:sz w:val="24"/>
                <w:szCs w:val="24"/>
              </w:rPr>
              <w:t>设置集气罩并加设软帘收集废气，通入“</w:t>
            </w:r>
            <w:r>
              <w:rPr>
                <w:rFonts w:hint="eastAsia"/>
                <w:color w:val="000000"/>
                <w:kern w:val="0"/>
                <w:sz w:val="24"/>
                <w:szCs w:val="24"/>
                <w:lang w:val="en-US" w:eastAsia="zh-CN"/>
              </w:rPr>
              <w:t>3</w:t>
            </w:r>
            <w:r>
              <w:rPr>
                <w:color w:val="000000"/>
                <w:kern w:val="0"/>
                <w:sz w:val="24"/>
                <w:szCs w:val="24"/>
              </w:rPr>
              <w:t>#</w:t>
            </w:r>
            <w:r>
              <w:rPr>
                <w:rFonts w:hint="eastAsia"/>
                <w:color w:val="000000"/>
                <w:kern w:val="0"/>
                <w:sz w:val="24"/>
                <w:szCs w:val="24"/>
              </w:rPr>
              <w:t>碱水喷淋塔+除雾+二级活性炭吸附装置”处理</w:t>
            </w:r>
            <w:r>
              <w:rPr>
                <w:rFonts w:hint="eastAsia"/>
                <w:color w:val="000000"/>
                <w:kern w:val="0"/>
                <w:sz w:val="24"/>
                <w:szCs w:val="24"/>
                <w:lang w:val="en-US" w:eastAsia="zh-CN"/>
              </w:rPr>
              <w:t>后，</w:t>
            </w:r>
            <w:r>
              <w:rPr>
                <w:rFonts w:hint="eastAsia" w:ascii="Times New Roman" w:hAnsi="Times New Roman" w:eastAsia="宋体" w:cs="Times New Roman"/>
                <w:color w:val="000000"/>
                <w:kern w:val="0"/>
                <w:sz w:val="24"/>
                <w:szCs w:val="24"/>
              </w:rPr>
              <w:t>经15m排气筒</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DA00</w:t>
            </w:r>
            <w:r>
              <w:rPr>
                <w:rFonts w:hint="eastAsia" w:cs="Times New Roman"/>
                <w:color w:val="000000"/>
                <w:kern w:val="0"/>
                <w:sz w:val="24"/>
                <w:szCs w:val="24"/>
                <w:lang w:val="en-US" w:eastAsia="zh-CN"/>
              </w:rPr>
              <w:t>3</w:t>
            </w:r>
            <w:r>
              <w:rPr>
                <w:rFonts w:hint="eastAsia"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rPr>
              <w:t>排放</w:t>
            </w:r>
          </w:p>
        </w:tc>
        <w:tc>
          <w:tcPr>
            <w:tcW w:w="1925" w:type="pct"/>
            <w:vAlign w:val="center"/>
          </w:tcPr>
          <w:p w14:paraId="5A2A318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从严执行《合成树脂工业污染物排放标准》（GB 31572-2015，含2024年修改单）、《固定源挥发性有机物综合排放标准 第6部分 其他行业》（DB34-4812.6-2024）</w:t>
            </w:r>
          </w:p>
        </w:tc>
      </w:tr>
      <w:tr w14:paraId="59645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43B103BB">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78E8E41D">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19841BCE">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HCl</w:t>
            </w:r>
          </w:p>
        </w:tc>
        <w:tc>
          <w:tcPr>
            <w:tcW w:w="1342" w:type="pct"/>
            <w:vMerge w:val="continue"/>
            <w:vAlign w:val="center"/>
          </w:tcPr>
          <w:p w14:paraId="7C2B7DA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1925" w:type="pct"/>
            <w:vAlign w:val="center"/>
          </w:tcPr>
          <w:p w14:paraId="2B7F9ADA">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《大气污染物综合排放标准》(GB16297-1996)表2中无组织排放限值</w:t>
            </w:r>
          </w:p>
        </w:tc>
      </w:tr>
      <w:tr w14:paraId="20B61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7AAB0ECE">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restart"/>
            <w:vAlign w:val="center"/>
          </w:tcPr>
          <w:p w14:paraId="0F63F27E">
            <w:pPr>
              <w:pStyle w:val="5"/>
              <w:keepNext/>
              <w:spacing w:before="0" w:line="24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DA00</w:t>
            </w:r>
            <w:r>
              <w:rPr>
                <w:rFonts w:hint="eastAsia" w:ascii="宋体" w:hAnsi="宋体" w:eastAsia="宋体" w:cs="宋体"/>
                <w:color w:val="000000" w:themeColor="text1"/>
                <w:sz w:val="24"/>
                <w:szCs w:val="24"/>
                <w:lang w:val="en-US" w:eastAsia="zh-CN"/>
                <w14:textFill>
                  <w14:solidFill>
                    <w14:schemeClr w14:val="tx1"/>
                  </w14:solidFill>
                </w14:textFill>
              </w:rPr>
              <w:t>4</w:t>
            </w:r>
          </w:p>
        </w:tc>
        <w:tc>
          <w:tcPr>
            <w:tcW w:w="633" w:type="pct"/>
            <w:vAlign w:val="center"/>
          </w:tcPr>
          <w:p w14:paraId="085A96C8">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Merge w:val="restart"/>
            <w:vAlign w:val="center"/>
          </w:tcPr>
          <w:p w14:paraId="13BEBE19">
            <w:pPr>
              <w:widowControl/>
              <w:jc w:val="center"/>
              <w:rPr>
                <w:rFonts w:ascii="宋体" w:hAnsi="宋体" w:eastAsia="宋体" w:cs="宋体"/>
                <w:color w:val="000000" w:themeColor="text1"/>
                <w:sz w:val="24"/>
                <w:szCs w:val="24"/>
                <w14:textFill>
                  <w14:solidFill>
                    <w14:schemeClr w14:val="tx1"/>
                  </w14:solidFill>
                </w14:textFill>
              </w:rPr>
            </w:pPr>
            <w:r>
              <w:rPr>
                <w:rFonts w:hint="eastAsia"/>
                <w:color w:val="000000"/>
                <w:kern w:val="0"/>
                <w:sz w:val="24"/>
                <w:szCs w:val="24"/>
              </w:rPr>
              <w:t>设置集气罩并加设软帘收集废气，通入“</w:t>
            </w:r>
            <w:r>
              <w:rPr>
                <w:rFonts w:hint="eastAsia"/>
                <w:color w:val="000000"/>
                <w:kern w:val="0"/>
                <w:sz w:val="24"/>
                <w:szCs w:val="24"/>
                <w:lang w:val="en-US" w:eastAsia="zh-CN"/>
              </w:rPr>
              <w:t>4</w:t>
            </w:r>
            <w:r>
              <w:rPr>
                <w:color w:val="000000"/>
                <w:kern w:val="0"/>
                <w:sz w:val="24"/>
                <w:szCs w:val="24"/>
              </w:rPr>
              <w:t>#</w:t>
            </w:r>
            <w:r>
              <w:rPr>
                <w:rFonts w:hint="eastAsia"/>
                <w:color w:val="000000"/>
                <w:kern w:val="0"/>
                <w:sz w:val="24"/>
                <w:szCs w:val="24"/>
              </w:rPr>
              <w:t>碱水喷淋塔+除雾+二级活性炭吸附装置”处理</w:t>
            </w:r>
            <w:r>
              <w:rPr>
                <w:rFonts w:hint="eastAsia"/>
                <w:color w:val="000000"/>
                <w:kern w:val="0"/>
                <w:sz w:val="24"/>
                <w:szCs w:val="24"/>
                <w:lang w:val="en-US" w:eastAsia="zh-CN"/>
              </w:rPr>
              <w:t>后，</w:t>
            </w:r>
            <w:r>
              <w:rPr>
                <w:rFonts w:hint="eastAsia" w:ascii="Times New Roman" w:hAnsi="Times New Roman" w:eastAsia="宋体" w:cs="Times New Roman"/>
                <w:color w:val="000000"/>
                <w:kern w:val="0"/>
                <w:sz w:val="24"/>
                <w:szCs w:val="24"/>
              </w:rPr>
              <w:t>经15m排气筒</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lang w:val="en-US" w:eastAsia="zh-CN"/>
              </w:rPr>
              <w:t>DA00</w:t>
            </w:r>
            <w:r>
              <w:rPr>
                <w:rFonts w:hint="eastAsia" w:cs="Times New Roman"/>
                <w:color w:val="000000"/>
                <w:kern w:val="0"/>
                <w:sz w:val="24"/>
                <w:szCs w:val="24"/>
                <w:lang w:val="en-US" w:eastAsia="zh-CN"/>
              </w:rPr>
              <w:t>4</w:t>
            </w:r>
            <w:r>
              <w:rPr>
                <w:rFonts w:hint="eastAsia" w:ascii="Times New Roman" w:hAnsi="Times New Roman"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rPr>
              <w:t>排放</w:t>
            </w:r>
          </w:p>
        </w:tc>
        <w:tc>
          <w:tcPr>
            <w:tcW w:w="1925" w:type="pct"/>
            <w:vAlign w:val="center"/>
          </w:tcPr>
          <w:p w14:paraId="27F297C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从严执行《合成树脂工业污染物排放标准》（GB 31572-2015，含2024年修改单）、《固定源挥发性有机物综合排放标准 第6部分 其他行业》（DB34-4812.6-2024）</w:t>
            </w:r>
          </w:p>
        </w:tc>
      </w:tr>
      <w:tr w14:paraId="213544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04B11BD1">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1984D3E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17C125F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HCl</w:t>
            </w:r>
          </w:p>
        </w:tc>
        <w:tc>
          <w:tcPr>
            <w:tcW w:w="1342" w:type="pct"/>
            <w:vMerge w:val="continue"/>
            <w:vAlign w:val="center"/>
          </w:tcPr>
          <w:p w14:paraId="67DB778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1925" w:type="pct"/>
            <w:vAlign w:val="center"/>
          </w:tcPr>
          <w:p w14:paraId="6984A83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《大气污染物综合排放标准》(GB16297-1996)表2中无组织排放限值</w:t>
            </w:r>
          </w:p>
        </w:tc>
      </w:tr>
      <w:tr w14:paraId="157CB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13866805">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2651353A">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1473A865">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颗粒物</w:t>
            </w:r>
          </w:p>
        </w:tc>
        <w:tc>
          <w:tcPr>
            <w:tcW w:w="1342" w:type="pct"/>
            <w:vAlign w:val="center"/>
          </w:tcPr>
          <w:p w14:paraId="340FF89E">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eastAsia="宋体"/>
                <w:color w:val="000000"/>
                <w:kern w:val="0"/>
                <w:sz w:val="24"/>
                <w:szCs w:val="24"/>
              </w:rPr>
              <w:t>设置集气罩并加设软帘收集废气，通入1#布袋除尘器处理</w:t>
            </w:r>
            <w:r>
              <w:rPr>
                <w:rFonts w:hint="eastAsia" w:ascii="Times New Roman" w:hAnsi="Times New Roman" w:eastAsia="宋体" w:cs="Times New Roman"/>
                <w:color w:val="000000"/>
                <w:kern w:val="0"/>
                <w:sz w:val="24"/>
                <w:szCs w:val="24"/>
                <w:lang w:eastAsia="zh-CN"/>
              </w:rPr>
              <w:t>，</w:t>
            </w:r>
            <w:r>
              <w:rPr>
                <w:rFonts w:hint="eastAsia" w:ascii="Times New Roman" w:hAnsi="Times New Roman" w:eastAsia="宋体" w:cs="Times New Roman"/>
                <w:color w:val="000000"/>
                <w:kern w:val="0"/>
                <w:sz w:val="24"/>
                <w:szCs w:val="24"/>
              </w:rPr>
              <w:t>经15m排气筒</w:t>
            </w:r>
            <w:r>
              <w:rPr>
                <w:rFonts w:hint="eastAsia" w:ascii="Times New Roman" w:hAnsi="Times New Roman" w:eastAsia="宋体" w:cs="Times New Roman"/>
                <w:color w:val="000000"/>
                <w:kern w:val="0"/>
                <w:sz w:val="24"/>
                <w:szCs w:val="24"/>
                <w:lang w:eastAsia="zh-CN"/>
              </w:rPr>
              <w:t>（</w:t>
            </w:r>
            <w:r>
              <w:rPr>
                <w:rFonts w:hint="eastAsia" w:ascii="Times New Roman" w:hAnsi="Times New Roman" w:eastAsia="宋体" w:cs="Times New Roman"/>
                <w:color w:val="000000"/>
                <w:kern w:val="0"/>
                <w:sz w:val="24"/>
                <w:szCs w:val="24"/>
                <w:lang w:val="en-US" w:eastAsia="zh-CN"/>
              </w:rPr>
              <w:t>DA00</w:t>
            </w:r>
            <w:r>
              <w:rPr>
                <w:rFonts w:hint="eastAsia" w:eastAsia="宋体" w:cs="Times New Roman"/>
                <w:color w:val="000000"/>
                <w:kern w:val="0"/>
                <w:sz w:val="24"/>
                <w:szCs w:val="24"/>
                <w:lang w:val="en-US" w:eastAsia="zh-CN"/>
              </w:rPr>
              <w:t>4</w:t>
            </w:r>
            <w:r>
              <w:rPr>
                <w:rFonts w:hint="eastAsia" w:ascii="Times New Roman" w:hAnsi="Times New Roman" w:eastAsia="宋体" w:cs="Times New Roman"/>
                <w:color w:val="000000"/>
                <w:kern w:val="0"/>
                <w:sz w:val="24"/>
                <w:szCs w:val="24"/>
                <w:lang w:val="en-US" w:eastAsia="zh-CN"/>
              </w:rPr>
              <w:t>）</w:t>
            </w:r>
            <w:r>
              <w:rPr>
                <w:rFonts w:hint="eastAsia" w:ascii="Times New Roman" w:hAnsi="Times New Roman" w:eastAsia="宋体" w:cs="Times New Roman"/>
                <w:color w:val="000000"/>
                <w:kern w:val="0"/>
                <w:sz w:val="24"/>
                <w:szCs w:val="24"/>
              </w:rPr>
              <w:t>排放</w:t>
            </w:r>
          </w:p>
        </w:tc>
        <w:tc>
          <w:tcPr>
            <w:tcW w:w="1925" w:type="pct"/>
            <w:vAlign w:val="center"/>
          </w:tcPr>
          <w:p w14:paraId="63C19BA4">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《合成树脂工业污染物排放标准》（GB 31572-2015，含2024年修改单）</w:t>
            </w:r>
          </w:p>
        </w:tc>
      </w:tr>
      <w:tr w14:paraId="198B6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6DB9C204">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restart"/>
            <w:vAlign w:val="center"/>
          </w:tcPr>
          <w:p w14:paraId="0A54F610">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厂界无组织</w:t>
            </w:r>
          </w:p>
        </w:tc>
        <w:tc>
          <w:tcPr>
            <w:tcW w:w="633" w:type="pct"/>
            <w:vAlign w:val="center"/>
          </w:tcPr>
          <w:p w14:paraId="787078C9">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Merge w:val="restart"/>
            <w:vAlign w:val="center"/>
          </w:tcPr>
          <w:p w14:paraId="0DD6A0F9">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1925" w:type="pct"/>
            <w:vMerge w:val="restart"/>
            <w:vAlign w:val="center"/>
          </w:tcPr>
          <w:p w14:paraId="7DEA1DE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从严执行《合成树脂工业污染物排放标准》（GB 31572-2015，含2024年修改单）、《固定源挥发性有机物综合排放标准 第6部分 其他行业》（DB34-4812.6-2024）</w:t>
            </w:r>
          </w:p>
        </w:tc>
      </w:tr>
      <w:tr w14:paraId="4D14D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13821F6D">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Merge w:val="continue"/>
            <w:vAlign w:val="center"/>
          </w:tcPr>
          <w:p w14:paraId="01FC56CB">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633" w:type="pct"/>
            <w:vAlign w:val="center"/>
          </w:tcPr>
          <w:p w14:paraId="489A5415">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HCl</w:t>
            </w:r>
          </w:p>
        </w:tc>
        <w:tc>
          <w:tcPr>
            <w:tcW w:w="1342" w:type="pct"/>
            <w:vMerge w:val="continue"/>
            <w:vAlign w:val="center"/>
          </w:tcPr>
          <w:p w14:paraId="63987528">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c>
          <w:tcPr>
            <w:tcW w:w="1925" w:type="pct"/>
            <w:vMerge w:val="continue"/>
            <w:vAlign w:val="center"/>
          </w:tcPr>
          <w:p w14:paraId="6AD373F8">
            <w:pPr>
              <w:pStyle w:val="5"/>
              <w:keepNext/>
              <w:spacing w:before="0" w:line="240" w:lineRule="auto"/>
              <w:rPr>
                <w:rFonts w:ascii="宋体" w:hAnsi="宋体" w:eastAsia="宋体" w:cs="宋体"/>
                <w:color w:val="000000" w:themeColor="text1"/>
                <w:sz w:val="24"/>
                <w:szCs w:val="24"/>
                <w14:textFill>
                  <w14:solidFill>
                    <w14:schemeClr w14:val="tx1"/>
                  </w14:solidFill>
                </w14:textFill>
              </w:rPr>
            </w:pPr>
          </w:p>
        </w:tc>
      </w:tr>
      <w:tr w14:paraId="1B7DE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Merge w:val="continue"/>
            <w:vAlign w:val="center"/>
          </w:tcPr>
          <w:p w14:paraId="3346B2BA">
            <w:pPr>
              <w:adjustRightInd w:val="0"/>
              <w:snapToGrid w:val="0"/>
              <w:rPr>
                <w:rFonts w:ascii="宋体" w:hAnsi="宋体" w:cs="宋体"/>
                <w:color w:val="000000" w:themeColor="text1"/>
                <w:kern w:val="0"/>
                <w:sz w:val="24"/>
                <w:szCs w:val="24"/>
                <w14:textFill>
                  <w14:solidFill>
                    <w14:schemeClr w14:val="tx1"/>
                  </w14:solidFill>
                </w14:textFill>
              </w:rPr>
            </w:pPr>
          </w:p>
        </w:tc>
        <w:tc>
          <w:tcPr>
            <w:tcW w:w="572" w:type="pct"/>
            <w:vAlign w:val="center"/>
          </w:tcPr>
          <w:p w14:paraId="3A434A4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厂区内无组织</w:t>
            </w:r>
          </w:p>
        </w:tc>
        <w:tc>
          <w:tcPr>
            <w:tcW w:w="633" w:type="pct"/>
            <w:vAlign w:val="center"/>
          </w:tcPr>
          <w:p w14:paraId="42869024">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非甲烷总烃</w:t>
            </w:r>
          </w:p>
        </w:tc>
        <w:tc>
          <w:tcPr>
            <w:tcW w:w="1342" w:type="pct"/>
            <w:vAlign w:val="center"/>
          </w:tcPr>
          <w:p w14:paraId="3F548DF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c>
          <w:tcPr>
            <w:tcW w:w="1925" w:type="pct"/>
            <w:vAlign w:val="center"/>
          </w:tcPr>
          <w:p w14:paraId="29D640BA">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《固定源挥发性有机物综合排放标准 第6部分 其他行业》（DB34-4812.6-2024）</w:t>
            </w:r>
          </w:p>
        </w:tc>
      </w:tr>
      <w:tr w14:paraId="02CA4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474C8B8E">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地表水环境</w:t>
            </w:r>
          </w:p>
        </w:tc>
        <w:tc>
          <w:tcPr>
            <w:tcW w:w="572" w:type="pct"/>
            <w:vAlign w:val="center"/>
          </w:tcPr>
          <w:p w14:paraId="5E9299C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生活污水</w:t>
            </w:r>
          </w:p>
        </w:tc>
        <w:tc>
          <w:tcPr>
            <w:tcW w:w="633" w:type="pct"/>
            <w:vAlign w:val="center"/>
          </w:tcPr>
          <w:p w14:paraId="392172C8">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COD、BOD</w:t>
            </w:r>
            <w:r>
              <w:rPr>
                <w:rFonts w:hint="eastAsia" w:ascii="宋体" w:hAnsi="宋体" w:eastAsia="宋体" w:cs="宋体"/>
                <w:color w:val="000000" w:themeColor="text1"/>
                <w:sz w:val="24"/>
                <w:szCs w:val="24"/>
                <w:vertAlign w:val="subscript"/>
                <w14:textFill>
                  <w14:solidFill>
                    <w14:schemeClr w14:val="tx1"/>
                  </w14:solidFill>
                </w14:textFill>
              </w:rPr>
              <w:t>5</w:t>
            </w:r>
            <w:r>
              <w:rPr>
                <w:rFonts w:hint="eastAsia" w:ascii="宋体" w:hAnsi="宋体" w:eastAsia="宋体" w:cs="宋体"/>
                <w:color w:val="000000" w:themeColor="text1"/>
                <w:sz w:val="24"/>
                <w:szCs w:val="24"/>
                <w14:textFill>
                  <w14:solidFill>
                    <w14:schemeClr w14:val="tx1"/>
                  </w14:solidFill>
                </w14:textFill>
              </w:rPr>
              <w:t>、SS、氨氮、动植物油、总氮、总磷</w:t>
            </w:r>
          </w:p>
        </w:tc>
        <w:tc>
          <w:tcPr>
            <w:tcW w:w="1342" w:type="pct"/>
            <w:vAlign w:val="center"/>
          </w:tcPr>
          <w:p w14:paraId="533D2B30">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经化粪池、隔油池处理后进。入淮南经济技术开发区工业污水处理厂处理</w:t>
            </w:r>
          </w:p>
        </w:tc>
        <w:tc>
          <w:tcPr>
            <w:tcW w:w="1925" w:type="pct"/>
            <w:vAlign w:val="center"/>
          </w:tcPr>
          <w:p w14:paraId="6CAEA3AE">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Cs w:val="0"/>
                <w:color w:val="000000" w:themeColor="text1"/>
                <w:sz w:val="24"/>
                <w:szCs w:val="24"/>
                <w:lang w:val="en-US" w:eastAsia="zh-CN"/>
                <w14:textFill>
                  <w14:solidFill>
                    <w14:schemeClr w14:val="tx1"/>
                  </w14:solidFill>
                </w14:textFill>
              </w:rPr>
              <w:t>执行</w:t>
            </w:r>
            <w:r>
              <w:rPr>
                <w:rFonts w:hint="eastAsia" w:ascii="宋体" w:hAnsi="宋体" w:eastAsia="宋体" w:cs="宋体"/>
                <w:bCs w:val="0"/>
                <w:color w:val="000000" w:themeColor="text1"/>
                <w:sz w:val="24"/>
                <w:szCs w:val="24"/>
                <w14:textFill>
                  <w14:solidFill>
                    <w14:schemeClr w14:val="tx1"/>
                  </w14:solidFill>
                </w14:textFill>
              </w:rPr>
              <w:t>《合成树脂工业污染物排放标准》（GB 31572-2015，含2024年修改单）标准要求，同时满足经开区接管标准《关于发布淮南经开区企业生产废水排放限值的通知》（2021年1月19日）中相关排放限值，接管标准中未涉及的污染因子参照执行《污水排入城镇下水道水质标准》（GB/T 31962-2015）；</w:t>
            </w:r>
          </w:p>
        </w:tc>
      </w:tr>
      <w:tr w14:paraId="7C5B8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24734365">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声环境</w:t>
            </w:r>
          </w:p>
        </w:tc>
        <w:tc>
          <w:tcPr>
            <w:tcW w:w="572" w:type="pct"/>
            <w:vAlign w:val="center"/>
          </w:tcPr>
          <w:p w14:paraId="74ED34E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设备、风机等</w:t>
            </w:r>
          </w:p>
        </w:tc>
        <w:tc>
          <w:tcPr>
            <w:tcW w:w="633" w:type="pct"/>
            <w:vAlign w:val="center"/>
          </w:tcPr>
          <w:p w14:paraId="4B12C5FA">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噪声</w:t>
            </w:r>
          </w:p>
        </w:tc>
        <w:tc>
          <w:tcPr>
            <w:tcW w:w="1342" w:type="pct"/>
            <w:vAlign w:val="center"/>
          </w:tcPr>
          <w:p w14:paraId="2A41D5AC">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选取低噪声设备，采取必要的隔声、消声、减振等措施。</w:t>
            </w:r>
          </w:p>
        </w:tc>
        <w:tc>
          <w:tcPr>
            <w:tcW w:w="1925" w:type="pct"/>
            <w:vAlign w:val="center"/>
          </w:tcPr>
          <w:p w14:paraId="3AAEF6C2">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《工业企业厂界环境噪声排放标准》(GB12348-2008) 3</w:t>
            </w:r>
          </w:p>
          <w:p w14:paraId="653D510F">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类标准</w:t>
            </w:r>
          </w:p>
        </w:tc>
      </w:tr>
      <w:tr w14:paraId="4F732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5F01EDA1">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电磁辐射</w:t>
            </w:r>
          </w:p>
        </w:tc>
        <w:tc>
          <w:tcPr>
            <w:tcW w:w="4474" w:type="pct"/>
            <w:gridSpan w:val="4"/>
            <w:vAlign w:val="center"/>
          </w:tcPr>
          <w:p w14:paraId="68062981">
            <w:pPr>
              <w:pStyle w:val="5"/>
              <w:keepNext/>
              <w:spacing w:before="0" w:line="240" w:lineRule="auto"/>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w:t>
            </w:r>
          </w:p>
        </w:tc>
      </w:tr>
      <w:tr w14:paraId="0EC15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0FF52D77">
            <w:pPr>
              <w:adjustRightInd w:val="0"/>
              <w:snapToGrid w:val="0"/>
              <w:jc w:val="center"/>
              <w:rPr>
                <w:rFonts w:ascii="宋体" w:hAns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固体废物</w:t>
            </w:r>
          </w:p>
        </w:tc>
        <w:tc>
          <w:tcPr>
            <w:tcW w:w="4474" w:type="pct"/>
            <w:gridSpan w:val="4"/>
            <w:vAlign w:val="center"/>
          </w:tcPr>
          <w:p w14:paraId="4BDDF842">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危险废物:废拉丝液、废拉丝液桶、废油墨瓶、废机油、废机油桶、废活性炭由建设单位集中收集后，暂存在位于仓库内北侧的危废暂存间(20m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)内，定期交由有资质单位处置。</w:t>
            </w:r>
          </w:p>
          <w:p w14:paraId="1D89E780">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一般固废:废包装材料、废铜丝、废铝丝、边角料、不合格品收集至一般固废间(10m</w:t>
            </w:r>
            <w:r>
              <w:rPr>
                <w:rFonts w:hint="eastAsia" w:ascii="宋体" w:hAnsi="宋体" w:eastAsia="宋体" w:cs="宋体"/>
                <w:color w:val="000000" w:themeColor="text1"/>
                <w:sz w:val="24"/>
                <w:szCs w:val="24"/>
                <w:vertAlign w:val="superscript"/>
                <w14:textFill>
                  <w14:solidFill>
                    <w14:schemeClr w14:val="tx1"/>
                  </w14:solidFill>
                </w14:textFill>
              </w:rPr>
              <w:t>2</w:t>
            </w:r>
            <w:r>
              <w:rPr>
                <w:rFonts w:hint="eastAsia" w:ascii="宋体" w:hAnsi="宋体" w:eastAsia="宋体" w:cs="宋体"/>
                <w:color w:val="000000" w:themeColor="text1"/>
                <w:sz w:val="24"/>
                <w:szCs w:val="24"/>
                <w14:textFill>
                  <w14:solidFill>
                    <w14:schemeClr w14:val="tx1"/>
                  </w14:solidFill>
                </w14:textFill>
              </w:rPr>
              <w:t>)后外售综合处置。</w:t>
            </w:r>
          </w:p>
          <w:p w14:paraId="4E82E613">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生活垃圾:交由当地环卫部门处理。</w:t>
            </w:r>
          </w:p>
        </w:tc>
      </w:tr>
      <w:tr w14:paraId="5F6E7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2A86A089">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土壤及地下水污染防治措施</w:t>
            </w:r>
          </w:p>
        </w:tc>
        <w:tc>
          <w:tcPr>
            <w:tcW w:w="4474" w:type="pct"/>
            <w:gridSpan w:val="4"/>
            <w:vAlign w:val="center"/>
          </w:tcPr>
          <w:p w14:paraId="09C9806A">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1、地下水污染控制措施</w:t>
            </w:r>
          </w:p>
          <w:p w14:paraId="1250116B">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结合本项目污染源的特点，采取以下地下水污染防治措施:</w:t>
            </w:r>
          </w:p>
          <w:p w14:paraId="24B8DE1C">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①源头控制措施</w:t>
            </w:r>
          </w:p>
          <w:p w14:paraId="632DA067">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为了保护地下水环境，实施清洁生产和循环经济，减少污染物的排放量。从设计、管理各种工艺设备和物料运输管线上，防止和减少污染物的跑冒滴漏;合理布局，减少污染物泄漏途径。</w:t>
            </w:r>
          </w:p>
          <w:p w14:paraId="686F6D27">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②过程控制措施</w:t>
            </w:r>
          </w:p>
          <w:p w14:paraId="15BB53ED">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分区防控。厂区要采取综合防渗措施，防止污染物下渗。对照《环境影响评价技术导则地下水环境》(HJ610-2016)的要求对厂区进行防渗区域划分，通常分为重点防渗区、简单防渗区。</w:t>
            </w:r>
          </w:p>
          <w:p w14:paraId="4E8F6E02">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2、土壤污染控制措施:</w:t>
            </w:r>
          </w:p>
          <w:p w14:paraId="6F7C246E">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①加强对安全生产的控制，及时检修废气处理装置运行情况，减少废气事故性排放。</w:t>
            </w:r>
          </w:p>
          <w:p w14:paraId="088E8AC6">
            <w:pPr>
              <w:pStyle w:val="5"/>
              <w:keepNext/>
              <w:spacing w:before="0" w:line="360" w:lineRule="auto"/>
              <w:ind w:firstLine="480" w:firstLineChars="200"/>
              <w:jc w:val="left"/>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②一旦发生土壤污染事故，立即启动企业环境风险应急预案，采取应急措施控制土壤污染，并使污染得到治理。</w:t>
            </w:r>
          </w:p>
        </w:tc>
      </w:tr>
      <w:tr w14:paraId="2908A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2BBDD798">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生态保护措施</w:t>
            </w:r>
          </w:p>
        </w:tc>
        <w:tc>
          <w:tcPr>
            <w:tcW w:w="4474" w:type="pct"/>
            <w:gridSpan w:val="4"/>
            <w:vAlign w:val="center"/>
          </w:tcPr>
          <w:p w14:paraId="2D04B7B7">
            <w:pPr>
              <w:pStyle w:val="5"/>
              <w:keepNext/>
              <w:spacing w:before="0" w:line="240" w:lineRule="auto"/>
              <w:ind w:firstLine="420" w:firstLineChars="200"/>
              <w:jc w:val="left"/>
              <w:rPr>
                <w:rFonts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p>
        </w:tc>
      </w:tr>
      <w:tr w14:paraId="6F0D8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25" w:type="pct"/>
            <w:vAlign w:val="center"/>
          </w:tcPr>
          <w:p w14:paraId="4BA049FE">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环境风险防范措施</w:t>
            </w:r>
          </w:p>
        </w:tc>
        <w:tc>
          <w:tcPr>
            <w:tcW w:w="4474" w:type="pct"/>
            <w:gridSpan w:val="4"/>
            <w:vAlign w:val="center"/>
          </w:tcPr>
          <w:p w14:paraId="5F437422">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(1)加强宣传教育</w:t>
            </w:r>
          </w:p>
          <w:p w14:paraId="39CB148B">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实践证明，许多环境污染事故平时只要提高警惕，加强管理和防范是完全可以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3EDFEA51">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(2)总图布置和建筑安全防范措施</w:t>
            </w:r>
          </w:p>
          <w:p w14:paraId="2F2D0CC1">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根据功能分区布置，充分考虑安全防护距离，厂房内实现消防和疏散通道以及人货分流等问题。在消防设计方面以“预防为主、防消结合”的原则，严格执行国家颁布的消防法规。完善厂区消防管理体系和消防人员的建制，配置对外联络的通讯设备和网站。</w:t>
            </w:r>
          </w:p>
          <w:p w14:paraId="6E4F0E18">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(3)贮运风险防范措施</w:t>
            </w:r>
          </w:p>
          <w:p w14:paraId="69DCA195">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拉丝矿物油、机油设置在油类暂存区，同时加强管理，非使用人员不得随意接触。</w:t>
            </w:r>
          </w:p>
          <w:p w14:paraId="502FBC80">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运输危险品的车辆应有特殊标志，拉丝矿物油、机油装卸前后，必须对车辆和储存设备进行检查，一旦发现有破损现象，应及时进行维修，直至消除隐忠为止。</w:t>
            </w:r>
          </w:p>
          <w:p w14:paraId="525F5F81">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贮存拉丝矿物油、机油的区域应有明显标志，入柜时应严格检验物品质量、数量、包装等情况，应采取适当的防护措施，定期检查，还应建立严格的收发管理制度。对于装卸直接对人体有毒害及腐蚀性的物品时，操作人员应穿戴相应的防护用品。油类化学品必须设置于阴凉、通。风的库房，库房必须防渗、防漏、防雨;油类暂存区严禁火源进入;采用防爆型电气、电讯设施和通风设施;禁止使用易产生火花的机械设备和工具;应设置泄漏收集装置，当泄漏事故发生时，可以做到有效收集。至桶内暂存，最终作为危险废物处理;配备干粉灭火器、黄土、惰性吸附剂等材料，防止发生事故时能对事故进行应急处理。</w:t>
            </w:r>
          </w:p>
          <w:p w14:paraId="2FDFAC02">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(4)火灾防范措施</w:t>
            </w:r>
          </w:p>
          <w:p w14:paraId="32D6A1E4">
            <w:pPr>
              <w:pStyle w:val="5"/>
              <w:keepNext/>
              <w:spacing w:before="0" w:line="360" w:lineRule="auto"/>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工业项目建设要求设计、建造和运行要科学规划、合理布局、严格执行防火安全设计规范，保证建造质量，严格安全生产制度、严格管理，提高操作人员的素质和水平，以减少事故的发生。一旦发生事故，则要。根据具体情况采取应急措施，控制事故扩大:立即报警;采取遏制污染物进入环境的紧急措施等。</w:t>
            </w:r>
          </w:p>
        </w:tc>
      </w:tr>
      <w:tr w14:paraId="49FE9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3" w:hRule="atLeast"/>
          <w:jc w:val="center"/>
        </w:trPr>
        <w:tc>
          <w:tcPr>
            <w:tcW w:w="525" w:type="pct"/>
            <w:vAlign w:val="center"/>
          </w:tcPr>
          <w:p w14:paraId="751484B4">
            <w:pPr>
              <w:adjustRightInd w:val="0"/>
              <w:snapToGrid w:val="0"/>
              <w:jc w:val="center"/>
              <w:rPr>
                <w:rFonts w:ascii="宋体" w:hAnsi="宋体" w:cs="宋体"/>
                <w:color w:val="000000" w:themeColor="text1"/>
                <w:kern w:val="0"/>
                <w:sz w:val="21"/>
                <w:szCs w:val="21"/>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其他环境管理要求</w:t>
            </w:r>
          </w:p>
        </w:tc>
        <w:tc>
          <w:tcPr>
            <w:tcW w:w="4474" w:type="pct"/>
            <w:gridSpan w:val="4"/>
            <w:vAlign w:val="center"/>
          </w:tcPr>
          <w:p w14:paraId="2F33DE9C">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建设项目应按照《排污许可管理条例》(国务院令第736号)要求依法进行排污许可登记，未进行排污许可登记的，不得排放污染物。2、除需要取得排污许可证的水和大气污染防治设施外，其他环境保护设施的验收期限一般不超过3个月;需要对该类环境保护设施进行。调试或者整改的，验收期限可以适当延期，但最长不超过12个月。3、排污口规范化设置:根据国家环保总局《关于开展排污口规范化整治试点工作的意见》《关于加快排污口规范化整治试点工作的通知》和《安徽省污染源排放口规范化整治管理办法》精神，企业所有排放口(包括水、气、声、渣)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毒性污染。物设置警告性环境保护图形标志牌;绘制企业排污口分布图，对治理设施安装运行监控装置、排污口的规范化要符合有关要求。</w:t>
            </w:r>
          </w:p>
          <w:p w14:paraId="73EFCBD4">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(1)合理设置排污口位置，排污口应按规范设计，监测点设置满足《排污单位污染物排放口监测点位设置技术规范》（HJ 1405—2024）</w:t>
            </w:r>
            <w:r>
              <w:rPr>
                <w:rStyle w:val="19"/>
                <w:rFonts w:hint="eastAsia" w:ascii="宋体" w:hAnsi="宋体" w:eastAsia="宋体" w:cs="宋体"/>
                <w:color w:val="000000" w:themeColor="text1"/>
                <w:kern w:val="0"/>
                <w:sz w:val="24"/>
                <w:szCs w:val="24"/>
                <w14:textFill>
                  <w14:solidFill>
                    <w14:schemeClr w14:val="tx1"/>
                  </w14:solidFill>
                </w14:textFill>
              </w:rPr>
              <w:t>。</w:t>
            </w:r>
          </w:p>
          <w:p w14:paraId="516B76F4">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(2)按照GB15562.1-1995及《环境保护图形标志固体废物贮存(处置)场》(GB15562.2-1995)及2023修改单的规定，规范化设置废气排气筒、噪声排放口、危险废物暂存问等。</w:t>
            </w:r>
          </w:p>
          <w:p w14:paraId="22BF610F">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对企业车间废气处理装置的排口分别设置平面固定式提示标志牌或竖立式固定式提示标志牌，平面固定式标志牌为0.48cmx0.3cm的长方形冷轧钢板，竖立式提示标志牌为0.42cmx0.42cm的正方形冷轧钢板，提示牌的背景和立柱为绿色，图案、边框、支架和辅助标志的文字为白色，文字字型为黑体，标志牌辅助标志内容包括排污单位名称、标。志牌名称、排污口编号和主要污染物名称，并交付当地环保部门注明。</w:t>
            </w:r>
          </w:p>
          <w:p w14:paraId="22FB3DF0">
            <w:pPr>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w:t>
            </w:r>
            <w:r>
              <w:rPr>
                <w:rFonts w:hint="eastAsia"/>
                <w:b/>
                <w:color w:val="000000" w:themeColor="text1"/>
                <w14:textFill>
                  <w14:solidFill>
                    <w14:schemeClr w14:val="tx1"/>
                  </w14:solidFill>
                </w14:textFill>
              </w:rPr>
              <w:t>5-1环保图形标志</w:t>
            </w:r>
          </w:p>
          <w:tbl>
            <w:tblPr>
              <w:tblStyle w:val="1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442"/>
              <w:gridCol w:w="1315"/>
              <w:gridCol w:w="1676"/>
              <w:gridCol w:w="1676"/>
              <w:gridCol w:w="1678"/>
            </w:tblGrid>
            <w:tr w14:paraId="7C48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1B83F097">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名称</w:t>
                  </w:r>
                </w:p>
              </w:tc>
              <w:tc>
                <w:tcPr>
                  <w:tcW w:w="850" w:type="pct"/>
                  <w:vAlign w:val="center"/>
                </w:tcPr>
                <w:p w14:paraId="2FB18083">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废水排放口</w:t>
                  </w:r>
                </w:p>
              </w:tc>
              <w:tc>
                <w:tcPr>
                  <w:tcW w:w="775" w:type="pct"/>
                  <w:vAlign w:val="center"/>
                </w:tcPr>
                <w:p w14:paraId="479BE925">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废气排放口</w:t>
                  </w:r>
                </w:p>
              </w:tc>
              <w:tc>
                <w:tcPr>
                  <w:tcW w:w="988" w:type="pct"/>
                  <w:vAlign w:val="center"/>
                </w:tcPr>
                <w:p w14:paraId="434C1C30">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噪声排放源</w:t>
                  </w:r>
                </w:p>
              </w:tc>
              <w:tc>
                <w:tcPr>
                  <w:tcW w:w="988" w:type="pct"/>
                  <w:vAlign w:val="center"/>
                </w:tcPr>
                <w:p w14:paraId="59E23EEB">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一般固体废物</w:t>
                  </w:r>
                </w:p>
              </w:tc>
              <w:tc>
                <w:tcPr>
                  <w:tcW w:w="989" w:type="pct"/>
                  <w:vAlign w:val="center"/>
                </w:tcPr>
                <w:p w14:paraId="5794A346">
                  <w:pPr>
                    <w:pStyle w:val="31"/>
                    <w:ind w:firstLine="0" w:firstLineChars="0"/>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危险废物</w:t>
                  </w:r>
                </w:p>
              </w:tc>
            </w:tr>
            <w:tr w14:paraId="61127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06B4BCAC">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提示图形符号</w:t>
                  </w:r>
                </w:p>
              </w:tc>
              <w:tc>
                <w:tcPr>
                  <w:tcW w:w="850" w:type="pct"/>
                  <w:vAlign w:val="center"/>
                </w:tcPr>
                <w:p w14:paraId="5EB6D073">
                  <w:pPr>
                    <w:pStyle w:val="31"/>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8995" cy="800735"/>
                        <wp:effectExtent l="0" t="0" r="8255" b="1841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2"/>
                                <a:stretch>
                                  <a:fillRect/>
                                </a:stretch>
                              </pic:blipFill>
                              <pic:spPr>
                                <a:xfrm>
                                  <a:off x="0" y="0"/>
                                  <a:ext cx="848995" cy="800735"/>
                                </a:xfrm>
                                <a:prstGeom prst="rect">
                                  <a:avLst/>
                                </a:prstGeom>
                                <a:noFill/>
                                <a:ln>
                                  <a:noFill/>
                                </a:ln>
                              </pic:spPr>
                            </pic:pic>
                          </a:graphicData>
                        </a:graphic>
                      </wp:inline>
                    </w:drawing>
                  </w:r>
                </w:p>
              </w:tc>
              <w:tc>
                <w:tcPr>
                  <w:tcW w:w="775" w:type="pct"/>
                  <w:vAlign w:val="center"/>
                </w:tcPr>
                <w:p w14:paraId="2667ADEF">
                  <w:pPr>
                    <w:pStyle w:val="31"/>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76910" cy="763270"/>
                        <wp:effectExtent l="0" t="0" r="8890" b="1778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3"/>
                                <a:stretch>
                                  <a:fillRect/>
                                </a:stretch>
                              </pic:blipFill>
                              <pic:spPr>
                                <a:xfrm>
                                  <a:off x="0" y="0"/>
                                  <a:ext cx="676910" cy="763270"/>
                                </a:xfrm>
                                <a:prstGeom prst="rect">
                                  <a:avLst/>
                                </a:prstGeom>
                                <a:noFill/>
                                <a:ln>
                                  <a:noFill/>
                                </a:ln>
                              </pic:spPr>
                            </pic:pic>
                          </a:graphicData>
                        </a:graphic>
                      </wp:inline>
                    </w:drawing>
                  </w:r>
                </w:p>
              </w:tc>
              <w:tc>
                <w:tcPr>
                  <w:tcW w:w="988" w:type="pct"/>
                  <w:vAlign w:val="center"/>
                </w:tcPr>
                <w:p w14:paraId="728881B6">
                  <w:pPr>
                    <w:pStyle w:val="31"/>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020445" cy="898525"/>
                        <wp:effectExtent l="0" t="0" r="8255" b="1587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4"/>
                                <a:stretch>
                                  <a:fillRect/>
                                </a:stretch>
                              </pic:blipFill>
                              <pic:spPr>
                                <a:xfrm>
                                  <a:off x="0" y="0"/>
                                  <a:ext cx="1020445" cy="898525"/>
                                </a:xfrm>
                                <a:prstGeom prst="rect">
                                  <a:avLst/>
                                </a:prstGeom>
                                <a:noFill/>
                                <a:ln>
                                  <a:noFill/>
                                </a:ln>
                              </pic:spPr>
                            </pic:pic>
                          </a:graphicData>
                        </a:graphic>
                      </wp:inline>
                    </w:drawing>
                  </w:r>
                </w:p>
              </w:tc>
              <w:tc>
                <w:tcPr>
                  <w:tcW w:w="988" w:type="pct"/>
                  <w:vAlign w:val="center"/>
                </w:tcPr>
                <w:p w14:paraId="79E525CA">
                  <w:pPr>
                    <w:pStyle w:val="31"/>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840105" cy="1022350"/>
                        <wp:effectExtent l="0" t="0" r="17145" b="635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35"/>
                                <a:stretch>
                                  <a:fillRect/>
                                </a:stretch>
                              </pic:blipFill>
                              <pic:spPr>
                                <a:xfrm>
                                  <a:off x="0" y="0"/>
                                  <a:ext cx="840105" cy="1022350"/>
                                </a:xfrm>
                                <a:prstGeom prst="rect">
                                  <a:avLst/>
                                </a:prstGeom>
                                <a:noFill/>
                                <a:ln>
                                  <a:noFill/>
                                </a:ln>
                              </pic:spPr>
                            </pic:pic>
                          </a:graphicData>
                        </a:graphic>
                      </wp:inline>
                    </w:drawing>
                  </w:r>
                </w:p>
              </w:tc>
              <w:tc>
                <w:tcPr>
                  <w:tcW w:w="989" w:type="pct"/>
                  <w:vAlign w:val="center"/>
                </w:tcPr>
                <w:p w14:paraId="66E7AE31">
                  <w:pPr>
                    <w:pStyle w:val="31"/>
                    <w:ind w:firstLine="0" w:firstLineChars="0"/>
                    <w:jc w:val="center"/>
                    <w:rPr>
                      <w:bCs/>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1124585" cy="788035"/>
                        <wp:effectExtent l="0" t="0" r="18415" b="1206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6"/>
                                <a:stretch>
                                  <a:fillRect/>
                                </a:stretch>
                              </pic:blipFill>
                              <pic:spPr>
                                <a:xfrm>
                                  <a:off x="0" y="0"/>
                                  <a:ext cx="1124585" cy="788035"/>
                                </a:xfrm>
                                <a:prstGeom prst="rect">
                                  <a:avLst/>
                                </a:prstGeom>
                                <a:noFill/>
                                <a:ln>
                                  <a:noFill/>
                                </a:ln>
                              </pic:spPr>
                            </pic:pic>
                          </a:graphicData>
                        </a:graphic>
                      </wp:inline>
                    </w:drawing>
                  </w:r>
                </w:p>
              </w:tc>
            </w:tr>
            <w:tr w14:paraId="6E64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 w:type="pct"/>
                  <w:vAlign w:val="center"/>
                </w:tcPr>
                <w:p w14:paraId="1CAE32C4">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功能</w:t>
                  </w:r>
                </w:p>
              </w:tc>
              <w:tc>
                <w:tcPr>
                  <w:tcW w:w="850" w:type="pct"/>
                  <w:vAlign w:val="center"/>
                </w:tcPr>
                <w:p w14:paraId="61DE4FB5">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表示污水向水体排放</w:t>
                  </w:r>
                </w:p>
              </w:tc>
              <w:tc>
                <w:tcPr>
                  <w:tcW w:w="775" w:type="pct"/>
                  <w:vAlign w:val="center"/>
                </w:tcPr>
                <w:p w14:paraId="28A4D009">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表示废气向大气环境排放</w:t>
                  </w:r>
                </w:p>
              </w:tc>
              <w:tc>
                <w:tcPr>
                  <w:tcW w:w="988" w:type="pct"/>
                  <w:vAlign w:val="center"/>
                </w:tcPr>
                <w:p w14:paraId="55CDB7B8">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表示噪声向外环境排放</w:t>
                  </w:r>
                </w:p>
              </w:tc>
              <w:tc>
                <w:tcPr>
                  <w:tcW w:w="988" w:type="pct"/>
                  <w:vAlign w:val="center"/>
                </w:tcPr>
                <w:p w14:paraId="500DEE80">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表示一般固体废物贮存、处置场所</w:t>
                  </w:r>
                </w:p>
              </w:tc>
              <w:tc>
                <w:tcPr>
                  <w:tcW w:w="989" w:type="pct"/>
                  <w:vAlign w:val="center"/>
                </w:tcPr>
                <w:p w14:paraId="41838A7A">
                  <w:pPr>
                    <w:pStyle w:val="31"/>
                    <w:ind w:firstLine="0" w:firstLineChars="0"/>
                    <w:jc w:val="center"/>
                    <w:rPr>
                      <w:bCs/>
                      <w:color w:val="000000" w:themeColor="text1"/>
                      <w14:textFill>
                        <w14:solidFill>
                          <w14:schemeClr w14:val="tx1"/>
                        </w14:solidFill>
                      </w14:textFill>
                    </w:rPr>
                  </w:pPr>
                  <w:r>
                    <w:rPr>
                      <w:rFonts w:hint="eastAsia"/>
                      <w:bCs/>
                      <w:color w:val="000000" w:themeColor="text1"/>
                      <w14:textFill>
                        <w14:solidFill>
                          <w14:schemeClr w14:val="tx1"/>
                        </w14:solidFill>
                      </w14:textFill>
                    </w:rPr>
                    <w:t>表示危险固体废物贮存、处置场所</w:t>
                  </w:r>
                </w:p>
              </w:tc>
            </w:tr>
          </w:tbl>
          <w:p w14:paraId="18D0FC79">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(3)按照要求填写由原国家环保部统一印制的《中华人民共和国:规范化排污口标志登记证》</w:t>
            </w:r>
          </w:p>
          <w:p w14:paraId="24726C39">
            <w:pPr>
              <w:pStyle w:val="5"/>
              <w:keepNext/>
              <w:spacing w:before="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(4)规范化设置的排污口有关设置属于环境保护设施，应将其纳入本单位设备管理，并选派具有专业知识的专职或兼职人员对排污口进行管理。</w:t>
            </w:r>
          </w:p>
          <w:p w14:paraId="54AE9E5F">
            <w:pPr>
              <w:pStyle w:val="5"/>
              <w:keepNext/>
              <w:spacing w:before="0" w:line="360" w:lineRule="auto"/>
              <w:ind w:firstLine="480" w:firstLineChars="200"/>
              <w:jc w:val="left"/>
              <w:rPr>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另外，项目建成投入运行后，应向环保主管部门进行排污申报。</w:t>
            </w:r>
          </w:p>
        </w:tc>
      </w:tr>
    </w:tbl>
    <w:p w14:paraId="415D3476">
      <w:pPr>
        <w:pStyle w:val="8"/>
        <w:sectPr>
          <w:pgSz w:w="11906" w:h="16838"/>
          <w:pgMar w:top="1247" w:right="1134" w:bottom="1134" w:left="1247" w:header="851" w:footer="992" w:gutter="0"/>
          <w:cols w:space="425" w:num="1"/>
          <w:docGrid w:type="lines" w:linePitch="312" w:charSpace="0"/>
        </w:sectPr>
      </w:pPr>
    </w:p>
    <w:p w14:paraId="6EC2A874">
      <w:pPr>
        <w:pStyle w:val="13"/>
        <w:numPr>
          <w:ilvl w:val="0"/>
          <w:numId w:val="0"/>
        </w:numPr>
        <w:jc w:val="center"/>
        <w:outlineLvl w:val="0"/>
        <w:rPr>
          <w:rFonts w:hint="eastAsia" w:ascii="Times New Roman" w:hAnsi="Times New Roman" w:eastAsia="黑体"/>
          <w:snapToGrid w:val="0"/>
          <w:sz w:val="30"/>
          <w:szCs w:val="30"/>
        </w:rPr>
      </w:pPr>
      <w:r>
        <w:rPr>
          <w:rFonts w:hint="eastAsia" w:ascii="Times New Roman" w:hAnsi="Times New Roman" w:eastAsia="黑体" w:cs="Times New Roman"/>
          <w:snapToGrid w:val="0"/>
          <w:kern w:val="0"/>
          <w:sz w:val="30"/>
          <w:szCs w:val="30"/>
          <w:lang w:val="en-US" w:eastAsia="zh-CN" w:bidi="ar-SA"/>
        </w:rPr>
        <w:t>六、</w:t>
      </w:r>
      <w:r>
        <w:rPr>
          <w:rFonts w:hint="eastAsia" w:ascii="Times New Roman" w:hAnsi="Times New Roman" w:eastAsia="黑体"/>
          <w:snapToGrid w:val="0"/>
          <w:sz w:val="30"/>
          <w:szCs w:val="30"/>
        </w:rPr>
        <w:t>结论</w:t>
      </w:r>
    </w:p>
    <w:tbl>
      <w:tblPr>
        <w:tblStyle w:val="15"/>
        <w:tblW w:w="97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739"/>
      </w:tblGrid>
      <w:tr w14:paraId="5ABA71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35" w:hRule="atLeast"/>
          <w:jc w:val="center"/>
        </w:trPr>
        <w:tc>
          <w:tcPr>
            <w:tcW w:w="9739" w:type="dxa"/>
          </w:tcPr>
          <w:p w14:paraId="3CC54F4B">
            <w:pPr>
              <w:widowControl/>
              <w:spacing w:line="360" w:lineRule="auto"/>
              <w:ind w:firstLine="480"/>
              <w:rPr>
                <w:rFonts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淮南经开科技有限公司新能源绿色智能智造电缆产业园建设项目的建设符合相关产业政策要求，选址符合相关规划要求</w:t>
            </w:r>
            <w:r>
              <w:rPr>
                <w:rFonts w:hint="eastAsia"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生产过程中所采用的污染防治措施技术经济可行，能保证各种污染物稳定达标排放</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项目实施后，在正常工况下排放的污染物对周围环境影响较小</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在切实采取相应风险防范措施的前提下，环境风险可以接受。</w:t>
            </w:r>
          </w:p>
          <w:p w14:paraId="787FD279">
            <w:pPr>
              <w:widowControl/>
              <w:spacing w:line="360" w:lineRule="auto"/>
              <w:ind w:firstLine="480"/>
              <w:rPr>
                <w:rFonts w:ascii="宋体" w:hAnsi="宋体" w:eastAsia="宋体" w:cs="宋体"/>
                <w:sz w:val="21"/>
                <w:szCs w:val="21"/>
              </w:rPr>
            </w:pPr>
            <w:r>
              <w:rPr>
                <w:rFonts w:hint="default" w:ascii="Times New Roman" w:hAnsi="Times New Roman" w:eastAsia="宋体" w:cs="Times New Roman"/>
                <w:color w:val="000000" w:themeColor="text1"/>
                <w:sz w:val="24"/>
                <w:szCs w:val="24"/>
                <w14:textFill>
                  <w14:solidFill>
                    <w14:schemeClr w14:val="tx1"/>
                  </w14:solidFill>
                </w14:textFill>
              </w:rPr>
              <w:t>因此，项目的建设单位在切实落实各项污染防治措施，严格执行国家和地方各项环保法律、法规和标准的前提下，从环境影响角度分析，该项目的建设具备环境可行性。</w:t>
            </w:r>
          </w:p>
        </w:tc>
      </w:tr>
    </w:tbl>
    <w:p w14:paraId="3D94CA0D">
      <w:pPr>
        <w:pStyle w:val="9"/>
        <w:sectPr>
          <w:pgSz w:w="11906" w:h="16838"/>
          <w:pgMar w:top="1247" w:right="1134" w:bottom="1134" w:left="1247" w:header="851" w:footer="992" w:gutter="0"/>
          <w:cols w:space="425" w:num="1"/>
          <w:docGrid w:type="lines" w:linePitch="312" w:charSpace="0"/>
        </w:sectPr>
      </w:pPr>
    </w:p>
    <w:p w14:paraId="1018347C">
      <w:pPr>
        <w:spacing w:line="360" w:lineRule="auto"/>
        <w:jc w:val="left"/>
        <w:rPr>
          <w:b/>
        </w:rPr>
      </w:pPr>
      <w:r>
        <w:rPr>
          <w:rFonts w:hint="eastAsia"/>
          <w:b/>
        </w:rPr>
        <w:t>附表</w:t>
      </w:r>
    </w:p>
    <w:p w14:paraId="0BA231C5">
      <w:pPr>
        <w:spacing w:line="360" w:lineRule="auto"/>
        <w:jc w:val="center"/>
        <w:rPr>
          <w:b/>
        </w:rPr>
      </w:pPr>
      <w:r>
        <w:rPr>
          <w:rFonts w:hint="eastAsia"/>
          <w:b/>
        </w:rPr>
        <w:t>建设项目污染物排放量汇总表</w:t>
      </w:r>
    </w:p>
    <w:tbl>
      <w:tblPr>
        <w:tblStyle w:val="15"/>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
        <w:gridCol w:w="1319"/>
        <w:gridCol w:w="1425"/>
        <w:gridCol w:w="1820"/>
        <w:gridCol w:w="1820"/>
        <w:gridCol w:w="1823"/>
        <w:gridCol w:w="1823"/>
        <w:gridCol w:w="1823"/>
        <w:gridCol w:w="1824"/>
      </w:tblGrid>
      <w:tr w14:paraId="5232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tcBorders>
              <w:tl2br w:val="single" w:color="auto" w:sz="4" w:space="0"/>
            </w:tcBorders>
            <w:vAlign w:val="center"/>
          </w:tcPr>
          <w:p w14:paraId="685C194C">
            <w:pPr>
              <w:pStyle w:val="31"/>
              <w:ind w:firstLine="0" w:firstLineChars="0"/>
              <w:jc w:val="right"/>
              <w:rPr>
                <w:b/>
              </w:rPr>
            </w:pPr>
            <w:r>
              <w:rPr>
                <w:rFonts w:hint="eastAsia"/>
                <w:b/>
              </w:rPr>
              <w:t>项目</w:t>
            </w:r>
          </w:p>
          <w:p w14:paraId="3043646F">
            <w:pPr>
              <w:pStyle w:val="31"/>
              <w:ind w:firstLine="0" w:firstLineChars="0"/>
              <w:jc w:val="left"/>
              <w:rPr>
                <w:b/>
              </w:rPr>
            </w:pPr>
            <w:r>
              <w:rPr>
                <w:rFonts w:hint="eastAsia"/>
                <w:b/>
              </w:rPr>
              <w:t>分类</w:t>
            </w:r>
          </w:p>
        </w:tc>
        <w:tc>
          <w:tcPr>
            <w:tcW w:w="450" w:type="pct"/>
            <w:vAlign w:val="center"/>
          </w:tcPr>
          <w:p w14:paraId="2470B86A">
            <w:pPr>
              <w:pStyle w:val="31"/>
              <w:ind w:firstLine="0" w:firstLineChars="0"/>
              <w:jc w:val="center"/>
              <w:rPr>
                <w:b/>
              </w:rPr>
            </w:pPr>
            <w:r>
              <w:rPr>
                <w:rFonts w:hint="eastAsia"/>
                <w:b/>
              </w:rPr>
              <w:t>污染物名称</w:t>
            </w:r>
          </w:p>
        </w:tc>
        <w:tc>
          <w:tcPr>
            <w:tcW w:w="486" w:type="pct"/>
            <w:vAlign w:val="center"/>
          </w:tcPr>
          <w:p w14:paraId="135F75EE">
            <w:pPr>
              <w:pStyle w:val="31"/>
              <w:ind w:firstLine="0" w:firstLineChars="0"/>
              <w:jc w:val="center"/>
              <w:rPr>
                <w:b/>
              </w:rPr>
            </w:pPr>
            <w:r>
              <w:rPr>
                <w:rFonts w:hint="eastAsia"/>
                <w:b/>
              </w:rPr>
              <w:t>现有工程排放量（固体废物产生量）</w:t>
            </w:r>
            <w:r>
              <w:rPr>
                <w:rFonts w:hint="eastAsia" w:ascii="微软雅黑" w:hAnsi="微软雅黑" w:eastAsia="微软雅黑" w:cs="微软雅黑"/>
                <w:b/>
              </w:rPr>
              <w:t>①</w:t>
            </w:r>
          </w:p>
        </w:tc>
        <w:tc>
          <w:tcPr>
            <w:tcW w:w="621" w:type="pct"/>
            <w:vAlign w:val="center"/>
          </w:tcPr>
          <w:p w14:paraId="503BE082">
            <w:pPr>
              <w:pStyle w:val="31"/>
              <w:ind w:firstLine="0" w:firstLineChars="0"/>
              <w:jc w:val="center"/>
              <w:rPr>
                <w:b/>
              </w:rPr>
            </w:pPr>
            <w:r>
              <w:rPr>
                <w:rFonts w:hint="eastAsia"/>
                <w:b/>
              </w:rPr>
              <w:t>现有工程许可排放量</w:t>
            </w:r>
            <w:r>
              <w:rPr>
                <w:rFonts w:hint="eastAsia" w:ascii="微软雅黑" w:hAnsi="微软雅黑" w:eastAsia="微软雅黑" w:cs="微软雅黑"/>
                <w:b/>
              </w:rPr>
              <w:t>②</w:t>
            </w:r>
          </w:p>
        </w:tc>
        <w:tc>
          <w:tcPr>
            <w:tcW w:w="621" w:type="pct"/>
            <w:vAlign w:val="center"/>
          </w:tcPr>
          <w:p w14:paraId="2420CC25">
            <w:pPr>
              <w:pStyle w:val="31"/>
              <w:ind w:firstLine="0" w:firstLineChars="0"/>
              <w:jc w:val="center"/>
              <w:rPr>
                <w:b/>
              </w:rPr>
            </w:pPr>
            <w:r>
              <w:rPr>
                <w:rFonts w:hint="eastAsia"/>
                <w:b/>
              </w:rPr>
              <w:t>在建工程排放量（固体废物产生量）</w:t>
            </w:r>
            <w:r>
              <w:rPr>
                <w:rFonts w:hint="eastAsia" w:ascii="微软雅黑" w:hAnsi="微软雅黑" w:eastAsia="微软雅黑" w:cs="微软雅黑"/>
                <w:b/>
              </w:rPr>
              <w:t>③</w:t>
            </w:r>
          </w:p>
        </w:tc>
        <w:tc>
          <w:tcPr>
            <w:tcW w:w="622" w:type="pct"/>
            <w:vAlign w:val="center"/>
          </w:tcPr>
          <w:p w14:paraId="19447705">
            <w:pPr>
              <w:pStyle w:val="31"/>
              <w:ind w:firstLine="0" w:firstLineChars="0"/>
              <w:jc w:val="center"/>
              <w:rPr>
                <w:b/>
              </w:rPr>
            </w:pPr>
            <w:r>
              <w:rPr>
                <w:rFonts w:hint="eastAsia"/>
                <w:b/>
              </w:rPr>
              <w:t>本项目排放量（固体废物产生量）</w:t>
            </w:r>
            <w:r>
              <w:rPr>
                <w:rFonts w:hint="eastAsia" w:ascii="微软雅黑" w:hAnsi="微软雅黑" w:eastAsia="微软雅黑" w:cs="微软雅黑"/>
                <w:b/>
              </w:rPr>
              <w:t>④</w:t>
            </w:r>
          </w:p>
        </w:tc>
        <w:tc>
          <w:tcPr>
            <w:tcW w:w="622" w:type="pct"/>
            <w:vAlign w:val="center"/>
          </w:tcPr>
          <w:p w14:paraId="7296AA8B">
            <w:pPr>
              <w:pStyle w:val="31"/>
              <w:ind w:firstLine="0" w:firstLineChars="0"/>
              <w:jc w:val="center"/>
              <w:rPr>
                <w:b/>
              </w:rPr>
            </w:pPr>
            <w:r>
              <w:rPr>
                <w:rFonts w:hint="eastAsia"/>
                <w:b/>
              </w:rPr>
              <w:t>以新带老削减量（新建项目不填）</w:t>
            </w:r>
            <w:r>
              <w:rPr>
                <w:rFonts w:hint="eastAsia" w:ascii="微软雅黑" w:hAnsi="微软雅黑" w:eastAsia="微软雅黑" w:cs="微软雅黑"/>
                <w:b/>
              </w:rPr>
              <w:t>⑤</w:t>
            </w:r>
          </w:p>
        </w:tc>
        <w:tc>
          <w:tcPr>
            <w:tcW w:w="622" w:type="pct"/>
            <w:vAlign w:val="center"/>
          </w:tcPr>
          <w:p w14:paraId="19198B63">
            <w:pPr>
              <w:pStyle w:val="31"/>
              <w:ind w:firstLine="0" w:firstLineChars="0"/>
              <w:jc w:val="center"/>
              <w:rPr>
                <w:b/>
              </w:rPr>
            </w:pPr>
            <w:r>
              <w:rPr>
                <w:rFonts w:hint="eastAsia"/>
                <w:b/>
              </w:rPr>
              <w:t>本项目建成后全厂排放量（固体废物产生量）</w:t>
            </w:r>
            <w:r>
              <w:rPr>
                <w:rFonts w:hint="eastAsia" w:ascii="微软雅黑" w:hAnsi="微软雅黑" w:eastAsia="微软雅黑" w:cs="微软雅黑"/>
                <w:b/>
              </w:rPr>
              <w:t>⑥</w:t>
            </w:r>
          </w:p>
        </w:tc>
        <w:tc>
          <w:tcPr>
            <w:tcW w:w="622" w:type="pct"/>
            <w:vAlign w:val="center"/>
          </w:tcPr>
          <w:p w14:paraId="0405163B">
            <w:pPr>
              <w:pStyle w:val="31"/>
              <w:ind w:firstLine="0" w:firstLineChars="0"/>
              <w:jc w:val="center"/>
              <w:rPr>
                <w:b/>
              </w:rPr>
            </w:pPr>
            <w:r>
              <w:rPr>
                <w:rFonts w:hint="eastAsia"/>
                <w:b/>
              </w:rPr>
              <w:t>变化量</w:t>
            </w:r>
            <w:r>
              <w:rPr>
                <w:rFonts w:hint="eastAsia" w:ascii="微软雅黑" w:hAnsi="微软雅黑" w:eastAsia="微软雅黑" w:cs="微软雅黑"/>
                <w:b/>
              </w:rPr>
              <w:t>⑦</w:t>
            </w:r>
          </w:p>
        </w:tc>
      </w:tr>
      <w:tr w14:paraId="4235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14:paraId="78EEB67A">
            <w:pPr>
              <w:pStyle w:val="31"/>
              <w:ind w:firstLine="0" w:firstLineChars="0"/>
              <w:jc w:val="center"/>
              <w:rPr>
                <w:bCs/>
              </w:rPr>
            </w:pPr>
            <w:r>
              <w:rPr>
                <w:rFonts w:hint="eastAsia"/>
                <w:bCs/>
              </w:rPr>
              <w:t>废气</w:t>
            </w:r>
          </w:p>
        </w:tc>
        <w:tc>
          <w:tcPr>
            <w:tcW w:w="450" w:type="pct"/>
            <w:vAlign w:val="center"/>
          </w:tcPr>
          <w:p w14:paraId="78DB531D">
            <w:pPr>
              <w:pStyle w:val="31"/>
              <w:ind w:firstLine="0" w:firstLineChars="0"/>
              <w:jc w:val="center"/>
              <w:rPr>
                <w:bCs/>
              </w:rPr>
            </w:pPr>
            <w:r>
              <w:rPr>
                <w:rFonts w:hint="eastAsia"/>
                <w:bCs/>
              </w:rPr>
              <w:t>非甲烷总烃</w:t>
            </w:r>
          </w:p>
        </w:tc>
        <w:tc>
          <w:tcPr>
            <w:tcW w:w="486" w:type="pct"/>
            <w:vAlign w:val="center"/>
          </w:tcPr>
          <w:p w14:paraId="111075DA">
            <w:pPr>
              <w:pStyle w:val="31"/>
              <w:ind w:firstLine="0" w:firstLineChars="0"/>
              <w:jc w:val="center"/>
              <w:rPr>
                <w:bCs/>
              </w:rPr>
            </w:pPr>
            <w:r>
              <w:rPr>
                <w:rFonts w:hint="eastAsia"/>
                <w:bCs/>
              </w:rPr>
              <w:t>/</w:t>
            </w:r>
          </w:p>
        </w:tc>
        <w:tc>
          <w:tcPr>
            <w:tcW w:w="621" w:type="pct"/>
            <w:vAlign w:val="center"/>
          </w:tcPr>
          <w:p w14:paraId="3F85D87A">
            <w:pPr>
              <w:pStyle w:val="31"/>
              <w:ind w:firstLine="0" w:firstLineChars="0"/>
              <w:jc w:val="center"/>
              <w:rPr>
                <w:bCs/>
              </w:rPr>
            </w:pPr>
            <w:r>
              <w:rPr>
                <w:rFonts w:hint="eastAsia"/>
                <w:bCs/>
              </w:rPr>
              <w:t>/</w:t>
            </w:r>
          </w:p>
        </w:tc>
        <w:tc>
          <w:tcPr>
            <w:tcW w:w="621" w:type="pct"/>
            <w:vAlign w:val="center"/>
          </w:tcPr>
          <w:p w14:paraId="0CCEA793">
            <w:pPr>
              <w:pStyle w:val="31"/>
              <w:ind w:firstLine="0" w:firstLineChars="0"/>
              <w:jc w:val="center"/>
              <w:rPr>
                <w:bCs/>
              </w:rPr>
            </w:pPr>
            <w:r>
              <w:rPr>
                <w:rFonts w:hint="eastAsia"/>
                <w:bCs/>
              </w:rPr>
              <w:t>/</w:t>
            </w:r>
          </w:p>
        </w:tc>
        <w:tc>
          <w:tcPr>
            <w:tcW w:w="622" w:type="pct"/>
            <w:vAlign w:val="center"/>
          </w:tcPr>
          <w:p w14:paraId="6EFF716A">
            <w:pPr>
              <w:pStyle w:val="31"/>
              <w:ind w:firstLine="0" w:firstLineChars="0"/>
              <w:jc w:val="center"/>
              <w:rPr>
                <w:bCs/>
              </w:rPr>
            </w:pPr>
            <w:r>
              <w:rPr>
                <w:rFonts w:hint="eastAsia"/>
                <w:bCs/>
              </w:rPr>
              <w:t>1.</w:t>
            </w:r>
            <w:r>
              <w:rPr>
                <w:rFonts w:hint="eastAsia"/>
                <w:bCs/>
                <w:lang w:val="en-US" w:eastAsia="zh-CN"/>
              </w:rPr>
              <w:t>778</w:t>
            </w:r>
            <w:r>
              <w:rPr>
                <w:rFonts w:hint="eastAsia"/>
                <w:bCs/>
              </w:rPr>
              <w:t>t/a</w:t>
            </w:r>
          </w:p>
        </w:tc>
        <w:tc>
          <w:tcPr>
            <w:tcW w:w="622" w:type="pct"/>
            <w:vAlign w:val="center"/>
          </w:tcPr>
          <w:p w14:paraId="58AEE67E">
            <w:pPr>
              <w:pStyle w:val="31"/>
              <w:ind w:firstLine="0" w:firstLineChars="0"/>
              <w:jc w:val="center"/>
              <w:rPr>
                <w:bCs/>
              </w:rPr>
            </w:pPr>
            <w:r>
              <w:rPr>
                <w:rFonts w:hint="eastAsia"/>
                <w:bCs/>
              </w:rPr>
              <w:t>0</w:t>
            </w:r>
          </w:p>
        </w:tc>
        <w:tc>
          <w:tcPr>
            <w:tcW w:w="622" w:type="pct"/>
            <w:vAlign w:val="center"/>
          </w:tcPr>
          <w:p w14:paraId="48CD5AB2">
            <w:pPr>
              <w:pStyle w:val="31"/>
              <w:ind w:firstLine="0" w:firstLineChars="0"/>
              <w:jc w:val="center"/>
              <w:rPr>
                <w:bCs/>
              </w:rPr>
            </w:pPr>
            <w:r>
              <w:rPr>
                <w:rFonts w:hint="eastAsia"/>
                <w:bCs/>
              </w:rPr>
              <w:t>1.</w:t>
            </w:r>
            <w:r>
              <w:rPr>
                <w:rFonts w:hint="eastAsia"/>
                <w:bCs/>
                <w:lang w:val="en-US" w:eastAsia="zh-CN"/>
              </w:rPr>
              <w:t>778</w:t>
            </w:r>
            <w:r>
              <w:rPr>
                <w:rFonts w:hint="eastAsia"/>
                <w:bCs/>
              </w:rPr>
              <w:t>t/a</w:t>
            </w:r>
          </w:p>
        </w:tc>
        <w:tc>
          <w:tcPr>
            <w:tcW w:w="622" w:type="pct"/>
            <w:vAlign w:val="center"/>
          </w:tcPr>
          <w:p w14:paraId="091D4039">
            <w:pPr>
              <w:pStyle w:val="31"/>
              <w:ind w:firstLine="0" w:firstLineChars="0"/>
              <w:jc w:val="center"/>
              <w:rPr>
                <w:bCs/>
              </w:rPr>
            </w:pPr>
            <w:r>
              <w:rPr>
                <w:rFonts w:hint="eastAsia"/>
                <w:bCs/>
              </w:rPr>
              <w:t>+1.</w:t>
            </w:r>
            <w:r>
              <w:rPr>
                <w:rFonts w:hint="eastAsia"/>
                <w:bCs/>
                <w:lang w:val="en-US" w:eastAsia="zh-CN"/>
              </w:rPr>
              <w:t>778</w:t>
            </w:r>
            <w:r>
              <w:rPr>
                <w:rFonts w:hint="eastAsia"/>
                <w:bCs/>
              </w:rPr>
              <w:t>t/a</w:t>
            </w:r>
          </w:p>
        </w:tc>
      </w:tr>
      <w:tr w14:paraId="3881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1C10C1E6">
            <w:pPr>
              <w:pStyle w:val="31"/>
              <w:ind w:firstLine="0" w:firstLineChars="0"/>
              <w:jc w:val="center"/>
              <w:rPr>
                <w:bCs/>
              </w:rPr>
            </w:pPr>
          </w:p>
        </w:tc>
        <w:tc>
          <w:tcPr>
            <w:tcW w:w="450" w:type="pct"/>
            <w:vAlign w:val="center"/>
          </w:tcPr>
          <w:p w14:paraId="49EB6301">
            <w:pPr>
              <w:pStyle w:val="31"/>
              <w:ind w:firstLine="0" w:firstLineChars="0"/>
              <w:jc w:val="center"/>
              <w:rPr>
                <w:bCs/>
              </w:rPr>
            </w:pPr>
            <w:r>
              <w:rPr>
                <w:rFonts w:hint="eastAsia"/>
                <w:bCs/>
              </w:rPr>
              <w:t>HCl</w:t>
            </w:r>
          </w:p>
        </w:tc>
        <w:tc>
          <w:tcPr>
            <w:tcW w:w="486" w:type="pct"/>
            <w:vAlign w:val="center"/>
          </w:tcPr>
          <w:p w14:paraId="6641FE05">
            <w:pPr>
              <w:pStyle w:val="31"/>
              <w:ind w:firstLine="0" w:firstLineChars="0"/>
              <w:jc w:val="center"/>
              <w:rPr>
                <w:bCs/>
              </w:rPr>
            </w:pPr>
            <w:r>
              <w:rPr>
                <w:rFonts w:hint="eastAsia"/>
                <w:bCs/>
              </w:rPr>
              <w:t>/</w:t>
            </w:r>
          </w:p>
        </w:tc>
        <w:tc>
          <w:tcPr>
            <w:tcW w:w="621" w:type="pct"/>
            <w:vAlign w:val="center"/>
          </w:tcPr>
          <w:p w14:paraId="0CBAEBCC">
            <w:pPr>
              <w:pStyle w:val="31"/>
              <w:ind w:firstLine="0" w:firstLineChars="0"/>
              <w:jc w:val="center"/>
              <w:rPr>
                <w:bCs/>
              </w:rPr>
            </w:pPr>
            <w:r>
              <w:rPr>
                <w:rFonts w:hint="eastAsia"/>
                <w:bCs/>
              </w:rPr>
              <w:t>/</w:t>
            </w:r>
          </w:p>
        </w:tc>
        <w:tc>
          <w:tcPr>
            <w:tcW w:w="621" w:type="pct"/>
            <w:vAlign w:val="center"/>
          </w:tcPr>
          <w:p w14:paraId="79F4ACC0">
            <w:pPr>
              <w:pStyle w:val="31"/>
              <w:ind w:firstLine="0" w:firstLineChars="0"/>
              <w:jc w:val="center"/>
              <w:rPr>
                <w:bCs/>
              </w:rPr>
            </w:pPr>
            <w:r>
              <w:rPr>
                <w:rFonts w:hint="eastAsia"/>
                <w:bCs/>
              </w:rPr>
              <w:t>/</w:t>
            </w:r>
          </w:p>
        </w:tc>
        <w:tc>
          <w:tcPr>
            <w:tcW w:w="622" w:type="pct"/>
            <w:vAlign w:val="center"/>
          </w:tcPr>
          <w:p w14:paraId="3A943211">
            <w:pPr>
              <w:pStyle w:val="31"/>
              <w:ind w:firstLine="0" w:firstLineChars="0"/>
              <w:jc w:val="center"/>
              <w:rPr>
                <w:bCs/>
              </w:rPr>
            </w:pPr>
            <w:r>
              <w:rPr>
                <w:rFonts w:hint="eastAsia"/>
                <w:bCs/>
              </w:rPr>
              <w:t>0.003</w:t>
            </w:r>
            <w:r>
              <w:rPr>
                <w:rFonts w:hint="eastAsia"/>
                <w:bCs/>
                <w:lang w:val="en-US" w:eastAsia="zh-CN"/>
              </w:rPr>
              <w:t>3</w:t>
            </w:r>
            <w:r>
              <w:rPr>
                <w:rFonts w:hint="eastAsia"/>
                <w:bCs/>
              </w:rPr>
              <w:t>t/a</w:t>
            </w:r>
          </w:p>
        </w:tc>
        <w:tc>
          <w:tcPr>
            <w:tcW w:w="622" w:type="pct"/>
            <w:vAlign w:val="center"/>
          </w:tcPr>
          <w:p w14:paraId="62519ACD">
            <w:pPr>
              <w:pStyle w:val="31"/>
              <w:ind w:firstLine="0" w:firstLineChars="0"/>
              <w:jc w:val="center"/>
              <w:rPr>
                <w:bCs/>
              </w:rPr>
            </w:pPr>
            <w:r>
              <w:rPr>
                <w:rFonts w:hint="eastAsia"/>
                <w:bCs/>
              </w:rPr>
              <w:t>0</w:t>
            </w:r>
          </w:p>
        </w:tc>
        <w:tc>
          <w:tcPr>
            <w:tcW w:w="622" w:type="pct"/>
            <w:vAlign w:val="center"/>
          </w:tcPr>
          <w:p w14:paraId="6FACA880">
            <w:pPr>
              <w:pStyle w:val="31"/>
              <w:ind w:firstLine="0" w:firstLineChars="0"/>
              <w:jc w:val="center"/>
              <w:rPr>
                <w:bCs/>
              </w:rPr>
            </w:pPr>
            <w:r>
              <w:rPr>
                <w:rFonts w:hint="eastAsia"/>
                <w:bCs/>
              </w:rPr>
              <w:t>0.003</w:t>
            </w:r>
            <w:r>
              <w:rPr>
                <w:rFonts w:hint="eastAsia"/>
                <w:bCs/>
                <w:lang w:val="en-US" w:eastAsia="zh-CN"/>
              </w:rPr>
              <w:t>3</w:t>
            </w:r>
            <w:r>
              <w:rPr>
                <w:rFonts w:hint="eastAsia"/>
                <w:bCs/>
              </w:rPr>
              <w:t>t/a</w:t>
            </w:r>
          </w:p>
        </w:tc>
        <w:tc>
          <w:tcPr>
            <w:tcW w:w="622" w:type="pct"/>
            <w:vAlign w:val="center"/>
          </w:tcPr>
          <w:p w14:paraId="4DC92445">
            <w:pPr>
              <w:pStyle w:val="31"/>
              <w:ind w:firstLine="0" w:firstLineChars="0"/>
              <w:jc w:val="center"/>
              <w:rPr>
                <w:bCs/>
              </w:rPr>
            </w:pPr>
            <w:r>
              <w:rPr>
                <w:rFonts w:hint="eastAsia"/>
                <w:bCs/>
              </w:rPr>
              <w:t>+0.003</w:t>
            </w:r>
            <w:r>
              <w:rPr>
                <w:rFonts w:hint="eastAsia"/>
                <w:bCs/>
                <w:lang w:val="en-US" w:eastAsia="zh-CN"/>
              </w:rPr>
              <w:t>3</w:t>
            </w:r>
            <w:r>
              <w:rPr>
                <w:rFonts w:hint="eastAsia"/>
                <w:bCs/>
              </w:rPr>
              <w:t>t/a</w:t>
            </w:r>
          </w:p>
        </w:tc>
      </w:tr>
      <w:tr w14:paraId="44A58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52D882F8">
            <w:pPr>
              <w:pStyle w:val="31"/>
              <w:ind w:firstLine="0" w:firstLineChars="0"/>
              <w:jc w:val="center"/>
              <w:rPr>
                <w:bCs/>
              </w:rPr>
            </w:pPr>
          </w:p>
        </w:tc>
        <w:tc>
          <w:tcPr>
            <w:tcW w:w="450" w:type="pct"/>
            <w:vAlign w:val="center"/>
          </w:tcPr>
          <w:p w14:paraId="57254520">
            <w:pPr>
              <w:pStyle w:val="31"/>
              <w:ind w:firstLine="0" w:firstLineChars="0"/>
              <w:jc w:val="center"/>
              <w:rPr>
                <w:bCs/>
              </w:rPr>
            </w:pPr>
            <w:r>
              <w:rPr>
                <w:rFonts w:hint="eastAsia"/>
                <w:bCs/>
              </w:rPr>
              <w:t>颗粒物</w:t>
            </w:r>
          </w:p>
        </w:tc>
        <w:tc>
          <w:tcPr>
            <w:tcW w:w="486" w:type="pct"/>
            <w:vAlign w:val="center"/>
          </w:tcPr>
          <w:p w14:paraId="4BD9BF15">
            <w:pPr>
              <w:pStyle w:val="31"/>
              <w:ind w:firstLine="0" w:firstLineChars="0"/>
              <w:jc w:val="center"/>
              <w:rPr>
                <w:bCs/>
              </w:rPr>
            </w:pPr>
          </w:p>
        </w:tc>
        <w:tc>
          <w:tcPr>
            <w:tcW w:w="621" w:type="pct"/>
            <w:vAlign w:val="center"/>
          </w:tcPr>
          <w:p w14:paraId="7B845607">
            <w:pPr>
              <w:pStyle w:val="31"/>
              <w:ind w:firstLine="0" w:firstLineChars="0"/>
              <w:jc w:val="center"/>
              <w:rPr>
                <w:bCs/>
              </w:rPr>
            </w:pPr>
          </w:p>
        </w:tc>
        <w:tc>
          <w:tcPr>
            <w:tcW w:w="621" w:type="pct"/>
            <w:vAlign w:val="center"/>
          </w:tcPr>
          <w:p w14:paraId="1EE53CBC">
            <w:pPr>
              <w:pStyle w:val="31"/>
              <w:ind w:firstLine="0" w:firstLineChars="0"/>
              <w:jc w:val="center"/>
              <w:rPr>
                <w:bCs/>
              </w:rPr>
            </w:pPr>
          </w:p>
        </w:tc>
        <w:tc>
          <w:tcPr>
            <w:tcW w:w="622" w:type="pct"/>
            <w:vAlign w:val="center"/>
          </w:tcPr>
          <w:p w14:paraId="5B57CB3E">
            <w:pPr>
              <w:pStyle w:val="31"/>
              <w:ind w:firstLine="0" w:firstLineChars="0"/>
              <w:jc w:val="center"/>
              <w:rPr>
                <w:bCs/>
              </w:rPr>
            </w:pPr>
            <w:r>
              <w:rPr>
                <w:rFonts w:hint="eastAsia"/>
                <w:bCs/>
              </w:rPr>
              <w:t>0.</w:t>
            </w:r>
            <w:r>
              <w:rPr>
                <w:rFonts w:hint="eastAsia"/>
                <w:bCs/>
                <w:lang w:val="en-US" w:eastAsia="zh-CN"/>
              </w:rPr>
              <w:t>378</w:t>
            </w:r>
            <w:r>
              <w:rPr>
                <w:rFonts w:hint="eastAsia"/>
                <w:bCs/>
              </w:rPr>
              <w:t>t/a</w:t>
            </w:r>
          </w:p>
        </w:tc>
        <w:tc>
          <w:tcPr>
            <w:tcW w:w="622" w:type="pct"/>
            <w:vAlign w:val="center"/>
          </w:tcPr>
          <w:p w14:paraId="521CE649">
            <w:pPr>
              <w:pStyle w:val="31"/>
              <w:ind w:firstLine="0" w:firstLineChars="0"/>
              <w:jc w:val="center"/>
              <w:rPr>
                <w:bCs/>
              </w:rPr>
            </w:pPr>
            <w:r>
              <w:rPr>
                <w:rFonts w:hint="eastAsia"/>
                <w:bCs/>
              </w:rPr>
              <w:t>0</w:t>
            </w:r>
          </w:p>
        </w:tc>
        <w:tc>
          <w:tcPr>
            <w:tcW w:w="622" w:type="pct"/>
            <w:vAlign w:val="center"/>
          </w:tcPr>
          <w:p w14:paraId="39BB536A">
            <w:pPr>
              <w:pStyle w:val="31"/>
              <w:ind w:firstLine="0" w:firstLineChars="0"/>
              <w:jc w:val="center"/>
              <w:rPr>
                <w:bCs/>
              </w:rPr>
            </w:pPr>
            <w:r>
              <w:rPr>
                <w:rFonts w:hint="eastAsia"/>
                <w:bCs/>
              </w:rPr>
              <w:t>0.</w:t>
            </w:r>
            <w:r>
              <w:rPr>
                <w:rFonts w:hint="eastAsia"/>
                <w:bCs/>
                <w:lang w:val="en-US" w:eastAsia="zh-CN"/>
              </w:rPr>
              <w:t>378</w:t>
            </w:r>
            <w:r>
              <w:rPr>
                <w:rFonts w:hint="eastAsia"/>
                <w:bCs/>
              </w:rPr>
              <w:t>t/a</w:t>
            </w:r>
          </w:p>
        </w:tc>
        <w:tc>
          <w:tcPr>
            <w:tcW w:w="622" w:type="pct"/>
            <w:vAlign w:val="center"/>
          </w:tcPr>
          <w:p w14:paraId="627BDBA1">
            <w:pPr>
              <w:pStyle w:val="31"/>
              <w:ind w:firstLine="0" w:firstLineChars="0"/>
              <w:jc w:val="center"/>
              <w:rPr>
                <w:bCs/>
              </w:rPr>
            </w:pPr>
            <w:r>
              <w:rPr>
                <w:rFonts w:hint="eastAsia"/>
                <w:bCs/>
              </w:rPr>
              <w:t>+0.</w:t>
            </w:r>
            <w:r>
              <w:rPr>
                <w:rFonts w:hint="eastAsia"/>
                <w:bCs/>
                <w:lang w:val="en-US" w:eastAsia="zh-CN"/>
              </w:rPr>
              <w:t>378</w:t>
            </w:r>
            <w:r>
              <w:rPr>
                <w:rFonts w:hint="eastAsia"/>
                <w:bCs/>
              </w:rPr>
              <w:t>t/a</w:t>
            </w:r>
          </w:p>
        </w:tc>
      </w:tr>
      <w:tr w14:paraId="5F15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14:paraId="1E052804">
            <w:pPr>
              <w:pStyle w:val="31"/>
              <w:ind w:firstLine="0" w:firstLineChars="0"/>
              <w:jc w:val="center"/>
              <w:rPr>
                <w:bCs/>
              </w:rPr>
            </w:pPr>
            <w:r>
              <w:rPr>
                <w:rFonts w:hint="eastAsia"/>
                <w:bCs/>
              </w:rPr>
              <w:t>废水</w:t>
            </w:r>
          </w:p>
        </w:tc>
        <w:tc>
          <w:tcPr>
            <w:tcW w:w="450" w:type="pct"/>
            <w:vAlign w:val="center"/>
          </w:tcPr>
          <w:p w14:paraId="46DCEF74">
            <w:pPr>
              <w:pStyle w:val="31"/>
              <w:ind w:firstLine="0" w:firstLineChars="0"/>
              <w:jc w:val="center"/>
              <w:rPr>
                <w:bCs/>
              </w:rPr>
            </w:pPr>
            <w:r>
              <w:rPr>
                <w:rFonts w:hint="eastAsia"/>
                <w:bCs/>
              </w:rPr>
              <w:t>COD</w:t>
            </w:r>
          </w:p>
        </w:tc>
        <w:tc>
          <w:tcPr>
            <w:tcW w:w="486" w:type="pct"/>
            <w:vAlign w:val="center"/>
          </w:tcPr>
          <w:p w14:paraId="24DB125A">
            <w:pPr>
              <w:pStyle w:val="31"/>
              <w:ind w:firstLine="0" w:firstLineChars="0"/>
              <w:jc w:val="center"/>
              <w:rPr>
                <w:bCs/>
              </w:rPr>
            </w:pPr>
            <w:r>
              <w:rPr>
                <w:rFonts w:hint="eastAsia"/>
                <w:bCs/>
              </w:rPr>
              <w:t>/</w:t>
            </w:r>
          </w:p>
        </w:tc>
        <w:tc>
          <w:tcPr>
            <w:tcW w:w="621" w:type="pct"/>
            <w:vAlign w:val="center"/>
          </w:tcPr>
          <w:p w14:paraId="035BDF0A">
            <w:pPr>
              <w:pStyle w:val="31"/>
              <w:ind w:firstLine="0" w:firstLineChars="0"/>
              <w:jc w:val="center"/>
              <w:rPr>
                <w:bCs/>
              </w:rPr>
            </w:pPr>
            <w:r>
              <w:rPr>
                <w:rFonts w:hint="eastAsia"/>
                <w:bCs/>
              </w:rPr>
              <w:t>/</w:t>
            </w:r>
          </w:p>
        </w:tc>
        <w:tc>
          <w:tcPr>
            <w:tcW w:w="621" w:type="pct"/>
            <w:vAlign w:val="center"/>
          </w:tcPr>
          <w:p w14:paraId="76883C06">
            <w:pPr>
              <w:pStyle w:val="31"/>
              <w:ind w:firstLine="0" w:firstLineChars="0"/>
              <w:jc w:val="center"/>
              <w:rPr>
                <w:bCs/>
              </w:rPr>
            </w:pPr>
            <w:r>
              <w:rPr>
                <w:rFonts w:hint="eastAsia"/>
                <w:bCs/>
              </w:rPr>
              <w:t>/</w:t>
            </w:r>
          </w:p>
        </w:tc>
        <w:tc>
          <w:tcPr>
            <w:tcW w:w="622" w:type="pct"/>
            <w:vAlign w:val="center"/>
          </w:tcPr>
          <w:p w14:paraId="6373B7A0">
            <w:pPr>
              <w:pStyle w:val="31"/>
              <w:ind w:firstLine="0" w:firstLineChars="0"/>
              <w:jc w:val="center"/>
              <w:rPr>
                <w:bCs/>
              </w:rPr>
            </w:pPr>
            <w:r>
              <w:rPr>
                <w:rFonts w:hint="eastAsia"/>
                <w:bCs/>
              </w:rPr>
              <w:t>0.16</w:t>
            </w:r>
            <w:r>
              <w:rPr>
                <w:rFonts w:hint="eastAsia"/>
                <w:bCs/>
                <w:lang w:val="en-US" w:eastAsia="zh-CN"/>
              </w:rPr>
              <w:t>3</w:t>
            </w:r>
            <w:r>
              <w:rPr>
                <w:rFonts w:hint="eastAsia"/>
                <w:bCs/>
              </w:rPr>
              <w:t>t/a</w:t>
            </w:r>
          </w:p>
        </w:tc>
        <w:tc>
          <w:tcPr>
            <w:tcW w:w="622" w:type="pct"/>
            <w:vAlign w:val="center"/>
          </w:tcPr>
          <w:p w14:paraId="6958624B">
            <w:pPr>
              <w:pStyle w:val="31"/>
              <w:ind w:firstLine="0" w:firstLineChars="0"/>
              <w:jc w:val="center"/>
              <w:rPr>
                <w:bCs/>
              </w:rPr>
            </w:pPr>
            <w:r>
              <w:rPr>
                <w:rFonts w:hint="eastAsia"/>
                <w:bCs/>
              </w:rPr>
              <w:t>0</w:t>
            </w:r>
          </w:p>
        </w:tc>
        <w:tc>
          <w:tcPr>
            <w:tcW w:w="622" w:type="pct"/>
            <w:vAlign w:val="center"/>
          </w:tcPr>
          <w:p w14:paraId="7EBFCA08">
            <w:pPr>
              <w:pStyle w:val="31"/>
              <w:ind w:firstLine="0" w:firstLineChars="0"/>
              <w:jc w:val="center"/>
              <w:rPr>
                <w:bCs/>
              </w:rPr>
            </w:pPr>
            <w:r>
              <w:rPr>
                <w:rFonts w:hint="eastAsia"/>
                <w:bCs/>
              </w:rPr>
              <w:t>0.16</w:t>
            </w:r>
            <w:r>
              <w:rPr>
                <w:rFonts w:hint="eastAsia"/>
                <w:bCs/>
                <w:lang w:val="en-US" w:eastAsia="zh-CN"/>
              </w:rPr>
              <w:t>3</w:t>
            </w:r>
            <w:r>
              <w:rPr>
                <w:rFonts w:hint="eastAsia"/>
                <w:bCs/>
              </w:rPr>
              <w:t>t/a</w:t>
            </w:r>
          </w:p>
        </w:tc>
        <w:tc>
          <w:tcPr>
            <w:tcW w:w="622" w:type="pct"/>
            <w:vAlign w:val="center"/>
          </w:tcPr>
          <w:p w14:paraId="1EB69F9A">
            <w:pPr>
              <w:pStyle w:val="31"/>
              <w:ind w:firstLine="0" w:firstLineChars="0"/>
              <w:jc w:val="center"/>
              <w:rPr>
                <w:bCs/>
              </w:rPr>
            </w:pPr>
            <w:r>
              <w:rPr>
                <w:rFonts w:hint="eastAsia"/>
                <w:bCs/>
              </w:rPr>
              <w:t>+0.16</w:t>
            </w:r>
            <w:r>
              <w:rPr>
                <w:rFonts w:hint="eastAsia"/>
                <w:bCs/>
                <w:lang w:val="en-US" w:eastAsia="zh-CN"/>
              </w:rPr>
              <w:t>3</w:t>
            </w:r>
            <w:r>
              <w:rPr>
                <w:rFonts w:hint="eastAsia"/>
                <w:bCs/>
              </w:rPr>
              <w:t>t/a</w:t>
            </w:r>
          </w:p>
        </w:tc>
      </w:tr>
      <w:tr w14:paraId="66B63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59AE146C">
            <w:pPr>
              <w:pStyle w:val="31"/>
              <w:ind w:firstLine="0" w:firstLineChars="0"/>
              <w:jc w:val="center"/>
              <w:rPr>
                <w:bCs/>
              </w:rPr>
            </w:pPr>
          </w:p>
        </w:tc>
        <w:tc>
          <w:tcPr>
            <w:tcW w:w="450" w:type="pct"/>
            <w:vAlign w:val="center"/>
          </w:tcPr>
          <w:p w14:paraId="06524B6E">
            <w:pPr>
              <w:pStyle w:val="31"/>
              <w:ind w:firstLine="0" w:firstLineChars="0"/>
              <w:jc w:val="center"/>
              <w:rPr>
                <w:bCs/>
              </w:rPr>
            </w:pPr>
            <w:r>
              <w:rPr>
                <w:rFonts w:hint="eastAsia"/>
                <w:bCs/>
              </w:rPr>
              <w:t>SS</w:t>
            </w:r>
          </w:p>
        </w:tc>
        <w:tc>
          <w:tcPr>
            <w:tcW w:w="486" w:type="pct"/>
            <w:vAlign w:val="center"/>
          </w:tcPr>
          <w:p w14:paraId="1E24666C">
            <w:pPr>
              <w:pStyle w:val="31"/>
              <w:ind w:firstLine="0" w:firstLineChars="0"/>
              <w:jc w:val="center"/>
              <w:rPr>
                <w:bCs/>
              </w:rPr>
            </w:pPr>
            <w:r>
              <w:rPr>
                <w:rFonts w:hint="eastAsia"/>
                <w:bCs/>
              </w:rPr>
              <w:t>/</w:t>
            </w:r>
          </w:p>
        </w:tc>
        <w:tc>
          <w:tcPr>
            <w:tcW w:w="621" w:type="pct"/>
            <w:vAlign w:val="center"/>
          </w:tcPr>
          <w:p w14:paraId="7579FE32">
            <w:pPr>
              <w:pStyle w:val="31"/>
              <w:ind w:firstLine="0" w:firstLineChars="0"/>
              <w:jc w:val="center"/>
              <w:rPr>
                <w:bCs/>
              </w:rPr>
            </w:pPr>
            <w:r>
              <w:rPr>
                <w:rFonts w:hint="eastAsia"/>
                <w:bCs/>
              </w:rPr>
              <w:t>/</w:t>
            </w:r>
          </w:p>
        </w:tc>
        <w:tc>
          <w:tcPr>
            <w:tcW w:w="621" w:type="pct"/>
            <w:vAlign w:val="center"/>
          </w:tcPr>
          <w:p w14:paraId="6419B082">
            <w:pPr>
              <w:pStyle w:val="31"/>
              <w:ind w:firstLine="0" w:firstLineChars="0"/>
              <w:jc w:val="center"/>
              <w:rPr>
                <w:bCs/>
              </w:rPr>
            </w:pPr>
            <w:r>
              <w:rPr>
                <w:rFonts w:hint="eastAsia"/>
                <w:bCs/>
              </w:rPr>
              <w:t>/</w:t>
            </w:r>
          </w:p>
        </w:tc>
        <w:tc>
          <w:tcPr>
            <w:tcW w:w="622" w:type="pct"/>
            <w:vAlign w:val="center"/>
          </w:tcPr>
          <w:p w14:paraId="48955E3E">
            <w:pPr>
              <w:pStyle w:val="31"/>
              <w:ind w:firstLine="0" w:firstLineChars="0"/>
              <w:jc w:val="center"/>
              <w:rPr>
                <w:bCs/>
              </w:rPr>
            </w:pPr>
            <w:r>
              <w:rPr>
                <w:rFonts w:hint="eastAsia"/>
                <w:bCs/>
              </w:rPr>
              <w:t>0.03</w:t>
            </w:r>
            <w:r>
              <w:rPr>
                <w:rFonts w:hint="eastAsia"/>
                <w:bCs/>
                <w:lang w:val="en-US" w:eastAsia="zh-CN"/>
              </w:rPr>
              <w:t>3</w:t>
            </w:r>
            <w:r>
              <w:rPr>
                <w:rFonts w:hint="eastAsia"/>
                <w:bCs/>
              </w:rPr>
              <w:t>t/a</w:t>
            </w:r>
          </w:p>
        </w:tc>
        <w:tc>
          <w:tcPr>
            <w:tcW w:w="622" w:type="pct"/>
            <w:vAlign w:val="center"/>
          </w:tcPr>
          <w:p w14:paraId="254D4365">
            <w:pPr>
              <w:pStyle w:val="31"/>
              <w:ind w:firstLine="0" w:firstLineChars="0"/>
              <w:jc w:val="center"/>
              <w:rPr>
                <w:bCs/>
              </w:rPr>
            </w:pPr>
            <w:r>
              <w:rPr>
                <w:rFonts w:hint="eastAsia"/>
                <w:bCs/>
              </w:rPr>
              <w:t>0</w:t>
            </w:r>
          </w:p>
        </w:tc>
        <w:tc>
          <w:tcPr>
            <w:tcW w:w="622" w:type="pct"/>
            <w:vAlign w:val="center"/>
          </w:tcPr>
          <w:p w14:paraId="201F4F7D">
            <w:pPr>
              <w:pStyle w:val="31"/>
              <w:ind w:firstLine="0" w:firstLineChars="0"/>
              <w:jc w:val="center"/>
              <w:rPr>
                <w:bCs/>
              </w:rPr>
            </w:pPr>
            <w:r>
              <w:rPr>
                <w:rFonts w:hint="eastAsia"/>
                <w:bCs/>
              </w:rPr>
              <w:t>0.03</w:t>
            </w:r>
            <w:r>
              <w:rPr>
                <w:rFonts w:hint="eastAsia"/>
                <w:bCs/>
                <w:lang w:val="en-US" w:eastAsia="zh-CN"/>
              </w:rPr>
              <w:t>3</w:t>
            </w:r>
            <w:r>
              <w:rPr>
                <w:rFonts w:hint="eastAsia"/>
                <w:bCs/>
              </w:rPr>
              <w:t>t/a</w:t>
            </w:r>
          </w:p>
        </w:tc>
        <w:tc>
          <w:tcPr>
            <w:tcW w:w="622" w:type="pct"/>
            <w:vAlign w:val="center"/>
          </w:tcPr>
          <w:p w14:paraId="6C39210F">
            <w:pPr>
              <w:pStyle w:val="31"/>
              <w:ind w:firstLine="0" w:firstLineChars="0"/>
              <w:jc w:val="center"/>
              <w:rPr>
                <w:bCs/>
              </w:rPr>
            </w:pPr>
            <w:r>
              <w:rPr>
                <w:rFonts w:hint="eastAsia"/>
                <w:bCs/>
              </w:rPr>
              <w:t>+0.03</w:t>
            </w:r>
            <w:r>
              <w:rPr>
                <w:rFonts w:hint="eastAsia"/>
                <w:bCs/>
                <w:lang w:val="en-US" w:eastAsia="zh-CN"/>
              </w:rPr>
              <w:t>3</w:t>
            </w:r>
            <w:r>
              <w:rPr>
                <w:rFonts w:hint="eastAsia"/>
                <w:bCs/>
              </w:rPr>
              <w:t>t/a</w:t>
            </w:r>
          </w:p>
        </w:tc>
      </w:tr>
      <w:tr w14:paraId="0D74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770B3261">
            <w:pPr>
              <w:pStyle w:val="31"/>
              <w:ind w:firstLine="0" w:firstLineChars="0"/>
              <w:jc w:val="center"/>
              <w:rPr>
                <w:bCs/>
              </w:rPr>
            </w:pPr>
          </w:p>
        </w:tc>
        <w:tc>
          <w:tcPr>
            <w:tcW w:w="450" w:type="pct"/>
            <w:vAlign w:val="center"/>
          </w:tcPr>
          <w:p w14:paraId="0398AAAE">
            <w:pPr>
              <w:pStyle w:val="31"/>
              <w:ind w:firstLine="0" w:firstLineChars="0"/>
              <w:jc w:val="center"/>
              <w:rPr>
                <w:bCs/>
              </w:rPr>
            </w:pPr>
            <w:r>
              <w:rPr>
                <w:rFonts w:hint="eastAsia"/>
                <w:bCs/>
              </w:rPr>
              <w:t>氨氮</w:t>
            </w:r>
          </w:p>
        </w:tc>
        <w:tc>
          <w:tcPr>
            <w:tcW w:w="486" w:type="pct"/>
            <w:vAlign w:val="center"/>
          </w:tcPr>
          <w:p w14:paraId="12D87702">
            <w:pPr>
              <w:pStyle w:val="31"/>
              <w:ind w:firstLine="0" w:firstLineChars="0"/>
              <w:jc w:val="center"/>
              <w:rPr>
                <w:bCs/>
              </w:rPr>
            </w:pPr>
            <w:r>
              <w:rPr>
                <w:rFonts w:hint="eastAsia"/>
                <w:bCs/>
              </w:rPr>
              <w:t>/</w:t>
            </w:r>
          </w:p>
        </w:tc>
        <w:tc>
          <w:tcPr>
            <w:tcW w:w="621" w:type="pct"/>
            <w:vAlign w:val="center"/>
          </w:tcPr>
          <w:p w14:paraId="155A3822">
            <w:pPr>
              <w:pStyle w:val="31"/>
              <w:ind w:firstLine="0" w:firstLineChars="0"/>
              <w:jc w:val="center"/>
              <w:rPr>
                <w:bCs/>
              </w:rPr>
            </w:pPr>
            <w:r>
              <w:rPr>
                <w:rFonts w:hint="eastAsia"/>
                <w:bCs/>
              </w:rPr>
              <w:t>/</w:t>
            </w:r>
          </w:p>
        </w:tc>
        <w:tc>
          <w:tcPr>
            <w:tcW w:w="621" w:type="pct"/>
            <w:vAlign w:val="center"/>
          </w:tcPr>
          <w:p w14:paraId="412830DD">
            <w:pPr>
              <w:pStyle w:val="31"/>
              <w:ind w:firstLine="0" w:firstLineChars="0"/>
              <w:jc w:val="center"/>
              <w:rPr>
                <w:bCs/>
              </w:rPr>
            </w:pPr>
            <w:r>
              <w:rPr>
                <w:rFonts w:hint="eastAsia"/>
                <w:bCs/>
              </w:rPr>
              <w:t>/</w:t>
            </w:r>
          </w:p>
        </w:tc>
        <w:tc>
          <w:tcPr>
            <w:tcW w:w="622" w:type="pct"/>
            <w:vAlign w:val="center"/>
          </w:tcPr>
          <w:p w14:paraId="3DE7772F">
            <w:pPr>
              <w:pStyle w:val="31"/>
              <w:ind w:firstLine="0" w:firstLineChars="0"/>
              <w:jc w:val="center"/>
              <w:rPr>
                <w:bCs/>
              </w:rPr>
            </w:pPr>
            <w:r>
              <w:rPr>
                <w:rFonts w:hint="eastAsia"/>
                <w:bCs/>
              </w:rPr>
              <w:t>0.016t/a</w:t>
            </w:r>
          </w:p>
        </w:tc>
        <w:tc>
          <w:tcPr>
            <w:tcW w:w="622" w:type="pct"/>
            <w:vAlign w:val="center"/>
          </w:tcPr>
          <w:p w14:paraId="73D42B4D">
            <w:pPr>
              <w:pStyle w:val="31"/>
              <w:ind w:firstLine="0" w:firstLineChars="0"/>
              <w:jc w:val="center"/>
              <w:rPr>
                <w:bCs/>
              </w:rPr>
            </w:pPr>
            <w:r>
              <w:rPr>
                <w:rFonts w:hint="eastAsia"/>
                <w:bCs/>
              </w:rPr>
              <w:t>0</w:t>
            </w:r>
          </w:p>
        </w:tc>
        <w:tc>
          <w:tcPr>
            <w:tcW w:w="622" w:type="pct"/>
            <w:vAlign w:val="center"/>
          </w:tcPr>
          <w:p w14:paraId="2D8E1206">
            <w:pPr>
              <w:pStyle w:val="31"/>
              <w:ind w:firstLine="0" w:firstLineChars="0"/>
              <w:jc w:val="center"/>
              <w:rPr>
                <w:bCs/>
              </w:rPr>
            </w:pPr>
            <w:r>
              <w:rPr>
                <w:rFonts w:hint="eastAsia"/>
                <w:bCs/>
              </w:rPr>
              <w:t>0.016t/a</w:t>
            </w:r>
          </w:p>
        </w:tc>
        <w:tc>
          <w:tcPr>
            <w:tcW w:w="622" w:type="pct"/>
            <w:vAlign w:val="center"/>
          </w:tcPr>
          <w:p w14:paraId="3E563D22">
            <w:pPr>
              <w:pStyle w:val="31"/>
              <w:ind w:firstLine="0" w:firstLineChars="0"/>
              <w:jc w:val="center"/>
              <w:rPr>
                <w:bCs/>
              </w:rPr>
            </w:pPr>
            <w:r>
              <w:rPr>
                <w:rFonts w:hint="eastAsia"/>
                <w:bCs/>
              </w:rPr>
              <w:t>+0.016t/a</w:t>
            </w:r>
          </w:p>
        </w:tc>
      </w:tr>
      <w:tr w14:paraId="10859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37A6369B">
            <w:pPr>
              <w:pStyle w:val="31"/>
              <w:ind w:firstLine="0" w:firstLineChars="0"/>
              <w:jc w:val="center"/>
              <w:rPr>
                <w:bCs/>
              </w:rPr>
            </w:pPr>
          </w:p>
        </w:tc>
        <w:tc>
          <w:tcPr>
            <w:tcW w:w="450" w:type="pct"/>
            <w:vAlign w:val="center"/>
          </w:tcPr>
          <w:p w14:paraId="7E89B2D2">
            <w:pPr>
              <w:pStyle w:val="31"/>
              <w:ind w:firstLine="0" w:firstLineChars="0"/>
              <w:jc w:val="center"/>
              <w:rPr>
                <w:bCs/>
              </w:rPr>
            </w:pPr>
            <w:r>
              <w:rPr>
                <w:rFonts w:hint="eastAsia"/>
                <w:bCs/>
              </w:rPr>
              <w:t>总氮</w:t>
            </w:r>
          </w:p>
        </w:tc>
        <w:tc>
          <w:tcPr>
            <w:tcW w:w="486" w:type="pct"/>
            <w:vAlign w:val="center"/>
          </w:tcPr>
          <w:p w14:paraId="039E0C51">
            <w:pPr>
              <w:pStyle w:val="31"/>
              <w:ind w:firstLine="0" w:firstLineChars="0"/>
              <w:jc w:val="center"/>
              <w:rPr>
                <w:bCs/>
              </w:rPr>
            </w:pPr>
            <w:r>
              <w:rPr>
                <w:rFonts w:hint="eastAsia"/>
                <w:bCs/>
              </w:rPr>
              <w:t>/</w:t>
            </w:r>
          </w:p>
        </w:tc>
        <w:tc>
          <w:tcPr>
            <w:tcW w:w="621" w:type="pct"/>
            <w:vAlign w:val="center"/>
          </w:tcPr>
          <w:p w14:paraId="614B33CD">
            <w:pPr>
              <w:pStyle w:val="31"/>
              <w:ind w:firstLine="0" w:firstLineChars="0"/>
              <w:jc w:val="center"/>
              <w:rPr>
                <w:bCs/>
              </w:rPr>
            </w:pPr>
            <w:r>
              <w:rPr>
                <w:rFonts w:hint="eastAsia"/>
                <w:bCs/>
              </w:rPr>
              <w:t>/</w:t>
            </w:r>
          </w:p>
        </w:tc>
        <w:tc>
          <w:tcPr>
            <w:tcW w:w="621" w:type="pct"/>
            <w:vAlign w:val="center"/>
          </w:tcPr>
          <w:p w14:paraId="1D0F180A">
            <w:pPr>
              <w:pStyle w:val="31"/>
              <w:ind w:firstLine="0" w:firstLineChars="0"/>
              <w:jc w:val="center"/>
              <w:rPr>
                <w:bCs/>
              </w:rPr>
            </w:pPr>
            <w:r>
              <w:rPr>
                <w:rFonts w:hint="eastAsia"/>
                <w:bCs/>
              </w:rPr>
              <w:t>/</w:t>
            </w:r>
          </w:p>
        </w:tc>
        <w:tc>
          <w:tcPr>
            <w:tcW w:w="622" w:type="pct"/>
            <w:vAlign w:val="center"/>
          </w:tcPr>
          <w:p w14:paraId="671A05EE">
            <w:pPr>
              <w:pStyle w:val="31"/>
              <w:ind w:firstLine="0" w:firstLineChars="0"/>
              <w:jc w:val="center"/>
              <w:rPr>
                <w:bCs/>
              </w:rPr>
            </w:pPr>
            <w:r>
              <w:rPr>
                <w:rFonts w:hint="eastAsia"/>
                <w:bCs/>
              </w:rPr>
              <w:t>0.04</w:t>
            </w:r>
            <w:r>
              <w:rPr>
                <w:rFonts w:hint="eastAsia"/>
                <w:bCs/>
                <w:lang w:val="en-US" w:eastAsia="zh-CN"/>
              </w:rPr>
              <w:t>9</w:t>
            </w:r>
            <w:r>
              <w:rPr>
                <w:rFonts w:hint="eastAsia"/>
                <w:bCs/>
              </w:rPr>
              <w:t>t/a</w:t>
            </w:r>
          </w:p>
        </w:tc>
        <w:tc>
          <w:tcPr>
            <w:tcW w:w="622" w:type="pct"/>
            <w:vAlign w:val="center"/>
          </w:tcPr>
          <w:p w14:paraId="6C62748B">
            <w:pPr>
              <w:pStyle w:val="31"/>
              <w:ind w:firstLine="0" w:firstLineChars="0"/>
              <w:jc w:val="center"/>
              <w:rPr>
                <w:bCs/>
              </w:rPr>
            </w:pPr>
            <w:r>
              <w:rPr>
                <w:rFonts w:hint="eastAsia"/>
                <w:bCs/>
              </w:rPr>
              <w:t>0</w:t>
            </w:r>
          </w:p>
        </w:tc>
        <w:tc>
          <w:tcPr>
            <w:tcW w:w="622" w:type="pct"/>
            <w:vAlign w:val="center"/>
          </w:tcPr>
          <w:p w14:paraId="181DE6B8">
            <w:pPr>
              <w:pStyle w:val="31"/>
              <w:ind w:firstLine="0" w:firstLineChars="0"/>
              <w:jc w:val="center"/>
              <w:rPr>
                <w:bCs/>
              </w:rPr>
            </w:pPr>
            <w:r>
              <w:rPr>
                <w:rFonts w:hint="eastAsia"/>
                <w:bCs/>
              </w:rPr>
              <w:t>0.04</w:t>
            </w:r>
            <w:r>
              <w:rPr>
                <w:rFonts w:hint="eastAsia"/>
                <w:bCs/>
                <w:lang w:val="en-US" w:eastAsia="zh-CN"/>
              </w:rPr>
              <w:t>9</w:t>
            </w:r>
            <w:r>
              <w:rPr>
                <w:rFonts w:hint="eastAsia"/>
                <w:bCs/>
              </w:rPr>
              <w:t>t/a</w:t>
            </w:r>
          </w:p>
        </w:tc>
        <w:tc>
          <w:tcPr>
            <w:tcW w:w="622" w:type="pct"/>
            <w:vAlign w:val="center"/>
          </w:tcPr>
          <w:p w14:paraId="4E28DBD0">
            <w:pPr>
              <w:pStyle w:val="31"/>
              <w:ind w:firstLine="0" w:firstLineChars="0"/>
              <w:jc w:val="center"/>
              <w:rPr>
                <w:bCs/>
              </w:rPr>
            </w:pPr>
            <w:r>
              <w:rPr>
                <w:rFonts w:hint="eastAsia"/>
                <w:bCs/>
              </w:rPr>
              <w:t>+0.04</w:t>
            </w:r>
            <w:r>
              <w:rPr>
                <w:rFonts w:hint="eastAsia"/>
                <w:bCs/>
                <w:lang w:val="en-US" w:eastAsia="zh-CN"/>
              </w:rPr>
              <w:t>9</w:t>
            </w:r>
            <w:r>
              <w:rPr>
                <w:rFonts w:hint="eastAsia"/>
                <w:bCs/>
              </w:rPr>
              <w:t>t/a</w:t>
            </w:r>
          </w:p>
        </w:tc>
      </w:tr>
      <w:tr w14:paraId="47B5A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6F532852">
            <w:pPr>
              <w:pStyle w:val="31"/>
              <w:ind w:firstLine="0" w:firstLineChars="0"/>
              <w:jc w:val="center"/>
              <w:rPr>
                <w:bCs/>
              </w:rPr>
            </w:pPr>
          </w:p>
        </w:tc>
        <w:tc>
          <w:tcPr>
            <w:tcW w:w="450" w:type="pct"/>
            <w:vAlign w:val="center"/>
          </w:tcPr>
          <w:p w14:paraId="643EC57A">
            <w:pPr>
              <w:pStyle w:val="31"/>
              <w:ind w:firstLine="0" w:firstLineChars="0"/>
              <w:jc w:val="center"/>
              <w:rPr>
                <w:bCs/>
              </w:rPr>
            </w:pPr>
            <w:r>
              <w:rPr>
                <w:rFonts w:hint="eastAsia"/>
                <w:bCs/>
              </w:rPr>
              <w:t>总磷</w:t>
            </w:r>
          </w:p>
        </w:tc>
        <w:tc>
          <w:tcPr>
            <w:tcW w:w="486" w:type="pct"/>
            <w:vAlign w:val="center"/>
          </w:tcPr>
          <w:p w14:paraId="572AC48B">
            <w:pPr>
              <w:pStyle w:val="31"/>
              <w:ind w:firstLine="0" w:firstLineChars="0"/>
              <w:jc w:val="center"/>
              <w:rPr>
                <w:bCs/>
              </w:rPr>
            </w:pPr>
            <w:r>
              <w:rPr>
                <w:rFonts w:hint="eastAsia"/>
                <w:bCs/>
              </w:rPr>
              <w:t>/</w:t>
            </w:r>
          </w:p>
        </w:tc>
        <w:tc>
          <w:tcPr>
            <w:tcW w:w="621" w:type="pct"/>
            <w:vAlign w:val="center"/>
          </w:tcPr>
          <w:p w14:paraId="1EC2DF91">
            <w:pPr>
              <w:pStyle w:val="31"/>
              <w:ind w:firstLine="0" w:firstLineChars="0"/>
              <w:jc w:val="center"/>
              <w:rPr>
                <w:bCs/>
              </w:rPr>
            </w:pPr>
            <w:r>
              <w:rPr>
                <w:rFonts w:hint="eastAsia"/>
                <w:bCs/>
              </w:rPr>
              <w:t>/</w:t>
            </w:r>
          </w:p>
        </w:tc>
        <w:tc>
          <w:tcPr>
            <w:tcW w:w="621" w:type="pct"/>
            <w:vAlign w:val="center"/>
          </w:tcPr>
          <w:p w14:paraId="350773B3">
            <w:pPr>
              <w:pStyle w:val="31"/>
              <w:ind w:firstLine="0" w:firstLineChars="0"/>
              <w:jc w:val="center"/>
              <w:rPr>
                <w:bCs/>
              </w:rPr>
            </w:pPr>
            <w:r>
              <w:rPr>
                <w:rFonts w:hint="eastAsia"/>
                <w:bCs/>
              </w:rPr>
              <w:t>/</w:t>
            </w:r>
          </w:p>
        </w:tc>
        <w:tc>
          <w:tcPr>
            <w:tcW w:w="622" w:type="pct"/>
            <w:vAlign w:val="center"/>
          </w:tcPr>
          <w:p w14:paraId="79EE7271">
            <w:pPr>
              <w:pStyle w:val="31"/>
              <w:ind w:firstLine="0" w:firstLineChars="0"/>
              <w:jc w:val="center"/>
              <w:rPr>
                <w:bCs/>
              </w:rPr>
            </w:pPr>
            <w:r>
              <w:rPr>
                <w:rFonts w:hint="eastAsia"/>
                <w:bCs/>
              </w:rPr>
              <w:t>0.002t/a</w:t>
            </w:r>
          </w:p>
        </w:tc>
        <w:tc>
          <w:tcPr>
            <w:tcW w:w="622" w:type="pct"/>
            <w:vAlign w:val="center"/>
          </w:tcPr>
          <w:p w14:paraId="4BA93FC7">
            <w:pPr>
              <w:pStyle w:val="31"/>
              <w:ind w:firstLine="0" w:firstLineChars="0"/>
              <w:jc w:val="center"/>
              <w:rPr>
                <w:bCs/>
              </w:rPr>
            </w:pPr>
            <w:r>
              <w:rPr>
                <w:rFonts w:hint="eastAsia"/>
                <w:bCs/>
              </w:rPr>
              <w:t>0</w:t>
            </w:r>
          </w:p>
        </w:tc>
        <w:tc>
          <w:tcPr>
            <w:tcW w:w="622" w:type="pct"/>
            <w:vAlign w:val="center"/>
          </w:tcPr>
          <w:p w14:paraId="37009055">
            <w:pPr>
              <w:pStyle w:val="31"/>
              <w:ind w:firstLine="0" w:firstLineChars="0"/>
              <w:jc w:val="center"/>
              <w:rPr>
                <w:bCs/>
              </w:rPr>
            </w:pPr>
            <w:r>
              <w:rPr>
                <w:rFonts w:hint="eastAsia"/>
                <w:bCs/>
              </w:rPr>
              <w:t>0.002t/a</w:t>
            </w:r>
          </w:p>
        </w:tc>
        <w:tc>
          <w:tcPr>
            <w:tcW w:w="622" w:type="pct"/>
            <w:vAlign w:val="center"/>
          </w:tcPr>
          <w:p w14:paraId="2BADDAF5">
            <w:pPr>
              <w:pStyle w:val="31"/>
              <w:ind w:firstLine="0" w:firstLineChars="0"/>
              <w:jc w:val="center"/>
              <w:rPr>
                <w:bCs/>
              </w:rPr>
            </w:pPr>
            <w:r>
              <w:rPr>
                <w:rFonts w:hint="eastAsia"/>
                <w:bCs/>
              </w:rPr>
              <w:t>+0.002t/a</w:t>
            </w:r>
          </w:p>
        </w:tc>
      </w:tr>
      <w:tr w14:paraId="215F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1ECD9A83">
            <w:pPr>
              <w:pStyle w:val="31"/>
              <w:ind w:firstLine="0" w:firstLineChars="0"/>
              <w:jc w:val="center"/>
              <w:rPr>
                <w:bCs/>
              </w:rPr>
            </w:pPr>
          </w:p>
        </w:tc>
        <w:tc>
          <w:tcPr>
            <w:tcW w:w="450" w:type="pct"/>
            <w:vAlign w:val="center"/>
          </w:tcPr>
          <w:p w14:paraId="50AD4D5C">
            <w:pPr>
              <w:pStyle w:val="31"/>
              <w:ind w:firstLine="0" w:firstLineChars="0"/>
              <w:jc w:val="center"/>
              <w:rPr>
                <w:bCs/>
              </w:rPr>
            </w:pPr>
            <w:r>
              <w:rPr>
                <w:rFonts w:hint="eastAsia"/>
                <w:bCs/>
              </w:rPr>
              <w:t>动植物油</w:t>
            </w:r>
          </w:p>
        </w:tc>
        <w:tc>
          <w:tcPr>
            <w:tcW w:w="486" w:type="pct"/>
            <w:vAlign w:val="center"/>
          </w:tcPr>
          <w:p w14:paraId="237D9DFC">
            <w:pPr>
              <w:pStyle w:val="31"/>
              <w:ind w:firstLine="0" w:firstLineChars="0"/>
              <w:jc w:val="center"/>
              <w:rPr>
                <w:bCs/>
              </w:rPr>
            </w:pPr>
            <w:r>
              <w:rPr>
                <w:rFonts w:hint="eastAsia"/>
                <w:bCs/>
              </w:rPr>
              <w:t>/</w:t>
            </w:r>
          </w:p>
        </w:tc>
        <w:tc>
          <w:tcPr>
            <w:tcW w:w="621" w:type="pct"/>
            <w:vAlign w:val="center"/>
          </w:tcPr>
          <w:p w14:paraId="2522A50A">
            <w:pPr>
              <w:pStyle w:val="31"/>
              <w:ind w:firstLine="0" w:firstLineChars="0"/>
              <w:jc w:val="center"/>
              <w:rPr>
                <w:bCs/>
              </w:rPr>
            </w:pPr>
            <w:r>
              <w:rPr>
                <w:rFonts w:hint="eastAsia"/>
                <w:bCs/>
              </w:rPr>
              <w:t>/</w:t>
            </w:r>
          </w:p>
        </w:tc>
        <w:tc>
          <w:tcPr>
            <w:tcW w:w="621" w:type="pct"/>
            <w:vAlign w:val="center"/>
          </w:tcPr>
          <w:p w14:paraId="3D2237F7">
            <w:pPr>
              <w:pStyle w:val="31"/>
              <w:ind w:firstLine="0" w:firstLineChars="0"/>
              <w:jc w:val="center"/>
              <w:rPr>
                <w:bCs/>
              </w:rPr>
            </w:pPr>
            <w:r>
              <w:rPr>
                <w:rFonts w:hint="eastAsia"/>
                <w:bCs/>
              </w:rPr>
              <w:t>/</w:t>
            </w:r>
          </w:p>
        </w:tc>
        <w:tc>
          <w:tcPr>
            <w:tcW w:w="622" w:type="pct"/>
            <w:vAlign w:val="center"/>
          </w:tcPr>
          <w:p w14:paraId="64C9D592">
            <w:pPr>
              <w:pStyle w:val="31"/>
              <w:ind w:firstLine="0" w:firstLineChars="0"/>
              <w:jc w:val="center"/>
              <w:rPr>
                <w:bCs/>
              </w:rPr>
            </w:pPr>
            <w:r>
              <w:rPr>
                <w:rFonts w:hint="eastAsia"/>
                <w:bCs/>
              </w:rPr>
              <w:t>0.003t/a</w:t>
            </w:r>
          </w:p>
        </w:tc>
        <w:tc>
          <w:tcPr>
            <w:tcW w:w="622" w:type="pct"/>
            <w:vAlign w:val="center"/>
          </w:tcPr>
          <w:p w14:paraId="2E132FE3">
            <w:pPr>
              <w:pStyle w:val="31"/>
              <w:ind w:firstLine="0" w:firstLineChars="0"/>
              <w:jc w:val="center"/>
              <w:rPr>
                <w:bCs/>
              </w:rPr>
            </w:pPr>
            <w:r>
              <w:rPr>
                <w:rFonts w:hint="eastAsia"/>
                <w:bCs/>
              </w:rPr>
              <w:t>0</w:t>
            </w:r>
          </w:p>
        </w:tc>
        <w:tc>
          <w:tcPr>
            <w:tcW w:w="622" w:type="pct"/>
            <w:vAlign w:val="center"/>
          </w:tcPr>
          <w:p w14:paraId="3120D5E2">
            <w:pPr>
              <w:pStyle w:val="31"/>
              <w:ind w:firstLine="0" w:firstLineChars="0"/>
              <w:jc w:val="center"/>
              <w:rPr>
                <w:bCs/>
              </w:rPr>
            </w:pPr>
            <w:r>
              <w:rPr>
                <w:rFonts w:hint="eastAsia"/>
                <w:bCs/>
              </w:rPr>
              <w:t>0.003t/a</w:t>
            </w:r>
          </w:p>
        </w:tc>
        <w:tc>
          <w:tcPr>
            <w:tcW w:w="622" w:type="pct"/>
            <w:vAlign w:val="center"/>
          </w:tcPr>
          <w:p w14:paraId="53B9FE57">
            <w:pPr>
              <w:pStyle w:val="31"/>
              <w:ind w:firstLine="0" w:firstLineChars="0"/>
              <w:jc w:val="center"/>
              <w:rPr>
                <w:bCs/>
              </w:rPr>
            </w:pPr>
            <w:r>
              <w:rPr>
                <w:rFonts w:hint="eastAsia"/>
                <w:bCs/>
              </w:rPr>
              <w:t>+0.003t/a</w:t>
            </w:r>
          </w:p>
        </w:tc>
      </w:tr>
      <w:tr w14:paraId="5DFC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14:paraId="5C8637E9">
            <w:pPr>
              <w:pStyle w:val="31"/>
              <w:ind w:firstLine="0" w:firstLineChars="0"/>
              <w:jc w:val="center"/>
              <w:rPr>
                <w:bCs/>
              </w:rPr>
            </w:pPr>
            <w:r>
              <w:rPr>
                <w:rFonts w:hint="eastAsia"/>
                <w:bCs/>
              </w:rPr>
              <w:t>一般工业固体废物</w:t>
            </w:r>
          </w:p>
        </w:tc>
        <w:tc>
          <w:tcPr>
            <w:tcW w:w="450" w:type="pct"/>
            <w:vAlign w:val="center"/>
          </w:tcPr>
          <w:p w14:paraId="241BC854">
            <w:pPr>
              <w:pStyle w:val="31"/>
              <w:ind w:firstLine="0" w:firstLineChars="0"/>
              <w:jc w:val="center"/>
              <w:rPr>
                <w:bCs/>
              </w:rPr>
            </w:pPr>
            <w:r>
              <w:rPr>
                <w:rFonts w:hint="eastAsia"/>
                <w:bCs/>
              </w:rPr>
              <w:t>废包装材料</w:t>
            </w:r>
          </w:p>
        </w:tc>
        <w:tc>
          <w:tcPr>
            <w:tcW w:w="486" w:type="pct"/>
            <w:vAlign w:val="center"/>
          </w:tcPr>
          <w:p w14:paraId="58E0FA75">
            <w:pPr>
              <w:pStyle w:val="31"/>
              <w:ind w:firstLine="0" w:firstLineChars="0"/>
              <w:jc w:val="center"/>
              <w:rPr>
                <w:bCs/>
              </w:rPr>
            </w:pPr>
            <w:r>
              <w:rPr>
                <w:rFonts w:hint="eastAsia"/>
                <w:bCs/>
              </w:rPr>
              <w:t>/</w:t>
            </w:r>
          </w:p>
        </w:tc>
        <w:tc>
          <w:tcPr>
            <w:tcW w:w="621" w:type="pct"/>
            <w:vAlign w:val="center"/>
          </w:tcPr>
          <w:p w14:paraId="49F54055">
            <w:pPr>
              <w:pStyle w:val="31"/>
              <w:ind w:firstLine="0" w:firstLineChars="0"/>
              <w:jc w:val="center"/>
              <w:rPr>
                <w:bCs/>
              </w:rPr>
            </w:pPr>
            <w:r>
              <w:rPr>
                <w:rFonts w:hint="eastAsia"/>
                <w:bCs/>
              </w:rPr>
              <w:t>/</w:t>
            </w:r>
          </w:p>
        </w:tc>
        <w:tc>
          <w:tcPr>
            <w:tcW w:w="621" w:type="pct"/>
            <w:vAlign w:val="center"/>
          </w:tcPr>
          <w:p w14:paraId="60B1D0F2">
            <w:pPr>
              <w:pStyle w:val="31"/>
              <w:ind w:firstLine="0" w:firstLineChars="0"/>
              <w:jc w:val="center"/>
              <w:rPr>
                <w:bCs/>
              </w:rPr>
            </w:pPr>
            <w:r>
              <w:rPr>
                <w:rFonts w:hint="eastAsia"/>
                <w:bCs/>
              </w:rPr>
              <w:t>/</w:t>
            </w:r>
          </w:p>
        </w:tc>
        <w:tc>
          <w:tcPr>
            <w:tcW w:w="622" w:type="pct"/>
            <w:vAlign w:val="center"/>
          </w:tcPr>
          <w:p w14:paraId="20A9CC7A">
            <w:pPr>
              <w:pStyle w:val="31"/>
              <w:ind w:firstLine="0" w:firstLineChars="0"/>
              <w:jc w:val="center"/>
              <w:rPr>
                <w:bCs/>
              </w:rPr>
            </w:pPr>
            <w:r>
              <w:rPr>
                <w:rFonts w:hint="eastAsia"/>
                <w:bCs/>
              </w:rPr>
              <w:t>1.0t/a</w:t>
            </w:r>
          </w:p>
        </w:tc>
        <w:tc>
          <w:tcPr>
            <w:tcW w:w="622" w:type="pct"/>
            <w:vAlign w:val="center"/>
          </w:tcPr>
          <w:p w14:paraId="2D1621C3">
            <w:pPr>
              <w:pStyle w:val="31"/>
              <w:ind w:firstLine="0" w:firstLineChars="0"/>
              <w:jc w:val="center"/>
              <w:rPr>
                <w:bCs/>
              </w:rPr>
            </w:pPr>
            <w:r>
              <w:rPr>
                <w:rFonts w:hint="eastAsia"/>
                <w:bCs/>
              </w:rPr>
              <w:t>0</w:t>
            </w:r>
          </w:p>
        </w:tc>
        <w:tc>
          <w:tcPr>
            <w:tcW w:w="622" w:type="pct"/>
            <w:vAlign w:val="center"/>
          </w:tcPr>
          <w:p w14:paraId="451A0D95">
            <w:pPr>
              <w:pStyle w:val="31"/>
              <w:ind w:firstLine="0" w:firstLineChars="0"/>
              <w:jc w:val="center"/>
              <w:rPr>
                <w:bCs/>
              </w:rPr>
            </w:pPr>
            <w:r>
              <w:rPr>
                <w:rFonts w:hint="eastAsia"/>
                <w:bCs/>
              </w:rPr>
              <w:t>1.0t/a</w:t>
            </w:r>
          </w:p>
        </w:tc>
        <w:tc>
          <w:tcPr>
            <w:tcW w:w="622" w:type="pct"/>
            <w:vAlign w:val="center"/>
          </w:tcPr>
          <w:p w14:paraId="1387DB82">
            <w:pPr>
              <w:pStyle w:val="31"/>
              <w:ind w:firstLine="0" w:firstLineChars="0"/>
              <w:jc w:val="center"/>
              <w:rPr>
                <w:bCs/>
              </w:rPr>
            </w:pPr>
            <w:r>
              <w:rPr>
                <w:rFonts w:hint="eastAsia"/>
                <w:bCs/>
              </w:rPr>
              <w:t>0</w:t>
            </w:r>
          </w:p>
        </w:tc>
      </w:tr>
      <w:tr w14:paraId="51D8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4400B452">
            <w:pPr>
              <w:pStyle w:val="31"/>
              <w:ind w:firstLine="0" w:firstLineChars="0"/>
              <w:jc w:val="center"/>
              <w:rPr>
                <w:bCs/>
              </w:rPr>
            </w:pPr>
          </w:p>
        </w:tc>
        <w:tc>
          <w:tcPr>
            <w:tcW w:w="450" w:type="pct"/>
            <w:vAlign w:val="center"/>
          </w:tcPr>
          <w:p w14:paraId="6A128F6B">
            <w:pPr>
              <w:pStyle w:val="31"/>
              <w:ind w:firstLine="0" w:firstLineChars="0"/>
              <w:jc w:val="center"/>
              <w:rPr>
                <w:bCs/>
              </w:rPr>
            </w:pPr>
            <w:r>
              <w:rPr>
                <w:rFonts w:hint="eastAsia"/>
                <w:bCs/>
              </w:rPr>
              <w:t>废铜丝</w:t>
            </w:r>
          </w:p>
        </w:tc>
        <w:tc>
          <w:tcPr>
            <w:tcW w:w="486" w:type="pct"/>
            <w:vAlign w:val="center"/>
          </w:tcPr>
          <w:p w14:paraId="6514EFB5">
            <w:pPr>
              <w:pStyle w:val="31"/>
              <w:ind w:firstLine="0" w:firstLineChars="0"/>
              <w:jc w:val="center"/>
              <w:rPr>
                <w:bCs/>
              </w:rPr>
            </w:pPr>
            <w:r>
              <w:rPr>
                <w:rFonts w:hint="eastAsia"/>
                <w:bCs/>
              </w:rPr>
              <w:t>/</w:t>
            </w:r>
          </w:p>
        </w:tc>
        <w:tc>
          <w:tcPr>
            <w:tcW w:w="621" w:type="pct"/>
            <w:vAlign w:val="center"/>
          </w:tcPr>
          <w:p w14:paraId="6F3CEBE9">
            <w:pPr>
              <w:pStyle w:val="31"/>
              <w:ind w:firstLine="0" w:firstLineChars="0"/>
              <w:jc w:val="center"/>
              <w:rPr>
                <w:bCs/>
              </w:rPr>
            </w:pPr>
            <w:r>
              <w:rPr>
                <w:rFonts w:hint="eastAsia"/>
                <w:bCs/>
              </w:rPr>
              <w:t>/</w:t>
            </w:r>
          </w:p>
        </w:tc>
        <w:tc>
          <w:tcPr>
            <w:tcW w:w="621" w:type="pct"/>
            <w:vAlign w:val="center"/>
          </w:tcPr>
          <w:p w14:paraId="0F333ED6">
            <w:pPr>
              <w:pStyle w:val="31"/>
              <w:ind w:firstLine="0" w:firstLineChars="0"/>
              <w:jc w:val="center"/>
              <w:rPr>
                <w:bCs/>
              </w:rPr>
            </w:pPr>
            <w:r>
              <w:rPr>
                <w:rFonts w:hint="eastAsia"/>
                <w:bCs/>
              </w:rPr>
              <w:t>/</w:t>
            </w:r>
          </w:p>
        </w:tc>
        <w:tc>
          <w:tcPr>
            <w:tcW w:w="622" w:type="pct"/>
            <w:vAlign w:val="center"/>
          </w:tcPr>
          <w:p w14:paraId="3BFE4E84">
            <w:pPr>
              <w:pStyle w:val="31"/>
              <w:ind w:firstLine="0" w:firstLineChars="0"/>
              <w:jc w:val="center"/>
              <w:rPr>
                <w:bCs/>
              </w:rPr>
            </w:pPr>
            <w:r>
              <w:rPr>
                <w:rFonts w:hint="eastAsia"/>
                <w:bCs/>
              </w:rPr>
              <w:t>3.7t/a</w:t>
            </w:r>
          </w:p>
        </w:tc>
        <w:tc>
          <w:tcPr>
            <w:tcW w:w="622" w:type="pct"/>
            <w:vAlign w:val="center"/>
          </w:tcPr>
          <w:p w14:paraId="2616EF54">
            <w:pPr>
              <w:pStyle w:val="31"/>
              <w:ind w:firstLine="0" w:firstLineChars="0"/>
              <w:jc w:val="center"/>
              <w:rPr>
                <w:bCs/>
              </w:rPr>
            </w:pPr>
            <w:r>
              <w:rPr>
                <w:rFonts w:hint="eastAsia"/>
                <w:bCs/>
              </w:rPr>
              <w:t>0</w:t>
            </w:r>
          </w:p>
        </w:tc>
        <w:tc>
          <w:tcPr>
            <w:tcW w:w="622" w:type="pct"/>
            <w:vAlign w:val="center"/>
          </w:tcPr>
          <w:p w14:paraId="58E82708">
            <w:pPr>
              <w:pStyle w:val="31"/>
              <w:ind w:firstLine="0" w:firstLineChars="0"/>
              <w:jc w:val="center"/>
              <w:rPr>
                <w:bCs/>
              </w:rPr>
            </w:pPr>
            <w:r>
              <w:rPr>
                <w:rFonts w:hint="eastAsia"/>
                <w:bCs/>
              </w:rPr>
              <w:t>3.7t/a</w:t>
            </w:r>
          </w:p>
        </w:tc>
        <w:tc>
          <w:tcPr>
            <w:tcW w:w="622" w:type="pct"/>
            <w:vAlign w:val="center"/>
          </w:tcPr>
          <w:p w14:paraId="5D2E3C9D">
            <w:pPr>
              <w:pStyle w:val="31"/>
              <w:ind w:firstLine="0" w:firstLineChars="0"/>
              <w:jc w:val="center"/>
              <w:rPr>
                <w:bCs/>
              </w:rPr>
            </w:pPr>
            <w:r>
              <w:rPr>
                <w:rFonts w:hint="eastAsia"/>
                <w:bCs/>
              </w:rPr>
              <w:t>0</w:t>
            </w:r>
          </w:p>
        </w:tc>
      </w:tr>
      <w:tr w14:paraId="030DA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70A837BB">
            <w:pPr>
              <w:pStyle w:val="31"/>
              <w:ind w:firstLine="0" w:firstLineChars="0"/>
              <w:jc w:val="center"/>
              <w:rPr>
                <w:bCs/>
              </w:rPr>
            </w:pPr>
          </w:p>
        </w:tc>
        <w:tc>
          <w:tcPr>
            <w:tcW w:w="450" w:type="pct"/>
            <w:vAlign w:val="center"/>
          </w:tcPr>
          <w:p w14:paraId="006EE784">
            <w:pPr>
              <w:pStyle w:val="31"/>
              <w:ind w:firstLine="0" w:firstLineChars="0"/>
              <w:jc w:val="center"/>
              <w:rPr>
                <w:bCs/>
              </w:rPr>
            </w:pPr>
            <w:r>
              <w:rPr>
                <w:rFonts w:hint="eastAsia"/>
                <w:bCs/>
              </w:rPr>
              <w:t>废铝丝</w:t>
            </w:r>
          </w:p>
        </w:tc>
        <w:tc>
          <w:tcPr>
            <w:tcW w:w="486" w:type="pct"/>
            <w:vAlign w:val="center"/>
          </w:tcPr>
          <w:p w14:paraId="39B459B1">
            <w:pPr>
              <w:pStyle w:val="31"/>
              <w:ind w:firstLine="0" w:firstLineChars="0"/>
              <w:jc w:val="center"/>
              <w:rPr>
                <w:bCs/>
              </w:rPr>
            </w:pPr>
            <w:r>
              <w:rPr>
                <w:rFonts w:hint="eastAsia"/>
                <w:bCs/>
              </w:rPr>
              <w:t>/</w:t>
            </w:r>
          </w:p>
        </w:tc>
        <w:tc>
          <w:tcPr>
            <w:tcW w:w="621" w:type="pct"/>
            <w:vAlign w:val="center"/>
          </w:tcPr>
          <w:p w14:paraId="56E1B19E">
            <w:pPr>
              <w:pStyle w:val="31"/>
              <w:ind w:firstLine="0" w:firstLineChars="0"/>
              <w:jc w:val="center"/>
              <w:rPr>
                <w:bCs/>
              </w:rPr>
            </w:pPr>
            <w:r>
              <w:rPr>
                <w:rFonts w:hint="eastAsia"/>
                <w:bCs/>
              </w:rPr>
              <w:t>/</w:t>
            </w:r>
          </w:p>
        </w:tc>
        <w:tc>
          <w:tcPr>
            <w:tcW w:w="621" w:type="pct"/>
            <w:vAlign w:val="center"/>
          </w:tcPr>
          <w:p w14:paraId="2B67E94B">
            <w:pPr>
              <w:pStyle w:val="31"/>
              <w:ind w:firstLine="0" w:firstLineChars="0"/>
              <w:jc w:val="center"/>
              <w:rPr>
                <w:bCs/>
              </w:rPr>
            </w:pPr>
            <w:r>
              <w:rPr>
                <w:rFonts w:hint="eastAsia"/>
                <w:bCs/>
              </w:rPr>
              <w:t>/</w:t>
            </w:r>
          </w:p>
        </w:tc>
        <w:tc>
          <w:tcPr>
            <w:tcW w:w="622" w:type="pct"/>
            <w:vAlign w:val="center"/>
          </w:tcPr>
          <w:p w14:paraId="4C6DB57E">
            <w:pPr>
              <w:pStyle w:val="31"/>
              <w:ind w:firstLine="0" w:firstLineChars="0"/>
              <w:jc w:val="center"/>
              <w:rPr>
                <w:bCs/>
              </w:rPr>
            </w:pPr>
            <w:r>
              <w:rPr>
                <w:rFonts w:hint="eastAsia"/>
                <w:bCs/>
              </w:rPr>
              <w:t>1.5t/a</w:t>
            </w:r>
          </w:p>
        </w:tc>
        <w:tc>
          <w:tcPr>
            <w:tcW w:w="622" w:type="pct"/>
            <w:vAlign w:val="center"/>
          </w:tcPr>
          <w:p w14:paraId="27D8750C">
            <w:pPr>
              <w:pStyle w:val="31"/>
              <w:ind w:firstLine="0" w:firstLineChars="0"/>
              <w:jc w:val="center"/>
              <w:rPr>
                <w:bCs/>
              </w:rPr>
            </w:pPr>
            <w:r>
              <w:rPr>
                <w:rFonts w:hint="eastAsia"/>
                <w:bCs/>
              </w:rPr>
              <w:t>0</w:t>
            </w:r>
          </w:p>
        </w:tc>
        <w:tc>
          <w:tcPr>
            <w:tcW w:w="622" w:type="pct"/>
            <w:vAlign w:val="center"/>
          </w:tcPr>
          <w:p w14:paraId="360F11C5">
            <w:pPr>
              <w:pStyle w:val="31"/>
              <w:ind w:firstLine="0" w:firstLineChars="0"/>
              <w:jc w:val="center"/>
              <w:rPr>
                <w:bCs/>
              </w:rPr>
            </w:pPr>
            <w:r>
              <w:rPr>
                <w:rFonts w:hint="eastAsia"/>
                <w:bCs/>
              </w:rPr>
              <w:t>1.5t/a</w:t>
            </w:r>
          </w:p>
        </w:tc>
        <w:tc>
          <w:tcPr>
            <w:tcW w:w="622" w:type="pct"/>
            <w:vAlign w:val="center"/>
          </w:tcPr>
          <w:p w14:paraId="7B29862F">
            <w:pPr>
              <w:pStyle w:val="31"/>
              <w:ind w:firstLine="0" w:firstLineChars="0"/>
              <w:jc w:val="center"/>
              <w:rPr>
                <w:bCs/>
              </w:rPr>
            </w:pPr>
            <w:r>
              <w:rPr>
                <w:rFonts w:hint="eastAsia"/>
                <w:bCs/>
              </w:rPr>
              <w:t>0</w:t>
            </w:r>
          </w:p>
        </w:tc>
      </w:tr>
      <w:tr w14:paraId="65436511">
        <w:tblPrEx>
          <w:tblCellMar>
            <w:top w:w="0" w:type="dxa"/>
            <w:left w:w="108" w:type="dxa"/>
            <w:bottom w:w="0" w:type="dxa"/>
            <w:right w:w="108" w:type="dxa"/>
          </w:tblCellMar>
        </w:tblPrEx>
        <w:trPr>
          <w:trHeight w:val="340" w:hRule="atLeast"/>
          <w:jc w:val="center"/>
        </w:trPr>
        <w:tc>
          <w:tcPr>
            <w:tcW w:w="332" w:type="pct"/>
            <w:vMerge w:val="continue"/>
            <w:vAlign w:val="center"/>
          </w:tcPr>
          <w:p w14:paraId="3EE03DAE">
            <w:pPr>
              <w:pStyle w:val="31"/>
              <w:ind w:firstLine="0" w:firstLineChars="0"/>
              <w:jc w:val="center"/>
              <w:rPr>
                <w:bCs/>
              </w:rPr>
            </w:pPr>
          </w:p>
        </w:tc>
        <w:tc>
          <w:tcPr>
            <w:tcW w:w="450" w:type="pct"/>
            <w:vAlign w:val="center"/>
          </w:tcPr>
          <w:p w14:paraId="3BAB18AD">
            <w:pPr>
              <w:pStyle w:val="31"/>
              <w:ind w:firstLine="0" w:firstLineChars="0"/>
              <w:jc w:val="center"/>
              <w:rPr>
                <w:bCs/>
              </w:rPr>
            </w:pPr>
            <w:r>
              <w:rPr>
                <w:rFonts w:hint="eastAsia"/>
                <w:bCs/>
              </w:rPr>
              <w:t>不合格品</w:t>
            </w:r>
          </w:p>
        </w:tc>
        <w:tc>
          <w:tcPr>
            <w:tcW w:w="486" w:type="pct"/>
            <w:vAlign w:val="center"/>
          </w:tcPr>
          <w:p w14:paraId="2DDE74DF">
            <w:pPr>
              <w:pStyle w:val="31"/>
              <w:ind w:firstLine="0" w:firstLineChars="0"/>
              <w:jc w:val="center"/>
              <w:rPr>
                <w:bCs/>
              </w:rPr>
            </w:pPr>
            <w:r>
              <w:rPr>
                <w:rFonts w:hint="eastAsia"/>
                <w:bCs/>
              </w:rPr>
              <w:t>/</w:t>
            </w:r>
          </w:p>
        </w:tc>
        <w:tc>
          <w:tcPr>
            <w:tcW w:w="621" w:type="pct"/>
            <w:vAlign w:val="center"/>
          </w:tcPr>
          <w:p w14:paraId="4A36688D">
            <w:pPr>
              <w:pStyle w:val="31"/>
              <w:ind w:firstLine="0" w:firstLineChars="0"/>
              <w:jc w:val="center"/>
              <w:rPr>
                <w:bCs/>
              </w:rPr>
            </w:pPr>
            <w:r>
              <w:rPr>
                <w:rFonts w:hint="eastAsia"/>
                <w:bCs/>
              </w:rPr>
              <w:t>/</w:t>
            </w:r>
          </w:p>
        </w:tc>
        <w:tc>
          <w:tcPr>
            <w:tcW w:w="621" w:type="pct"/>
            <w:vAlign w:val="center"/>
          </w:tcPr>
          <w:p w14:paraId="2455C563">
            <w:pPr>
              <w:pStyle w:val="31"/>
              <w:ind w:firstLine="0" w:firstLineChars="0"/>
              <w:jc w:val="center"/>
              <w:rPr>
                <w:bCs/>
              </w:rPr>
            </w:pPr>
            <w:r>
              <w:rPr>
                <w:rFonts w:hint="eastAsia"/>
                <w:bCs/>
              </w:rPr>
              <w:t>/</w:t>
            </w:r>
          </w:p>
        </w:tc>
        <w:tc>
          <w:tcPr>
            <w:tcW w:w="622" w:type="pct"/>
            <w:vAlign w:val="center"/>
          </w:tcPr>
          <w:p w14:paraId="09822A7B">
            <w:pPr>
              <w:pStyle w:val="31"/>
              <w:ind w:firstLine="0" w:firstLineChars="0"/>
              <w:jc w:val="center"/>
              <w:rPr>
                <w:bCs/>
              </w:rPr>
            </w:pPr>
            <w:r>
              <w:rPr>
                <w:rFonts w:hint="eastAsia"/>
                <w:bCs/>
              </w:rPr>
              <w:t>4.0t/a</w:t>
            </w:r>
          </w:p>
        </w:tc>
        <w:tc>
          <w:tcPr>
            <w:tcW w:w="622" w:type="pct"/>
            <w:vAlign w:val="center"/>
          </w:tcPr>
          <w:p w14:paraId="61A4570C">
            <w:pPr>
              <w:pStyle w:val="31"/>
              <w:ind w:firstLine="0" w:firstLineChars="0"/>
              <w:jc w:val="center"/>
              <w:rPr>
                <w:bCs/>
              </w:rPr>
            </w:pPr>
            <w:r>
              <w:rPr>
                <w:rFonts w:hint="eastAsia"/>
                <w:bCs/>
              </w:rPr>
              <w:t>0</w:t>
            </w:r>
          </w:p>
        </w:tc>
        <w:tc>
          <w:tcPr>
            <w:tcW w:w="622" w:type="pct"/>
            <w:vAlign w:val="center"/>
          </w:tcPr>
          <w:p w14:paraId="78AC4132">
            <w:pPr>
              <w:pStyle w:val="31"/>
              <w:ind w:firstLine="0" w:firstLineChars="0"/>
              <w:jc w:val="center"/>
              <w:rPr>
                <w:bCs/>
              </w:rPr>
            </w:pPr>
            <w:r>
              <w:rPr>
                <w:rFonts w:hint="eastAsia"/>
                <w:bCs/>
              </w:rPr>
              <w:t>4.0t/a</w:t>
            </w:r>
          </w:p>
        </w:tc>
        <w:tc>
          <w:tcPr>
            <w:tcW w:w="622" w:type="pct"/>
            <w:vAlign w:val="center"/>
          </w:tcPr>
          <w:p w14:paraId="034E1334">
            <w:pPr>
              <w:pStyle w:val="31"/>
              <w:ind w:firstLine="0" w:firstLineChars="0"/>
              <w:jc w:val="center"/>
              <w:rPr>
                <w:bCs/>
              </w:rPr>
            </w:pPr>
            <w:r>
              <w:rPr>
                <w:rFonts w:hint="eastAsia"/>
                <w:bCs/>
              </w:rPr>
              <w:t>0</w:t>
            </w:r>
          </w:p>
        </w:tc>
      </w:tr>
      <w:tr w14:paraId="5AEA4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65891957">
            <w:pPr>
              <w:pStyle w:val="31"/>
              <w:ind w:firstLine="0" w:firstLineChars="0"/>
              <w:jc w:val="center"/>
              <w:rPr>
                <w:bCs/>
              </w:rPr>
            </w:pPr>
          </w:p>
        </w:tc>
        <w:tc>
          <w:tcPr>
            <w:tcW w:w="450" w:type="pct"/>
            <w:vAlign w:val="center"/>
          </w:tcPr>
          <w:p w14:paraId="579DF91E">
            <w:pPr>
              <w:pStyle w:val="31"/>
              <w:ind w:firstLine="0" w:firstLineChars="0"/>
              <w:jc w:val="center"/>
              <w:rPr>
                <w:bCs/>
              </w:rPr>
            </w:pPr>
            <w:r>
              <w:rPr>
                <w:rFonts w:hint="eastAsia"/>
                <w:bCs/>
              </w:rPr>
              <w:t>边角料</w:t>
            </w:r>
          </w:p>
        </w:tc>
        <w:tc>
          <w:tcPr>
            <w:tcW w:w="486" w:type="pct"/>
            <w:vAlign w:val="center"/>
          </w:tcPr>
          <w:p w14:paraId="626ADDEC">
            <w:pPr>
              <w:pStyle w:val="31"/>
              <w:ind w:firstLine="0" w:firstLineChars="0"/>
              <w:jc w:val="center"/>
              <w:rPr>
                <w:bCs/>
              </w:rPr>
            </w:pPr>
            <w:r>
              <w:rPr>
                <w:rFonts w:hint="eastAsia"/>
                <w:bCs/>
              </w:rPr>
              <w:t>/</w:t>
            </w:r>
          </w:p>
        </w:tc>
        <w:tc>
          <w:tcPr>
            <w:tcW w:w="621" w:type="pct"/>
            <w:vAlign w:val="center"/>
          </w:tcPr>
          <w:p w14:paraId="38D08166">
            <w:pPr>
              <w:pStyle w:val="31"/>
              <w:ind w:firstLine="0" w:firstLineChars="0"/>
              <w:jc w:val="center"/>
              <w:rPr>
                <w:bCs/>
              </w:rPr>
            </w:pPr>
            <w:r>
              <w:rPr>
                <w:rFonts w:hint="eastAsia"/>
                <w:bCs/>
              </w:rPr>
              <w:t>/</w:t>
            </w:r>
          </w:p>
        </w:tc>
        <w:tc>
          <w:tcPr>
            <w:tcW w:w="621" w:type="pct"/>
            <w:vAlign w:val="center"/>
          </w:tcPr>
          <w:p w14:paraId="3200F7A7">
            <w:pPr>
              <w:pStyle w:val="31"/>
              <w:ind w:firstLine="0" w:firstLineChars="0"/>
              <w:jc w:val="center"/>
              <w:rPr>
                <w:bCs/>
              </w:rPr>
            </w:pPr>
            <w:r>
              <w:rPr>
                <w:rFonts w:hint="eastAsia"/>
                <w:bCs/>
              </w:rPr>
              <w:t>/</w:t>
            </w:r>
          </w:p>
        </w:tc>
        <w:tc>
          <w:tcPr>
            <w:tcW w:w="622" w:type="pct"/>
            <w:vAlign w:val="center"/>
          </w:tcPr>
          <w:p w14:paraId="6A299416">
            <w:pPr>
              <w:pStyle w:val="31"/>
              <w:ind w:firstLine="0" w:firstLineChars="0"/>
              <w:jc w:val="center"/>
              <w:rPr>
                <w:bCs/>
              </w:rPr>
            </w:pPr>
            <w:r>
              <w:rPr>
                <w:rFonts w:hint="eastAsia"/>
                <w:bCs/>
              </w:rPr>
              <w:t>10.5t/a</w:t>
            </w:r>
          </w:p>
        </w:tc>
        <w:tc>
          <w:tcPr>
            <w:tcW w:w="622" w:type="pct"/>
            <w:vAlign w:val="center"/>
          </w:tcPr>
          <w:p w14:paraId="582308B3">
            <w:pPr>
              <w:pStyle w:val="31"/>
              <w:ind w:firstLine="0" w:firstLineChars="0"/>
              <w:jc w:val="center"/>
              <w:rPr>
                <w:bCs/>
              </w:rPr>
            </w:pPr>
            <w:r>
              <w:rPr>
                <w:rFonts w:hint="eastAsia"/>
                <w:bCs/>
              </w:rPr>
              <w:t>0</w:t>
            </w:r>
          </w:p>
        </w:tc>
        <w:tc>
          <w:tcPr>
            <w:tcW w:w="622" w:type="pct"/>
            <w:vAlign w:val="center"/>
          </w:tcPr>
          <w:p w14:paraId="5311ACC5">
            <w:pPr>
              <w:pStyle w:val="31"/>
              <w:ind w:firstLine="0" w:firstLineChars="0"/>
              <w:jc w:val="center"/>
              <w:rPr>
                <w:bCs/>
              </w:rPr>
            </w:pPr>
            <w:r>
              <w:rPr>
                <w:rFonts w:hint="eastAsia"/>
                <w:bCs/>
              </w:rPr>
              <w:t>10.5t/a</w:t>
            </w:r>
          </w:p>
        </w:tc>
        <w:tc>
          <w:tcPr>
            <w:tcW w:w="622" w:type="pct"/>
            <w:vAlign w:val="center"/>
          </w:tcPr>
          <w:p w14:paraId="681DD110">
            <w:pPr>
              <w:pStyle w:val="31"/>
              <w:ind w:firstLine="0" w:firstLineChars="0"/>
              <w:jc w:val="center"/>
              <w:rPr>
                <w:bCs/>
              </w:rPr>
            </w:pPr>
            <w:r>
              <w:rPr>
                <w:rFonts w:hint="eastAsia"/>
                <w:bCs/>
              </w:rPr>
              <w:t>0</w:t>
            </w:r>
          </w:p>
        </w:tc>
      </w:tr>
      <w:tr w14:paraId="3F8FE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restart"/>
            <w:vAlign w:val="center"/>
          </w:tcPr>
          <w:p w14:paraId="3D82746C">
            <w:pPr>
              <w:pStyle w:val="31"/>
              <w:ind w:firstLine="0" w:firstLineChars="0"/>
              <w:jc w:val="center"/>
              <w:rPr>
                <w:bCs/>
              </w:rPr>
            </w:pPr>
            <w:r>
              <w:rPr>
                <w:rFonts w:hint="eastAsia"/>
                <w:bCs/>
              </w:rPr>
              <w:t>危险废物</w:t>
            </w:r>
          </w:p>
        </w:tc>
        <w:tc>
          <w:tcPr>
            <w:tcW w:w="450" w:type="pct"/>
            <w:vAlign w:val="center"/>
          </w:tcPr>
          <w:p w14:paraId="40CE734C">
            <w:pPr>
              <w:pStyle w:val="31"/>
              <w:ind w:firstLine="0" w:firstLineChars="0"/>
              <w:jc w:val="center"/>
              <w:rPr>
                <w:rFonts w:hint="eastAsia"/>
                <w:bCs/>
              </w:rPr>
            </w:pPr>
            <w:r>
              <w:rPr>
                <w:rFonts w:hint="eastAsia"/>
                <w:bCs/>
              </w:rPr>
              <w:t>废拉丝液</w:t>
            </w:r>
          </w:p>
        </w:tc>
        <w:tc>
          <w:tcPr>
            <w:tcW w:w="486" w:type="pct"/>
            <w:vAlign w:val="center"/>
          </w:tcPr>
          <w:p w14:paraId="15B7D349">
            <w:pPr>
              <w:pStyle w:val="31"/>
              <w:ind w:firstLine="0" w:firstLineChars="0"/>
              <w:jc w:val="center"/>
              <w:rPr>
                <w:rFonts w:hint="eastAsia"/>
                <w:bCs/>
              </w:rPr>
            </w:pPr>
          </w:p>
        </w:tc>
        <w:tc>
          <w:tcPr>
            <w:tcW w:w="621" w:type="pct"/>
            <w:vAlign w:val="center"/>
          </w:tcPr>
          <w:p w14:paraId="0761196E">
            <w:pPr>
              <w:pStyle w:val="31"/>
              <w:ind w:firstLine="0" w:firstLineChars="0"/>
              <w:jc w:val="center"/>
              <w:rPr>
                <w:rFonts w:hint="eastAsia"/>
                <w:bCs/>
              </w:rPr>
            </w:pPr>
          </w:p>
        </w:tc>
        <w:tc>
          <w:tcPr>
            <w:tcW w:w="621" w:type="pct"/>
            <w:vAlign w:val="center"/>
          </w:tcPr>
          <w:p w14:paraId="43C99055">
            <w:pPr>
              <w:pStyle w:val="31"/>
              <w:ind w:firstLine="0" w:firstLineChars="0"/>
              <w:jc w:val="center"/>
              <w:rPr>
                <w:rFonts w:hint="eastAsia"/>
                <w:bCs/>
              </w:rPr>
            </w:pPr>
          </w:p>
        </w:tc>
        <w:tc>
          <w:tcPr>
            <w:tcW w:w="622" w:type="pct"/>
            <w:vAlign w:val="center"/>
          </w:tcPr>
          <w:p w14:paraId="155ABFCE">
            <w:pPr>
              <w:pStyle w:val="31"/>
              <w:ind w:firstLine="0" w:firstLineChars="0"/>
              <w:jc w:val="center"/>
              <w:rPr>
                <w:rFonts w:hint="default" w:eastAsia="宋体"/>
                <w:bCs/>
                <w:lang w:val="en-US" w:eastAsia="zh-CN"/>
              </w:rPr>
            </w:pPr>
            <w:r>
              <w:rPr>
                <w:rFonts w:hint="eastAsia"/>
                <w:bCs/>
                <w:lang w:val="en-US" w:eastAsia="zh-CN"/>
              </w:rPr>
              <w:t>9.0</w:t>
            </w:r>
            <w:r>
              <w:rPr>
                <w:rFonts w:hint="eastAsia"/>
                <w:bCs/>
              </w:rPr>
              <w:t>t/a</w:t>
            </w:r>
          </w:p>
        </w:tc>
        <w:tc>
          <w:tcPr>
            <w:tcW w:w="622" w:type="pct"/>
            <w:vAlign w:val="center"/>
          </w:tcPr>
          <w:p w14:paraId="4816D7DB">
            <w:pPr>
              <w:pStyle w:val="31"/>
              <w:ind w:firstLine="0" w:firstLineChars="0"/>
              <w:jc w:val="center"/>
              <w:rPr>
                <w:rFonts w:hint="eastAsia" w:eastAsia="宋体"/>
                <w:bCs/>
                <w:lang w:val="en-US" w:eastAsia="zh-CN"/>
              </w:rPr>
            </w:pPr>
            <w:r>
              <w:rPr>
                <w:rFonts w:hint="eastAsia"/>
                <w:bCs/>
                <w:lang w:val="en-US" w:eastAsia="zh-CN"/>
              </w:rPr>
              <w:t>0</w:t>
            </w:r>
          </w:p>
        </w:tc>
        <w:tc>
          <w:tcPr>
            <w:tcW w:w="622" w:type="pct"/>
            <w:vAlign w:val="center"/>
          </w:tcPr>
          <w:p w14:paraId="1A72E040">
            <w:pPr>
              <w:pStyle w:val="31"/>
              <w:ind w:firstLine="0" w:firstLineChars="0"/>
              <w:jc w:val="center"/>
              <w:rPr>
                <w:rFonts w:hint="eastAsia"/>
                <w:bCs/>
              </w:rPr>
            </w:pPr>
            <w:r>
              <w:rPr>
                <w:rFonts w:hint="eastAsia"/>
                <w:bCs/>
                <w:lang w:val="en-US" w:eastAsia="zh-CN"/>
              </w:rPr>
              <w:t>9.0</w:t>
            </w:r>
            <w:r>
              <w:rPr>
                <w:rFonts w:hint="eastAsia"/>
                <w:bCs/>
              </w:rPr>
              <w:t>t/a</w:t>
            </w:r>
          </w:p>
        </w:tc>
        <w:tc>
          <w:tcPr>
            <w:tcW w:w="622" w:type="pct"/>
            <w:vAlign w:val="center"/>
          </w:tcPr>
          <w:p w14:paraId="05BFA14F">
            <w:pPr>
              <w:pStyle w:val="31"/>
              <w:ind w:firstLine="0" w:firstLineChars="0"/>
              <w:jc w:val="center"/>
              <w:rPr>
                <w:rFonts w:hint="eastAsia" w:eastAsia="宋体"/>
                <w:bCs/>
                <w:lang w:val="en-US" w:eastAsia="zh-CN"/>
              </w:rPr>
            </w:pPr>
            <w:r>
              <w:rPr>
                <w:rFonts w:hint="eastAsia"/>
                <w:bCs/>
                <w:lang w:val="en-US" w:eastAsia="zh-CN"/>
              </w:rPr>
              <w:t>0</w:t>
            </w:r>
          </w:p>
        </w:tc>
      </w:tr>
      <w:tr w14:paraId="55F5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68E4849E">
            <w:pPr>
              <w:pStyle w:val="31"/>
              <w:ind w:firstLine="0" w:firstLineChars="0"/>
              <w:jc w:val="center"/>
              <w:rPr>
                <w:bCs/>
              </w:rPr>
            </w:pPr>
          </w:p>
        </w:tc>
        <w:tc>
          <w:tcPr>
            <w:tcW w:w="450" w:type="pct"/>
            <w:vAlign w:val="center"/>
          </w:tcPr>
          <w:p w14:paraId="21C088A7">
            <w:pPr>
              <w:pStyle w:val="31"/>
              <w:ind w:firstLine="0" w:firstLineChars="0"/>
              <w:jc w:val="center"/>
              <w:rPr>
                <w:bCs/>
              </w:rPr>
            </w:pPr>
            <w:r>
              <w:rPr>
                <w:rFonts w:hint="eastAsia"/>
                <w:bCs/>
              </w:rPr>
              <w:t>废拉丝液桶</w:t>
            </w:r>
          </w:p>
        </w:tc>
        <w:tc>
          <w:tcPr>
            <w:tcW w:w="486" w:type="pct"/>
            <w:vAlign w:val="center"/>
          </w:tcPr>
          <w:p w14:paraId="72472DAE">
            <w:pPr>
              <w:pStyle w:val="31"/>
              <w:ind w:firstLine="0" w:firstLineChars="0"/>
              <w:jc w:val="center"/>
              <w:rPr>
                <w:bCs/>
              </w:rPr>
            </w:pPr>
            <w:r>
              <w:rPr>
                <w:rFonts w:hint="eastAsia"/>
                <w:bCs/>
              </w:rPr>
              <w:t>/</w:t>
            </w:r>
          </w:p>
        </w:tc>
        <w:tc>
          <w:tcPr>
            <w:tcW w:w="621" w:type="pct"/>
            <w:vAlign w:val="center"/>
          </w:tcPr>
          <w:p w14:paraId="2FB06333">
            <w:pPr>
              <w:pStyle w:val="31"/>
              <w:ind w:firstLine="0" w:firstLineChars="0"/>
              <w:jc w:val="center"/>
              <w:rPr>
                <w:bCs/>
              </w:rPr>
            </w:pPr>
            <w:r>
              <w:rPr>
                <w:rFonts w:hint="eastAsia"/>
                <w:bCs/>
              </w:rPr>
              <w:t>/</w:t>
            </w:r>
          </w:p>
        </w:tc>
        <w:tc>
          <w:tcPr>
            <w:tcW w:w="621" w:type="pct"/>
            <w:vAlign w:val="center"/>
          </w:tcPr>
          <w:p w14:paraId="1CDA6017">
            <w:pPr>
              <w:pStyle w:val="31"/>
              <w:ind w:firstLine="0" w:firstLineChars="0"/>
              <w:jc w:val="center"/>
              <w:rPr>
                <w:bCs/>
              </w:rPr>
            </w:pPr>
            <w:r>
              <w:rPr>
                <w:rFonts w:hint="eastAsia"/>
                <w:bCs/>
              </w:rPr>
              <w:t>/</w:t>
            </w:r>
          </w:p>
        </w:tc>
        <w:tc>
          <w:tcPr>
            <w:tcW w:w="622" w:type="pct"/>
            <w:vAlign w:val="center"/>
          </w:tcPr>
          <w:p w14:paraId="00A50D8E">
            <w:pPr>
              <w:pStyle w:val="31"/>
              <w:ind w:firstLine="0" w:firstLineChars="0"/>
              <w:jc w:val="center"/>
              <w:rPr>
                <w:bCs/>
              </w:rPr>
            </w:pPr>
            <w:r>
              <w:rPr>
                <w:rFonts w:hint="eastAsia"/>
                <w:bCs/>
              </w:rPr>
              <w:t>0.01t/a</w:t>
            </w:r>
          </w:p>
        </w:tc>
        <w:tc>
          <w:tcPr>
            <w:tcW w:w="622" w:type="pct"/>
            <w:vAlign w:val="center"/>
          </w:tcPr>
          <w:p w14:paraId="5705A0BB">
            <w:pPr>
              <w:pStyle w:val="31"/>
              <w:ind w:firstLine="0" w:firstLineChars="0"/>
              <w:jc w:val="center"/>
              <w:rPr>
                <w:bCs/>
              </w:rPr>
            </w:pPr>
            <w:r>
              <w:rPr>
                <w:rFonts w:hint="eastAsia"/>
                <w:bCs/>
              </w:rPr>
              <w:t>0</w:t>
            </w:r>
          </w:p>
        </w:tc>
        <w:tc>
          <w:tcPr>
            <w:tcW w:w="622" w:type="pct"/>
            <w:vAlign w:val="center"/>
          </w:tcPr>
          <w:p w14:paraId="0DF3FCDB">
            <w:pPr>
              <w:pStyle w:val="31"/>
              <w:ind w:firstLine="0" w:firstLineChars="0"/>
              <w:jc w:val="center"/>
              <w:rPr>
                <w:bCs/>
              </w:rPr>
            </w:pPr>
            <w:r>
              <w:rPr>
                <w:rFonts w:hint="eastAsia"/>
                <w:bCs/>
              </w:rPr>
              <w:t>0.01t/a</w:t>
            </w:r>
          </w:p>
        </w:tc>
        <w:tc>
          <w:tcPr>
            <w:tcW w:w="622" w:type="pct"/>
            <w:vAlign w:val="center"/>
          </w:tcPr>
          <w:p w14:paraId="6438111B">
            <w:pPr>
              <w:pStyle w:val="31"/>
              <w:ind w:firstLine="0" w:firstLineChars="0"/>
              <w:jc w:val="center"/>
              <w:rPr>
                <w:bCs/>
              </w:rPr>
            </w:pPr>
            <w:r>
              <w:rPr>
                <w:rFonts w:hint="eastAsia"/>
                <w:bCs/>
              </w:rPr>
              <w:t>0</w:t>
            </w:r>
          </w:p>
        </w:tc>
      </w:tr>
      <w:tr w14:paraId="7C29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3B6AFBD5">
            <w:pPr>
              <w:pStyle w:val="31"/>
              <w:ind w:firstLine="0" w:firstLineChars="0"/>
              <w:jc w:val="center"/>
              <w:rPr>
                <w:bCs/>
              </w:rPr>
            </w:pPr>
          </w:p>
        </w:tc>
        <w:tc>
          <w:tcPr>
            <w:tcW w:w="450" w:type="pct"/>
            <w:vAlign w:val="center"/>
          </w:tcPr>
          <w:p w14:paraId="124BE8FB">
            <w:pPr>
              <w:pStyle w:val="31"/>
              <w:ind w:firstLine="0" w:firstLineChars="0"/>
              <w:jc w:val="center"/>
              <w:rPr>
                <w:bCs/>
              </w:rPr>
            </w:pPr>
            <w:r>
              <w:rPr>
                <w:rFonts w:hint="eastAsia"/>
                <w:bCs/>
              </w:rPr>
              <w:t>废机油</w:t>
            </w:r>
          </w:p>
        </w:tc>
        <w:tc>
          <w:tcPr>
            <w:tcW w:w="486" w:type="pct"/>
            <w:vAlign w:val="center"/>
          </w:tcPr>
          <w:p w14:paraId="0535AD6B">
            <w:pPr>
              <w:pStyle w:val="31"/>
              <w:ind w:firstLine="0" w:firstLineChars="0"/>
              <w:jc w:val="center"/>
              <w:rPr>
                <w:bCs/>
              </w:rPr>
            </w:pPr>
            <w:r>
              <w:rPr>
                <w:rFonts w:hint="eastAsia"/>
                <w:bCs/>
              </w:rPr>
              <w:t>/</w:t>
            </w:r>
          </w:p>
        </w:tc>
        <w:tc>
          <w:tcPr>
            <w:tcW w:w="621" w:type="pct"/>
            <w:vAlign w:val="center"/>
          </w:tcPr>
          <w:p w14:paraId="774A993D">
            <w:pPr>
              <w:pStyle w:val="31"/>
              <w:ind w:firstLine="0" w:firstLineChars="0"/>
              <w:jc w:val="center"/>
              <w:rPr>
                <w:bCs/>
              </w:rPr>
            </w:pPr>
            <w:r>
              <w:rPr>
                <w:rFonts w:hint="eastAsia"/>
                <w:bCs/>
              </w:rPr>
              <w:t>/</w:t>
            </w:r>
          </w:p>
        </w:tc>
        <w:tc>
          <w:tcPr>
            <w:tcW w:w="621" w:type="pct"/>
            <w:vAlign w:val="center"/>
          </w:tcPr>
          <w:p w14:paraId="03E5C248">
            <w:pPr>
              <w:pStyle w:val="31"/>
              <w:ind w:firstLine="0" w:firstLineChars="0"/>
              <w:jc w:val="center"/>
              <w:rPr>
                <w:bCs/>
              </w:rPr>
            </w:pPr>
            <w:r>
              <w:rPr>
                <w:rFonts w:hint="eastAsia"/>
                <w:bCs/>
              </w:rPr>
              <w:t>/</w:t>
            </w:r>
          </w:p>
        </w:tc>
        <w:tc>
          <w:tcPr>
            <w:tcW w:w="622" w:type="pct"/>
            <w:vAlign w:val="center"/>
          </w:tcPr>
          <w:p w14:paraId="205B0738">
            <w:pPr>
              <w:pStyle w:val="31"/>
              <w:ind w:firstLine="0" w:firstLineChars="0"/>
              <w:jc w:val="center"/>
              <w:rPr>
                <w:bCs/>
              </w:rPr>
            </w:pPr>
            <w:r>
              <w:rPr>
                <w:rFonts w:hint="eastAsia"/>
                <w:bCs/>
              </w:rPr>
              <w:t>0.04t/a</w:t>
            </w:r>
          </w:p>
        </w:tc>
        <w:tc>
          <w:tcPr>
            <w:tcW w:w="622" w:type="pct"/>
            <w:vAlign w:val="center"/>
          </w:tcPr>
          <w:p w14:paraId="5F30B89F">
            <w:pPr>
              <w:pStyle w:val="31"/>
              <w:ind w:firstLine="0" w:firstLineChars="0"/>
              <w:jc w:val="center"/>
              <w:rPr>
                <w:bCs/>
              </w:rPr>
            </w:pPr>
            <w:r>
              <w:rPr>
                <w:rFonts w:hint="eastAsia"/>
                <w:bCs/>
              </w:rPr>
              <w:t>0</w:t>
            </w:r>
          </w:p>
        </w:tc>
        <w:tc>
          <w:tcPr>
            <w:tcW w:w="622" w:type="pct"/>
            <w:vAlign w:val="center"/>
          </w:tcPr>
          <w:p w14:paraId="6B279E53">
            <w:pPr>
              <w:pStyle w:val="31"/>
              <w:ind w:firstLine="0" w:firstLineChars="0"/>
              <w:jc w:val="center"/>
              <w:rPr>
                <w:bCs/>
              </w:rPr>
            </w:pPr>
            <w:r>
              <w:rPr>
                <w:rFonts w:hint="eastAsia"/>
                <w:bCs/>
              </w:rPr>
              <w:t>0.04t/a</w:t>
            </w:r>
          </w:p>
        </w:tc>
        <w:tc>
          <w:tcPr>
            <w:tcW w:w="622" w:type="pct"/>
            <w:vAlign w:val="center"/>
          </w:tcPr>
          <w:p w14:paraId="69F1CBF0">
            <w:pPr>
              <w:pStyle w:val="31"/>
              <w:ind w:firstLine="0" w:firstLineChars="0"/>
              <w:jc w:val="center"/>
              <w:rPr>
                <w:bCs/>
              </w:rPr>
            </w:pPr>
            <w:r>
              <w:rPr>
                <w:rFonts w:hint="eastAsia"/>
                <w:bCs/>
              </w:rPr>
              <w:t>0</w:t>
            </w:r>
          </w:p>
        </w:tc>
      </w:tr>
      <w:tr w14:paraId="2CCD4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64A08A85">
            <w:pPr>
              <w:pStyle w:val="31"/>
              <w:ind w:firstLine="0" w:firstLineChars="0"/>
              <w:jc w:val="center"/>
              <w:rPr>
                <w:bCs/>
              </w:rPr>
            </w:pPr>
          </w:p>
        </w:tc>
        <w:tc>
          <w:tcPr>
            <w:tcW w:w="450" w:type="pct"/>
            <w:vAlign w:val="center"/>
          </w:tcPr>
          <w:p w14:paraId="7DEEF757">
            <w:pPr>
              <w:pStyle w:val="31"/>
              <w:ind w:firstLine="0" w:firstLineChars="0"/>
              <w:jc w:val="center"/>
              <w:rPr>
                <w:bCs/>
              </w:rPr>
            </w:pPr>
            <w:r>
              <w:rPr>
                <w:rFonts w:hint="eastAsia"/>
                <w:bCs/>
              </w:rPr>
              <w:t>废机油桶</w:t>
            </w:r>
          </w:p>
        </w:tc>
        <w:tc>
          <w:tcPr>
            <w:tcW w:w="486" w:type="pct"/>
            <w:vAlign w:val="center"/>
          </w:tcPr>
          <w:p w14:paraId="5393BB71">
            <w:pPr>
              <w:pStyle w:val="31"/>
              <w:ind w:firstLine="0" w:firstLineChars="0"/>
              <w:jc w:val="center"/>
              <w:rPr>
                <w:bCs/>
              </w:rPr>
            </w:pPr>
            <w:r>
              <w:rPr>
                <w:rFonts w:hint="eastAsia"/>
                <w:bCs/>
              </w:rPr>
              <w:t>/</w:t>
            </w:r>
          </w:p>
        </w:tc>
        <w:tc>
          <w:tcPr>
            <w:tcW w:w="621" w:type="pct"/>
            <w:vAlign w:val="center"/>
          </w:tcPr>
          <w:p w14:paraId="658ABB2F">
            <w:pPr>
              <w:pStyle w:val="31"/>
              <w:ind w:firstLine="0" w:firstLineChars="0"/>
              <w:jc w:val="center"/>
              <w:rPr>
                <w:bCs/>
              </w:rPr>
            </w:pPr>
            <w:r>
              <w:rPr>
                <w:rFonts w:hint="eastAsia"/>
                <w:bCs/>
              </w:rPr>
              <w:t>/</w:t>
            </w:r>
          </w:p>
        </w:tc>
        <w:tc>
          <w:tcPr>
            <w:tcW w:w="621" w:type="pct"/>
            <w:vAlign w:val="center"/>
          </w:tcPr>
          <w:p w14:paraId="163BF1D0">
            <w:pPr>
              <w:pStyle w:val="31"/>
              <w:ind w:firstLine="0" w:firstLineChars="0"/>
              <w:jc w:val="center"/>
              <w:rPr>
                <w:bCs/>
              </w:rPr>
            </w:pPr>
            <w:r>
              <w:rPr>
                <w:rFonts w:hint="eastAsia"/>
                <w:bCs/>
              </w:rPr>
              <w:t>/</w:t>
            </w:r>
          </w:p>
        </w:tc>
        <w:tc>
          <w:tcPr>
            <w:tcW w:w="622" w:type="pct"/>
            <w:vAlign w:val="center"/>
          </w:tcPr>
          <w:p w14:paraId="14B87615">
            <w:pPr>
              <w:pStyle w:val="31"/>
              <w:ind w:firstLine="0" w:firstLineChars="0"/>
              <w:jc w:val="center"/>
              <w:rPr>
                <w:bCs/>
              </w:rPr>
            </w:pPr>
            <w:r>
              <w:rPr>
                <w:rFonts w:hint="eastAsia"/>
                <w:bCs/>
              </w:rPr>
              <w:t>0.02t/a</w:t>
            </w:r>
          </w:p>
        </w:tc>
        <w:tc>
          <w:tcPr>
            <w:tcW w:w="622" w:type="pct"/>
            <w:vAlign w:val="center"/>
          </w:tcPr>
          <w:p w14:paraId="0396BBFB">
            <w:pPr>
              <w:pStyle w:val="31"/>
              <w:ind w:firstLine="0" w:firstLineChars="0"/>
              <w:jc w:val="center"/>
              <w:rPr>
                <w:bCs/>
              </w:rPr>
            </w:pPr>
            <w:r>
              <w:rPr>
                <w:rFonts w:hint="eastAsia"/>
                <w:bCs/>
              </w:rPr>
              <w:t>0</w:t>
            </w:r>
          </w:p>
        </w:tc>
        <w:tc>
          <w:tcPr>
            <w:tcW w:w="622" w:type="pct"/>
            <w:vAlign w:val="center"/>
          </w:tcPr>
          <w:p w14:paraId="48B63013">
            <w:pPr>
              <w:pStyle w:val="31"/>
              <w:ind w:firstLine="0" w:firstLineChars="0"/>
              <w:jc w:val="center"/>
              <w:rPr>
                <w:bCs/>
              </w:rPr>
            </w:pPr>
            <w:r>
              <w:rPr>
                <w:rFonts w:hint="eastAsia"/>
                <w:bCs/>
              </w:rPr>
              <w:t>0.02t/a</w:t>
            </w:r>
          </w:p>
        </w:tc>
        <w:tc>
          <w:tcPr>
            <w:tcW w:w="622" w:type="pct"/>
            <w:vAlign w:val="center"/>
          </w:tcPr>
          <w:p w14:paraId="105F22F8">
            <w:pPr>
              <w:pStyle w:val="31"/>
              <w:ind w:firstLine="0" w:firstLineChars="0"/>
              <w:jc w:val="center"/>
              <w:rPr>
                <w:bCs/>
              </w:rPr>
            </w:pPr>
            <w:r>
              <w:rPr>
                <w:rFonts w:hint="eastAsia"/>
                <w:bCs/>
              </w:rPr>
              <w:t>0</w:t>
            </w:r>
          </w:p>
        </w:tc>
      </w:tr>
      <w:tr w14:paraId="70A4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59C257B9">
            <w:pPr>
              <w:pStyle w:val="31"/>
              <w:ind w:firstLine="0" w:firstLineChars="0"/>
              <w:jc w:val="center"/>
              <w:rPr>
                <w:bCs/>
              </w:rPr>
            </w:pPr>
          </w:p>
        </w:tc>
        <w:tc>
          <w:tcPr>
            <w:tcW w:w="450" w:type="pct"/>
            <w:vAlign w:val="center"/>
          </w:tcPr>
          <w:p w14:paraId="0FAC49EC">
            <w:pPr>
              <w:pStyle w:val="31"/>
              <w:ind w:firstLine="0" w:firstLineChars="0"/>
              <w:jc w:val="center"/>
              <w:rPr>
                <w:bCs/>
              </w:rPr>
            </w:pPr>
            <w:r>
              <w:rPr>
                <w:rFonts w:hint="eastAsia"/>
                <w:bCs/>
              </w:rPr>
              <w:t>废油墨瓶</w:t>
            </w:r>
          </w:p>
        </w:tc>
        <w:tc>
          <w:tcPr>
            <w:tcW w:w="486" w:type="pct"/>
            <w:vAlign w:val="center"/>
          </w:tcPr>
          <w:p w14:paraId="5F9CA3EC">
            <w:pPr>
              <w:pStyle w:val="31"/>
              <w:ind w:firstLine="0" w:firstLineChars="0"/>
              <w:jc w:val="center"/>
              <w:rPr>
                <w:bCs/>
              </w:rPr>
            </w:pPr>
            <w:r>
              <w:rPr>
                <w:rFonts w:hint="eastAsia"/>
                <w:bCs/>
              </w:rPr>
              <w:t>/</w:t>
            </w:r>
          </w:p>
        </w:tc>
        <w:tc>
          <w:tcPr>
            <w:tcW w:w="621" w:type="pct"/>
            <w:vAlign w:val="center"/>
          </w:tcPr>
          <w:p w14:paraId="17496FA0">
            <w:pPr>
              <w:pStyle w:val="31"/>
              <w:ind w:firstLine="0" w:firstLineChars="0"/>
              <w:jc w:val="center"/>
              <w:rPr>
                <w:bCs/>
              </w:rPr>
            </w:pPr>
            <w:r>
              <w:rPr>
                <w:rFonts w:hint="eastAsia"/>
                <w:bCs/>
              </w:rPr>
              <w:t>/</w:t>
            </w:r>
          </w:p>
        </w:tc>
        <w:tc>
          <w:tcPr>
            <w:tcW w:w="621" w:type="pct"/>
            <w:vAlign w:val="center"/>
          </w:tcPr>
          <w:p w14:paraId="774C0D43">
            <w:pPr>
              <w:pStyle w:val="31"/>
              <w:ind w:firstLine="0" w:firstLineChars="0"/>
              <w:jc w:val="center"/>
              <w:rPr>
                <w:bCs/>
              </w:rPr>
            </w:pPr>
            <w:r>
              <w:rPr>
                <w:rFonts w:hint="eastAsia"/>
                <w:bCs/>
              </w:rPr>
              <w:t>/</w:t>
            </w:r>
          </w:p>
        </w:tc>
        <w:tc>
          <w:tcPr>
            <w:tcW w:w="622" w:type="pct"/>
            <w:vAlign w:val="center"/>
          </w:tcPr>
          <w:p w14:paraId="3BA5AFC3">
            <w:pPr>
              <w:pStyle w:val="31"/>
              <w:ind w:firstLine="0" w:firstLineChars="0"/>
              <w:jc w:val="center"/>
              <w:rPr>
                <w:bCs/>
              </w:rPr>
            </w:pPr>
            <w:r>
              <w:rPr>
                <w:rFonts w:hint="eastAsia"/>
                <w:bCs/>
              </w:rPr>
              <w:t>0.08t/a</w:t>
            </w:r>
          </w:p>
        </w:tc>
        <w:tc>
          <w:tcPr>
            <w:tcW w:w="622" w:type="pct"/>
            <w:vAlign w:val="center"/>
          </w:tcPr>
          <w:p w14:paraId="5E549F62">
            <w:pPr>
              <w:pStyle w:val="31"/>
              <w:ind w:firstLine="0" w:firstLineChars="0"/>
              <w:jc w:val="center"/>
              <w:rPr>
                <w:bCs/>
              </w:rPr>
            </w:pPr>
            <w:r>
              <w:rPr>
                <w:rFonts w:hint="eastAsia"/>
                <w:bCs/>
              </w:rPr>
              <w:t>0</w:t>
            </w:r>
          </w:p>
        </w:tc>
        <w:tc>
          <w:tcPr>
            <w:tcW w:w="622" w:type="pct"/>
            <w:vAlign w:val="center"/>
          </w:tcPr>
          <w:p w14:paraId="6F7360BE">
            <w:pPr>
              <w:pStyle w:val="31"/>
              <w:ind w:firstLine="0" w:firstLineChars="0"/>
              <w:jc w:val="center"/>
              <w:rPr>
                <w:bCs/>
              </w:rPr>
            </w:pPr>
            <w:r>
              <w:rPr>
                <w:rFonts w:hint="eastAsia"/>
                <w:bCs/>
              </w:rPr>
              <w:t>0.08t/a</w:t>
            </w:r>
          </w:p>
        </w:tc>
        <w:tc>
          <w:tcPr>
            <w:tcW w:w="622" w:type="pct"/>
            <w:vAlign w:val="center"/>
          </w:tcPr>
          <w:p w14:paraId="385359AD">
            <w:pPr>
              <w:pStyle w:val="31"/>
              <w:ind w:firstLine="0" w:firstLineChars="0"/>
              <w:jc w:val="center"/>
              <w:rPr>
                <w:bCs/>
              </w:rPr>
            </w:pPr>
            <w:r>
              <w:rPr>
                <w:rFonts w:hint="eastAsia"/>
                <w:bCs/>
              </w:rPr>
              <w:t>0</w:t>
            </w:r>
          </w:p>
        </w:tc>
      </w:tr>
      <w:tr w14:paraId="184B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2" w:type="pct"/>
            <w:vMerge w:val="continue"/>
            <w:vAlign w:val="center"/>
          </w:tcPr>
          <w:p w14:paraId="6214C8A0">
            <w:pPr>
              <w:pStyle w:val="31"/>
              <w:ind w:firstLine="0" w:firstLineChars="0"/>
              <w:jc w:val="center"/>
              <w:rPr>
                <w:bCs/>
              </w:rPr>
            </w:pPr>
          </w:p>
        </w:tc>
        <w:tc>
          <w:tcPr>
            <w:tcW w:w="450" w:type="pct"/>
            <w:vAlign w:val="center"/>
          </w:tcPr>
          <w:p w14:paraId="526194D7">
            <w:pPr>
              <w:pStyle w:val="31"/>
              <w:ind w:firstLine="0" w:firstLineChars="0"/>
              <w:jc w:val="center"/>
              <w:rPr>
                <w:bCs/>
              </w:rPr>
            </w:pPr>
            <w:r>
              <w:rPr>
                <w:rFonts w:hint="eastAsia"/>
                <w:bCs/>
              </w:rPr>
              <w:t>废活性炭</w:t>
            </w:r>
          </w:p>
        </w:tc>
        <w:tc>
          <w:tcPr>
            <w:tcW w:w="486" w:type="pct"/>
            <w:vAlign w:val="center"/>
          </w:tcPr>
          <w:p w14:paraId="0497D978">
            <w:pPr>
              <w:pStyle w:val="31"/>
              <w:ind w:firstLine="0" w:firstLineChars="0"/>
              <w:jc w:val="center"/>
              <w:rPr>
                <w:bCs/>
              </w:rPr>
            </w:pPr>
            <w:r>
              <w:rPr>
                <w:rFonts w:hint="eastAsia"/>
                <w:bCs/>
              </w:rPr>
              <w:t>/</w:t>
            </w:r>
          </w:p>
        </w:tc>
        <w:tc>
          <w:tcPr>
            <w:tcW w:w="621" w:type="pct"/>
            <w:vAlign w:val="center"/>
          </w:tcPr>
          <w:p w14:paraId="507E9082">
            <w:pPr>
              <w:pStyle w:val="31"/>
              <w:ind w:firstLine="0" w:firstLineChars="0"/>
              <w:jc w:val="center"/>
              <w:rPr>
                <w:bCs/>
              </w:rPr>
            </w:pPr>
            <w:r>
              <w:rPr>
                <w:rFonts w:hint="eastAsia"/>
                <w:bCs/>
              </w:rPr>
              <w:t>/</w:t>
            </w:r>
          </w:p>
        </w:tc>
        <w:tc>
          <w:tcPr>
            <w:tcW w:w="621" w:type="pct"/>
            <w:vAlign w:val="center"/>
          </w:tcPr>
          <w:p w14:paraId="227AA2BF">
            <w:pPr>
              <w:pStyle w:val="31"/>
              <w:ind w:firstLine="0" w:firstLineChars="0"/>
              <w:jc w:val="center"/>
              <w:rPr>
                <w:bCs/>
              </w:rPr>
            </w:pPr>
            <w:r>
              <w:rPr>
                <w:rFonts w:hint="eastAsia"/>
                <w:bCs/>
              </w:rPr>
              <w:t>/</w:t>
            </w:r>
          </w:p>
        </w:tc>
        <w:tc>
          <w:tcPr>
            <w:tcW w:w="622" w:type="pct"/>
            <w:vAlign w:val="center"/>
          </w:tcPr>
          <w:p w14:paraId="55C232DB">
            <w:pPr>
              <w:pStyle w:val="31"/>
              <w:ind w:firstLine="0" w:firstLineChars="0"/>
              <w:jc w:val="center"/>
              <w:rPr>
                <w:bCs/>
              </w:rPr>
            </w:pPr>
            <w:r>
              <w:rPr>
                <w:rFonts w:hint="eastAsia"/>
                <w:bCs/>
              </w:rPr>
              <w:t>61.62t/a</w:t>
            </w:r>
          </w:p>
        </w:tc>
        <w:tc>
          <w:tcPr>
            <w:tcW w:w="622" w:type="pct"/>
            <w:vAlign w:val="center"/>
          </w:tcPr>
          <w:p w14:paraId="1625E19D">
            <w:pPr>
              <w:pStyle w:val="31"/>
              <w:ind w:firstLine="0" w:firstLineChars="0"/>
              <w:jc w:val="center"/>
              <w:rPr>
                <w:bCs/>
              </w:rPr>
            </w:pPr>
            <w:r>
              <w:rPr>
                <w:rFonts w:hint="eastAsia"/>
                <w:bCs/>
              </w:rPr>
              <w:t>0</w:t>
            </w:r>
          </w:p>
        </w:tc>
        <w:tc>
          <w:tcPr>
            <w:tcW w:w="622" w:type="pct"/>
            <w:vAlign w:val="center"/>
          </w:tcPr>
          <w:p w14:paraId="464D06A5">
            <w:pPr>
              <w:pStyle w:val="31"/>
              <w:ind w:firstLine="0" w:firstLineChars="0"/>
              <w:jc w:val="center"/>
              <w:rPr>
                <w:bCs/>
              </w:rPr>
            </w:pPr>
            <w:r>
              <w:rPr>
                <w:rFonts w:hint="eastAsia"/>
                <w:bCs/>
              </w:rPr>
              <w:t>61.62t/a</w:t>
            </w:r>
          </w:p>
        </w:tc>
        <w:tc>
          <w:tcPr>
            <w:tcW w:w="622" w:type="pct"/>
            <w:vAlign w:val="center"/>
          </w:tcPr>
          <w:p w14:paraId="1404D424">
            <w:pPr>
              <w:pStyle w:val="31"/>
              <w:ind w:firstLine="0" w:firstLineChars="0"/>
              <w:jc w:val="center"/>
              <w:rPr>
                <w:bCs/>
              </w:rPr>
            </w:pPr>
            <w:r>
              <w:rPr>
                <w:rFonts w:hint="eastAsia"/>
                <w:bCs/>
              </w:rPr>
              <w:t>0</w:t>
            </w:r>
          </w:p>
        </w:tc>
      </w:tr>
    </w:tbl>
    <w:p w14:paraId="2B6B7816"/>
    <w:p w14:paraId="35B393C1"/>
    <w:sectPr>
      <w:pgSz w:w="16838" w:h="11906" w:orient="landscape"/>
      <w:pgMar w:top="1247" w:right="1247"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A3B1F19-BADD-4F91-AC77-5E5A2AC51393}"/>
  </w:font>
  <w:font w:name="黑体">
    <w:panose1 w:val="02010609060101010101"/>
    <w:charset w:val="86"/>
    <w:family w:val="auto"/>
    <w:pitch w:val="default"/>
    <w:sig w:usb0="800002BF" w:usb1="38CF7CFA" w:usb2="00000016" w:usb3="00000000" w:csb0="00040001" w:csb1="00000000"/>
    <w:embedRegular r:id="rId2" w:fontKey="{350C2F31-7063-4F3A-859E-15E1747D10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微软雅黑"/>
    <w:panose1 w:val="02010609030101010101"/>
    <w:charset w:val="86"/>
    <w:family w:val="modern"/>
    <w:pitch w:val="default"/>
    <w:sig w:usb0="00000001" w:usb1="080E0000" w:usb2="00000000" w:usb3="00000000" w:csb0="00040000" w:csb1="00000000"/>
    <w:embedRegular r:id="rId3" w:fontKey="{06CD2A39-938C-4A7D-9430-792B842CD257}"/>
  </w:font>
  <w:font w:name="方正小标宋_GBK">
    <w:panose1 w:val="02000000000000000000"/>
    <w:charset w:val="86"/>
    <w:family w:val="script"/>
    <w:pitch w:val="default"/>
    <w:sig w:usb0="A00002BF" w:usb1="38CF7CFA" w:usb2="00082016" w:usb3="00000000" w:csb0="00040001" w:csb1="00000000"/>
    <w:embedRegular r:id="rId4" w:fontKey="{58A8C8A5-82A9-47C3-BA3D-9C64D54546E3}"/>
  </w:font>
  <w:font w:name="楷体_GB2312">
    <w:altName w:val="楷体"/>
    <w:panose1 w:val="00000000000000000000"/>
    <w:charset w:val="86"/>
    <w:family w:val="modern"/>
    <w:pitch w:val="default"/>
    <w:sig w:usb0="00000000" w:usb1="00000000" w:usb2="00000010" w:usb3="00000000" w:csb0="00040000" w:csb1="00000000"/>
    <w:embedRegular r:id="rId5" w:fontKey="{B06EE980-493D-461E-8BED-846D33C513E4}"/>
  </w:font>
  <w:font w:name="Wingdings 2">
    <w:panose1 w:val="05020102010507070707"/>
    <w:charset w:val="02"/>
    <w:family w:val="roman"/>
    <w:pitch w:val="default"/>
    <w:sig w:usb0="00000000" w:usb1="00000000" w:usb2="00000000" w:usb3="00000000" w:csb0="80000000" w:csb1="00000000"/>
    <w:embedRegular r:id="rId6" w:fontKey="{F56CBF2A-6E52-4F9F-B4C1-F7E6113024F6}"/>
  </w:font>
  <w:font w:name="Cambria Math">
    <w:panose1 w:val="02040503050406030204"/>
    <w:charset w:val="00"/>
    <w:family w:val="roman"/>
    <w:pitch w:val="default"/>
    <w:sig w:usb0="E00006FF" w:usb1="420024FF" w:usb2="02000000" w:usb3="00000000" w:csb0="2000019F" w:csb1="00000000"/>
    <w:embedRegular r:id="rId7" w:fontKey="{957CF0F7-DB3C-4A7A-93BE-735DEE191315}"/>
  </w:font>
  <w:font w:name="微软雅黑">
    <w:panose1 w:val="020B0503020204020204"/>
    <w:charset w:val="86"/>
    <w:family w:val="swiss"/>
    <w:pitch w:val="default"/>
    <w:sig w:usb0="80000287" w:usb1="2ACF3C50" w:usb2="00000016" w:usb3="00000000" w:csb0="0004001F" w:csb1="00000000"/>
    <w:embedRegular r:id="rId8" w:fontKey="{875EE954-81F9-4311-B64B-FE5CEF1654A4}"/>
  </w:font>
  <w:font w:name="等线">
    <w:panose1 w:val="02010600030101010101"/>
    <w:charset w:val="86"/>
    <w:family w:val="auto"/>
    <w:pitch w:val="default"/>
    <w:sig w:usb0="A00002BF" w:usb1="38CF7CFA" w:usb2="00000016" w:usb3="00000000" w:csb0="0004000F" w:csb1="00000000"/>
    <w:embedRegular r:id="rId9" w:fontKey="{CA44BF46-705D-4B38-B7ED-4D6DEDCA3322}"/>
  </w:font>
  <w:font w:name="Times New Roman Regular">
    <w:altName w:val="Times New Roman"/>
    <w:panose1 w:val="00000000000000000000"/>
    <w:charset w:val="00"/>
    <w:family w:val="auto"/>
    <w:pitch w:val="default"/>
    <w:sig w:usb0="00000000" w:usb1="00000000" w:usb2="00000001" w:usb3="00000000" w:csb0="400001BF" w:csb1="DFF70000"/>
    <w:embedRegular r:id="rId10" w:fontKey="{13449758-1313-46FC-9619-E8A6BE9F2664}"/>
  </w:font>
  <w:font w:name="WPSEMBED1">
    <w:panose1 w:val="02010609030101010101"/>
    <w:charset w:val="86"/>
    <w:family w:val="auto"/>
    <w:pitch w:val="default"/>
    <w:sig w:usb0="00000001" w:usb1="080E0000" w:usb2="00000000" w:usb3="00000000" w:csb0="00040000" w:csb1="00000000"/>
  </w:font>
  <w:font w:name="WPSEMBED2">
    <w:panose1 w:val="02000000000000000000"/>
    <w:charset w:val="86"/>
    <w:family w:val="auto"/>
    <w:pitch w:val="default"/>
    <w:sig w:usb0="A00002BF" w:usb1="38CF7CFA" w:usb2="00082016" w:usb3="00000000" w:csb0="00040001"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BCA17">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A7F5F">
    <w:pPr>
      <w:pStyle w:val="11"/>
      <w:framePr w:wrap="around" w:vAnchor="text" w:hAnchor="margin" w:xAlign="center" w:y="1"/>
      <w:rPr>
        <w:rStyle w:val="18"/>
      </w:rPr>
    </w:pPr>
    <w:r>
      <w:fldChar w:fldCharType="begin"/>
    </w:r>
    <w:r>
      <w:rPr>
        <w:rStyle w:val="18"/>
      </w:rPr>
      <w:instrText xml:space="preserve">PAGE  </w:instrText>
    </w:r>
    <w:r>
      <w:fldChar w:fldCharType="end"/>
    </w:r>
  </w:p>
  <w:p w14:paraId="41B52678">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67B0F">
    <w:pPr>
      <w:pStyle w:val="11"/>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141605</wp:posOffset>
              </wp:positionV>
              <wp:extent cx="1828800" cy="1828800"/>
              <wp:effectExtent l="0" t="0" r="0" b="0"/>
              <wp:wrapNone/>
              <wp:docPr id="2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B0C6D1">
                          <w:pPr>
                            <w:pStyle w:val="11"/>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11.15pt;height:144pt;width:144pt;mso-position-horizontal:center;mso-position-horizontal-relative:margin;mso-wrap-style:none;z-index:251659264;mso-width-relative:page;mso-height-relative:page;" filled="f" stroked="f" coordsize="21600,21600" o:gfxdata="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7K/UfTAAAABwEAAA8AAAAAAAAAAQAgAAAAIgAAAGRycy9kb3ducmV2Lnht&#10;bFBLAQIUABQAAAAIAIdO4kDbe5cDxQEAAJEDAAAOAAAAAAAAAAEAIAAAACIBAABkcnMvZTJvRG9j&#10;LnhtbFBLBQYAAAAABgAGAFkBAABZBQAAAAA=&#10;">
              <v:fill on="f" focussize="0,0"/>
              <v:stroke on="f"/>
              <v:imagedata o:title=""/>
              <o:lock v:ext="edit" aspectratio="f"/>
              <v:textbox inset="0mm,0mm,0mm,0mm" style="mso-fit-shape-to-text:t;">
                <w:txbxContent>
                  <w:p w14:paraId="00B0C6D1">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24B10">
    <w:pPr>
      <w:pStyle w:val="11"/>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141605</wp:posOffset>
              </wp:positionV>
              <wp:extent cx="1828800" cy="1828800"/>
              <wp:effectExtent l="0" t="0" r="0" b="0"/>
              <wp:wrapNone/>
              <wp:docPr id="10"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04EEBE">
                          <w:pPr>
                            <w:pStyle w:val="11"/>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11.15pt;height:144pt;width:144pt;mso-position-horizontal:center;mso-position-horizontal-relative:margin;mso-wrap-style:none;z-index:251660288;mso-width-relative:page;mso-height-relative:page;" filled="f" stroked="f" coordsize="21600,21600" o:gfxdata="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yv1H0wAAAAcBAAAPAAAAAAAAAAEAIAAAACIAAABkcnMvZG93bnJldi54bWxQ&#10;SwECFAAUAAAACACHTuJAK53M/cMBAACRAwAADgAAAAAAAAABACAAAAAiAQAAZHJzL2Uyb0RvYy54&#10;bWxQSwUGAAAAAAYABgBZAQAAVwUAAAAA&#10;">
              <v:fill on="f" focussize="0,0"/>
              <v:stroke on="f"/>
              <v:imagedata o:title=""/>
              <o:lock v:ext="edit" aspectratio="f"/>
              <v:textbox inset="0mm,0mm,0mm,0mm" style="mso-fit-shape-to-text:t;">
                <w:txbxContent>
                  <w:p w14:paraId="4C04EEBE">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2FD4D">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7562F">
    <w:pPr>
      <w:pStyle w:val="1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916B92"/>
    <w:multiLevelType w:val="multilevel"/>
    <w:tmpl w:val="AE916B92"/>
    <w:lvl w:ilvl="0" w:tentative="0">
      <w:start w:val="1"/>
      <w:numFmt w:val="chineseCounting"/>
      <w:suff w:val="nothing"/>
      <w:lvlText w:val="第%1章 "/>
      <w:lvlJc w:val="left"/>
      <w:pPr>
        <w:ind w:left="425" w:hanging="425"/>
      </w:pPr>
      <w:rPr>
        <w:rFonts w:hint="eastAsia"/>
      </w:rPr>
    </w:lvl>
    <w:lvl w:ilvl="1" w:tentative="0">
      <w:start w:val="1"/>
      <w:numFmt w:val="decimal"/>
      <w:pStyle w:val="21"/>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1">
    <w:nsid w:val="30B90227"/>
    <w:multiLevelType w:val="multilevel"/>
    <w:tmpl w:val="30B90227"/>
    <w:lvl w:ilvl="0" w:tentative="0">
      <w:start w:val="1"/>
      <w:numFmt w:val="chineseCounting"/>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pStyle w:val="22"/>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abstractNum w:abstractNumId="2">
    <w:nsid w:val="63EB03ED"/>
    <w:multiLevelType w:val="multilevel"/>
    <w:tmpl w:val="63EB03ED"/>
    <w:lvl w:ilvl="0" w:tentative="0">
      <w:start w:val="1"/>
      <w:numFmt w:val="chineseCounting"/>
      <w:pStyle w:val="20"/>
      <w:suff w:val="nothing"/>
      <w:lvlText w:val="第%1章 "/>
      <w:lvlJc w:val="left"/>
      <w:pPr>
        <w:ind w:left="425" w:hanging="425"/>
      </w:pPr>
      <w:rPr>
        <w:rFonts w:hint="eastAsia"/>
      </w:rPr>
    </w:lvl>
    <w:lvl w:ilvl="1" w:tentative="0">
      <w:start w:val="1"/>
      <w:numFmt w:val="decimal"/>
      <w:isLgl/>
      <w:lvlText w:val="%1.%2."/>
      <w:lvlJc w:val="left"/>
      <w:pPr>
        <w:ind w:left="567" w:hanging="567"/>
      </w:pPr>
      <w:rPr>
        <w:rFonts w:hint="eastAsia"/>
      </w:rPr>
    </w:lvl>
    <w:lvl w:ilvl="2" w:tentative="0">
      <w:start w:val="1"/>
      <w:numFmt w:val="decimal"/>
      <w:isLgl/>
      <w:lvlText w:val="%1.%2.%3."/>
      <w:lvlJc w:val="left"/>
      <w:pPr>
        <w:ind w:left="709" w:hanging="709"/>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I  DO">
    <w15:presenceInfo w15:providerId="WPS Office" w15:userId="16885232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embedTrueTypeFonts/>
  <w:saveSubsetFonts/>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501FF8"/>
    <w:rsid w:val="00034B9C"/>
    <w:rsid w:val="0007430C"/>
    <w:rsid w:val="000A3FB4"/>
    <w:rsid w:val="000A7B7A"/>
    <w:rsid w:val="000C695B"/>
    <w:rsid w:val="000D5D1E"/>
    <w:rsid w:val="000E093F"/>
    <w:rsid w:val="000E215D"/>
    <w:rsid w:val="0010719D"/>
    <w:rsid w:val="001353FE"/>
    <w:rsid w:val="001546D6"/>
    <w:rsid w:val="00160AE9"/>
    <w:rsid w:val="00171609"/>
    <w:rsid w:val="001839B2"/>
    <w:rsid w:val="00190D20"/>
    <w:rsid w:val="001D18AD"/>
    <w:rsid w:val="001F1BC0"/>
    <w:rsid w:val="001F34F3"/>
    <w:rsid w:val="00227083"/>
    <w:rsid w:val="00234563"/>
    <w:rsid w:val="00237231"/>
    <w:rsid w:val="00264CB3"/>
    <w:rsid w:val="00270ED9"/>
    <w:rsid w:val="002840F6"/>
    <w:rsid w:val="002908CC"/>
    <w:rsid w:val="00292BB1"/>
    <w:rsid w:val="002D6368"/>
    <w:rsid w:val="002D6433"/>
    <w:rsid w:val="002E5733"/>
    <w:rsid w:val="002F07EA"/>
    <w:rsid w:val="0031375B"/>
    <w:rsid w:val="003158A2"/>
    <w:rsid w:val="00330A76"/>
    <w:rsid w:val="00352E60"/>
    <w:rsid w:val="0036207F"/>
    <w:rsid w:val="003C246C"/>
    <w:rsid w:val="003C7313"/>
    <w:rsid w:val="003D16E6"/>
    <w:rsid w:val="003E34DF"/>
    <w:rsid w:val="003E7874"/>
    <w:rsid w:val="00403DC9"/>
    <w:rsid w:val="00415349"/>
    <w:rsid w:val="00415A75"/>
    <w:rsid w:val="0043400F"/>
    <w:rsid w:val="004353F6"/>
    <w:rsid w:val="00455785"/>
    <w:rsid w:val="0049237E"/>
    <w:rsid w:val="004D51D4"/>
    <w:rsid w:val="0050224F"/>
    <w:rsid w:val="00502529"/>
    <w:rsid w:val="00521E18"/>
    <w:rsid w:val="005335D5"/>
    <w:rsid w:val="005359EE"/>
    <w:rsid w:val="00550184"/>
    <w:rsid w:val="005539E1"/>
    <w:rsid w:val="005A1A82"/>
    <w:rsid w:val="005D23FB"/>
    <w:rsid w:val="005E2774"/>
    <w:rsid w:val="005E7C32"/>
    <w:rsid w:val="005F1556"/>
    <w:rsid w:val="00613DBC"/>
    <w:rsid w:val="00640020"/>
    <w:rsid w:val="006425DD"/>
    <w:rsid w:val="00653B44"/>
    <w:rsid w:val="00655C4D"/>
    <w:rsid w:val="00655D7B"/>
    <w:rsid w:val="00660E4D"/>
    <w:rsid w:val="006867BD"/>
    <w:rsid w:val="00697352"/>
    <w:rsid w:val="006D252E"/>
    <w:rsid w:val="006D4253"/>
    <w:rsid w:val="006F2FFF"/>
    <w:rsid w:val="0070400E"/>
    <w:rsid w:val="00707EF2"/>
    <w:rsid w:val="007120DD"/>
    <w:rsid w:val="007200AF"/>
    <w:rsid w:val="00730D53"/>
    <w:rsid w:val="00754AEB"/>
    <w:rsid w:val="00761ACD"/>
    <w:rsid w:val="00762E31"/>
    <w:rsid w:val="00770558"/>
    <w:rsid w:val="0078299F"/>
    <w:rsid w:val="0079424A"/>
    <w:rsid w:val="007A2D02"/>
    <w:rsid w:val="007A306E"/>
    <w:rsid w:val="007E5320"/>
    <w:rsid w:val="007E5413"/>
    <w:rsid w:val="007F1495"/>
    <w:rsid w:val="008754F0"/>
    <w:rsid w:val="00882E28"/>
    <w:rsid w:val="008C6948"/>
    <w:rsid w:val="008E0B32"/>
    <w:rsid w:val="008E621B"/>
    <w:rsid w:val="00901481"/>
    <w:rsid w:val="009068AB"/>
    <w:rsid w:val="00923C1D"/>
    <w:rsid w:val="00924256"/>
    <w:rsid w:val="00931D32"/>
    <w:rsid w:val="009427A7"/>
    <w:rsid w:val="00985F46"/>
    <w:rsid w:val="0099415F"/>
    <w:rsid w:val="00997771"/>
    <w:rsid w:val="009A3295"/>
    <w:rsid w:val="009A59FF"/>
    <w:rsid w:val="009B209A"/>
    <w:rsid w:val="009C1F51"/>
    <w:rsid w:val="009D0432"/>
    <w:rsid w:val="009D1093"/>
    <w:rsid w:val="009D43FC"/>
    <w:rsid w:val="009E524C"/>
    <w:rsid w:val="009F44DD"/>
    <w:rsid w:val="009F5CA8"/>
    <w:rsid w:val="00A10718"/>
    <w:rsid w:val="00A20C05"/>
    <w:rsid w:val="00A44CE1"/>
    <w:rsid w:val="00A7710E"/>
    <w:rsid w:val="00A90BC9"/>
    <w:rsid w:val="00AA0FEF"/>
    <w:rsid w:val="00AB0266"/>
    <w:rsid w:val="00AB3F51"/>
    <w:rsid w:val="00AC65AC"/>
    <w:rsid w:val="00AE3BD7"/>
    <w:rsid w:val="00AF772F"/>
    <w:rsid w:val="00B104D0"/>
    <w:rsid w:val="00B40CF8"/>
    <w:rsid w:val="00B562A5"/>
    <w:rsid w:val="00B80FD9"/>
    <w:rsid w:val="00B9772D"/>
    <w:rsid w:val="00BA5199"/>
    <w:rsid w:val="00BC0705"/>
    <w:rsid w:val="00BC5F75"/>
    <w:rsid w:val="00BC709E"/>
    <w:rsid w:val="00BD24ED"/>
    <w:rsid w:val="00BF3B7B"/>
    <w:rsid w:val="00C13010"/>
    <w:rsid w:val="00C147EB"/>
    <w:rsid w:val="00C26DCB"/>
    <w:rsid w:val="00C364D9"/>
    <w:rsid w:val="00C50384"/>
    <w:rsid w:val="00C632B8"/>
    <w:rsid w:val="00C77EFF"/>
    <w:rsid w:val="00C936BD"/>
    <w:rsid w:val="00CC3537"/>
    <w:rsid w:val="00CD3E22"/>
    <w:rsid w:val="00CF0BE7"/>
    <w:rsid w:val="00CF15D3"/>
    <w:rsid w:val="00D1308A"/>
    <w:rsid w:val="00D421B7"/>
    <w:rsid w:val="00D554B4"/>
    <w:rsid w:val="00D63C53"/>
    <w:rsid w:val="00D90139"/>
    <w:rsid w:val="00D92510"/>
    <w:rsid w:val="00DB626B"/>
    <w:rsid w:val="00DD15FB"/>
    <w:rsid w:val="00DE51A5"/>
    <w:rsid w:val="00DF3182"/>
    <w:rsid w:val="00E35E62"/>
    <w:rsid w:val="00E41D39"/>
    <w:rsid w:val="00E42962"/>
    <w:rsid w:val="00E718DB"/>
    <w:rsid w:val="00E92FEC"/>
    <w:rsid w:val="00E97BB9"/>
    <w:rsid w:val="00EA45D6"/>
    <w:rsid w:val="00EA771A"/>
    <w:rsid w:val="00EB11D1"/>
    <w:rsid w:val="00F139D4"/>
    <w:rsid w:val="00F57E58"/>
    <w:rsid w:val="00F609CA"/>
    <w:rsid w:val="00F648CD"/>
    <w:rsid w:val="00F729D9"/>
    <w:rsid w:val="00F94B67"/>
    <w:rsid w:val="00FA7E15"/>
    <w:rsid w:val="00FD1825"/>
    <w:rsid w:val="00FD21D1"/>
    <w:rsid w:val="03C76963"/>
    <w:rsid w:val="043D25B4"/>
    <w:rsid w:val="099A2423"/>
    <w:rsid w:val="0AD63435"/>
    <w:rsid w:val="0D0C74F8"/>
    <w:rsid w:val="0EDE1004"/>
    <w:rsid w:val="11765524"/>
    <w:rsid w:val="13BD1242"/>
    <w:rsid w:val="17885D28"/>
    <w:rsid w:val="17997E32"/>
    <w:rsid w:val="18550589"/>
    <w:rsid w:val="19B07667"/>
    <w:rsid w:val="1A6F2D81"/>
    <w:rsid w:val="1BD76D0E"/>
    <w:rsid w:val="1FE8583F"/>
    <w:rsid w:val="292C49EE"/>
    <w:rsid w:val="29C63095"/>
    <w:rsid w:val="2D3B42B5"/>
    <w:rsid w:val="2E316157"/>
    <w:rsid w:val="32EC251B"/>
    <w:rsid w:val="3349066E"/>
    <w:rsid w:val="3566572C"/>
    <w:rsid w:val="39AA78DB"/>
    <w:rsid w:val="3A0D38CD"/>
    <w:rsid w:val="3AA46CFD"/>
    <w:rsid w:val="3B197236"/>
    <w:rsid w:val="3EB84D78"/>
    <w:rsid w:val="3F5078EC"/>
    <w:rsid w:val="42BF46CD"/>
    <w:rsid w:val="44DA1249"/>
    <w:rsid w:val="45156827"/>
    <w:rsid w:val="45723297"/>
    <w:rsid w:val="46205483"/>
    <w:rsid w:val="468F3EE3"/>
    <w:rsid w:val="46C2653A"/>
    <w:rsid w:val="47BA5463"/>
    <w:rsid w:val="4B710AE2"/>
    <w:rsid w:val="4BB943B0"/>
    <w:rsid w:val="4FC41575"/>
    <w:rsid w:val="4FC43323"/>
    <w:rsid w:val="535250BD"/>
    <w:rsid w:val="55766E6E"/>
    <w:rsid w:val="59926240"/>
    <w:rsid w:val="5B8D3163"/>
    <w:rsid w:val="5BF20FED"/>
    <w:rsid w:val="5F042A70"/>
    <w:rsid w:val="600503C7"/>
    <w:rsid w:val="61055083"/>
    <w:rsid w:val="61A134C4"/>
    <w:rsid w:val="62C85073"/>
    <w:rsid w:val="630D40BF"/>
    <w:rsid w:val="63B636A5"/>
    <w:rsid w:val="6597673B"/>
    <w:rsid w:val="669F0140"/>
    <w:rsid w:val="68BF3BE6"/>
    <w:rsid w:val="69B05BA9"/>
    <w:rsid w:val="6CC1668B"/>
    <w:rsid w:val="6FEB5AE8"/>
    <w:rsid w:val="74501FF8"/>
    <w:rsid w:val="74720731"/>
    <w:rsid w:val="75CD1C51"/>
    <w:rsid w:val="7AB71C44"/>
    <w:rsid w:val="7B38234C"/>
    <w:rsid w:val="7C1728A9"/>
    <w:rsid w:val="7CAD0B17"/>
    <w:rsid w:val="EEFBA75C"/>
    <w:rsid w:val="FF7E1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4"/>
    <w:basedOn w:val="1"/>
    <w:next w:val="1"/>
    <w:qFormat/>
    <w:uiPriority w:val="9"/>
    <w:pPr>
      <w:keepNext/>
      <w:keepLines/>
      <w:spacing w:before="280" w:after="290" w:line="372" w:lineRule="auto"/>
      <w:outlineLvl w:val="3"/>
    </w:pPr>
    <w:rPr>
      <w:rFonts w:ascii="Arial" w:hAnsi="Arial" w:eastAsia="黑体"/>
      <w:b/>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next w:val="4"/>
    <w:qFormat/>
    <w:uiPriority w:val="99"/>
    <w:pPr>
      <w:ind w:firstLine="420" w:firstLineChars="200"/>
    </w:pPr>
    <w:rPr>
      <w:sz w:val="21"/>
    </w:rPr>
  </w:style>
  <w:style w:type="paragraph" w:customStyle="1" w:styleId="4">
    <w:name w:val="正文首行缩进2个字 Char"/>
    <w:basedOn w:val="1"/>
    <w:qFormat/>
    <w:uiPriority w:val="0"/>
    <w:pPr>
      <w:ind w:firstLine="480" w:firstLineChars="200"/>
    </w:pPr>
    <w:rPr>
      <w:rFonts w:eastAsia="楷体"/>
    </w:rPr>
  </w:style>
  <w:style w:type="paragraph" w:styleId="5">
    <w:name w:val="caption"/>
    <w:basedOn w:val="1"/>
    <w:next w:val="1"/>
    <w:qFormat/>
    <w:uiPriority w:val="0"/>
    <w:pPr>
      <w:spacing w:before="120" w:line="360" w:lineRule="auto"/>
      <w:jc w:val="center"/>
    </w:pPr>
    <w:rPr>
      <w:rFonts w:eastAsia="黑体"/>
      <w:szCs w:val="20"/>
    </w:rPr>
  </w:style>
  <w:style w:type="paragraph" w:styleId="6">
    <w:name w:val="annotation text"/>
    <w:basedOn w:val="1"/>
    <w:link w:val="32"/>
    <w:semiHidden/>
    <w:qFormat/>
    <w:uiPriority w:val="0"/>
    <w:pPr>
      <w:jc w:val="left"/>
    </w:pPr>
    <w:rPr>
      <w:kern w:val="0"/>
      <w:szCs w:val="20"/>
    </w:rPr>
  </w:style>
  <w:style w:type="paragraph" w:styleId="7">
    <w:name w:val="Body Text"/>
    <w:basedOn w:val="1"/>
    <w:qFormat/>
    <w:uiPriority w:val="0"/>
    <w:pPr>
      <w:widowControl/>
      <w:snapToGrid w:val="0"/>
      <w:spacing w:before="60" w:after="160" w:line="259" w:lineRule="auto"/>
      <w:ind w:right="113"/>
    </w:pPr>
    <w:rPr>
      <w:kern w:val="0"/>
      <w:sz w:val="18"/>
      <w:szCs w:val="20"/>
    </w:rPr>
  </w:style>
  <w:style w:type="paragraph" w:styleId="8">
    <w:name w:val="Plain Text"/>
    <w:basedOn w:val="1"/>
    <w:next w:val="9"/>
    <w:qFormat/>
    <w:uiPriority w:val="0"/>
    <w:rPr>
      <w:rFonts w:ascii="宋体" w:hAnsi="Courier New"/>
    </w:rPr>
  </w:style>
  <w:style w:type="paragraph" w:styleId="9">
    <w:name w:val="toc 1"/>
    <w:basedOn w:val="1"/>
    <w:next w:val="1"/>
    <w:qFormat/>
    <w:uiPriority w:val="0"/>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3">
    <w:name w:val="Normal (Web)"/>
    <w:basedOn w:val="1"/>
    <w:qFormat/>
    <w:uiPriority w:val="0"/>
    <w:pPr>
      <w:widowControl/>
      <w:spacing w:before="100" w:beforeAutospacing="1" w:after="100" w:afterAutospacing="1"/>
      <w:jc w:val="left"/>
    </w:pPr>
    <w:rPr>
      <w:rFonts w:ascii="宋体" w:hAnsi="宋体"/>
      <w:kern w:val="0"/>
      <w:szCs w:val="20"/>
    </w:rPr>
  </w:style>
  <w:style w:type="paragraph" w:styleId="14">
    <w:name w:val="annotation subject"/>
    <w:basedOn w:val="6"/>
    <w:next w:val="6"/>
    <w:link w:val="33"/>
    <w:qFormat/>
    <w:uiPriority w:val="0"/>
    <w:rPr>
      <w:b/>
      <w:bCs/>
      <w:kern w:val="2"/>
      <w:szCs w:val="24"/>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qFormat/>
    <w:uiPriority w:val="0"/>
  </w:style>
  <w:style w:type="character" w:styleId="19">
    <w:name w:val="annotation reference"/>
    <w:qFormat/>
    <w:uiPriority w:val="0"/>
    <w:rPr>
      <w:sz w:val="21"/>
      <w:szCs w:val="21"/>
    </w:rPr>
  </w:style>
  <w:style w:type="paragraph" w:customStyle="1" w:styleId="20">
    <w:name w:val="一级标题"/>
    <w:basedOn w:val="1"/>
    <w:qFormat/>
    <w:uiPriority w:val="0"/>
    <w:pPr>
      <w:numPr>
        <w:ilvl w:val="0"/>
        <w:numId w:val="1"/>
      </w:numPr>
      <w:spacing w:before="100" w:beforeLines="100" w:after="100" w:afterLines="100"/>
      <w:jc w:val="center"/>
      <w:outlineLvl w:val="0"/>
    </w:pPr>
    <w:rPr>
      <w:rFonts w:eastAsia="黑体" w:asciiTheme="minorHAnsi" w:hAnsiTheme="minorHAnsi"/>
      <w:b/>
      <w:bCs/>
    </w:rPr>
  </w:style>
  <w:style w:type="paragraph" w:customStyle="1" w:styleId="21">
    <w:name w:val="二级标题"/>
    <w:basedOn w:val="1"/>
    <w:qFormat/>
    <w:uiPriority w:val="0"/>
    <w:pPr>
      <w:numPr>
        <w:ilvl w:val="1"/>
        <w:numId w:val="2"/>
      </w:numPr>
      <w:tabs>
        <w:tab w:val="left" w:pos="0"/>
      </w:tabs>
      <w:spacing w:before="50" w:beforeLines="50" w:after="50" w:afterLines="50"/>
      <w:jc w:val="left"/>
      <w:outlineLvl w:val="1"/>
    </w:pPr>
    <w:rPr>
      <w:rFonts w:eastAsia="黑体" w:asciiTheme="minorHAnsi" w:hAnsiTheme="minorHAnsi"/>
    </w:rPr>
  </w:style>
  <w:style w:type="paragraph" w:customStyle="1" w:styleId="22">
    <w:name w:val="三级标题"/>
    <w:basedOn w:val="1"/>
    <w:qFormat/>
    <w:uiPriority w:val="0"/>
    <w:pPr>
      <w:numPr>
        <w:ilvl w:val="2"/>
        <w:numId w:val="3"/>
      </w:numPr>
      <w:tabs>
        <w:tab w:val="left" w:pos="0"/>
      </w:tabs>
      <w:spacing w:before="50" w:beforeLines="50" w:after="50" w:afterLines="50"/>
      <w:jc w:val="left"/>
      <w:outlineLvl w:val="2"/>
    </w:pPr>
    <w:rPr>
      <w:rFonts w:asciiTheme="minorHAnsi" w:hAnsiTheme="minorHAnsi"/>
      <w:b/>
    </w:rPr>
  </w:style>
  <w:style w:type="paragraph" w:customStyle="1" w:styleId="23">
    <w:name w:val="论文正文"/>
    <w:basedOn w:val="1"/>
    <w:qFormat/>
    <w:uiPriority w:val="0"/>
    <w:pPr>
      <w:spacing w:line="400" w:lineRule="exact"/>
      <w:ind w:firstLine="643" w:firstLineChars="200"/>
      <w:jc w:val="left"/>
    </w:pPr>
    <w:rPr>
      <w:rFonts w:asciiTheme="minorHAnsi" w:hAnsiTheme="minorHAnsi"/>
    </w:rPr>
  </w:style>
  <w:style w:type="paragraph" w:customStyle="1" w:styleId="24">
    <w:name w:val="A标准格式"/>
    <w:basedOn w:val="1"/>
    <w:qFormat/>
    <w:uiPriority w:val="0"/>
    <w:pPr>
      <w:spacing w:line="440" w:lineRule="exact"/>
      <w:ind w:firstLine="480" w:firstLineChars="200"/>
    </w:pPr>
  </w:style>
  <w:style w:type="paragraph" w:customStyle="1" w:styleId="25">
    <w:name w:val="p0"/>
    <w:basedOn w:val="1"/>
    <w:qFormat/>
    <w:uiPriority w:val="0"/>
    <w:pPr>
      <w:widowControl/>
      <w:spacing w:before="100" w:beforeAutospacing="1" w:after="100" w:afterAutospacing="1"/>
      <w:jc w:val="left"/>
    </w:pPr>
    <w:rPr>
      <w:rFonts w:ascii="宋体" w:hAnsi="宋体" w:cs="宋体"/>
      <w:kern w:val="0"/>
    </w:rPr>
  </w:style>
  <w:style w:type="paragraph" w:customStyle="1" w:styleId="26">
    <w:name w:val="新格式表"/>
    <w:basedOn w:val="1"/>
    <w:qFormat/>
    <w:uiPriority w:val="0"/>
    <w:pPr>
      <w:adjustRightInd w:val="0"/>
      <w:snapToGrid w:val="0"/>
      <w:spacing w:line="0" w:lineRule="atLeast"/>
      <w:jc w:val="center"/>
    </w:pPr>
    <w:rPr>
      <w:kern w:val="0"/>
      <w:szCs w:val="21"/>
    </w:rPr>
  </w:style>
  <w:style w:type="paragraph" w:customStyle="1" w:styleId="27">
    <w:name w:val="表格内容"/>
    <w:basedOn w:val="1"/>
    <w:next w:val="1"/>
    <w:qFormat/>
    <w:uiPriority w:val="0"/>
    <w:pPr>
      <w:spacing w:line="240" w:lineRule="atLeast"/>
      <w:jc w:val="center"/>
    </w:pPr>
    <w:rPr>
      <w:szCs w:val="20"/>
    </w:rPr>
  </w:style>
  <w:style w:type="paragraph" w:customStyle="1" w:styleId="28">
    <w:name w:val="Table Paragraph"/>
    <w:basedOn w:val="1"/>
    <w:qFormat/>
    <w:uiPriority w:val="0"/>
    <w:pPr>
      <w:jc w:val="center"/>
    </w:pPr>
    <w:rPr>
      <w:rFonts w:ascii="宋体" w:hAnsi="宋体" w:cs="宋体"/>
      <w:sz w:val="21"/>
      <w:szCs w:val="21"/>
    </w:rPr>
  </w:style>
  <w:style w:type="paragraph" w:customStyle="1" w:styleId="29">
    <w:name w:val="A环评表头"/>
    <w:basedOn w:val="1"/>
    <w:qFormat/>
    <w:uiPriority w:val="0"/>
    <w:pPr>
      <w:widowControl/>
      <w:jc w:val="center"/>
    </w:pPr>
    <w:rPr>
      <w:rFonts w:hint="eastAsia"/>
      <w:b/>
      <w:kern w:val="0"/>
      <w:sz w:val="21"/>
    </w:rPr>
  </w:style>
  <w:style w:type="paragraph" w:customStyle="1" w:styleId="30">
    <w:name w:val="A环评表格"/>
    <w:basedOn w:val="1"/>
    <w:qFormat/>
    <w:uiPriority w:val="0"/>
    <w:pPr>
      <w:adjustRightInd w:val="0"/>
      <w:snapToGrid w:val="0"/>
      <w:jc w:val="center"/>
    </w:pPr>
    <w:rPr>
      <w:rFonts w:hint="eastAsia"/>
      <w:bCs/>
      <w:sz w:val="21"/>
      <w:szCs w:val="21"/>
      <w:lang w:val="en-GB"/>
    </w:rPr>
  </w:style>
  <w:style w:type="paragraph" w:customStyle="1" w:styleId="31">
    <w:name w:val="表格内-cxr"/>
    <w:basedOn w:val="3"/>
    <w:qFormat/>
    <w:uiPriority w:val="0"/>
    <w:pPr>
      <w:widowControl/>
      <w:adjustRightInd w:val="0"/>
      <w:snapToGrid w:val="0"/>
    </w:pPr>
  </w:style>
  <w:style w:type="character" w:customStyle="1" w:styleId="32">
    <w:name w:val="批注文字 字符"/>
    <w:basedOn w:val="17"/>
    <w:link w:val="6"/>
    <w:semiHidden/>
    <w:qFormat/>
    <w:uiPriority w:val="0"/>
    <w:rPr>
      <w:sz w:val="24"/>
    </w:rPr>
  </w:style>
  <w:style w:type="character" w:customStyle="1" w:styleId="33">
    <w:name w:val="批注主题 字符"/>
    <w:basedOn w:val="32"/>
    <w:link w:val="14"/>
    <w:qFormat/>
    <w:uiPriority w:val="0"/>
    <w:rPr>
      <w:b/>
      <w:bCs/>
      <w:kern w:val="2"/>
      <w:sz w:val="24"/>
      <w:szCs w:val="24"/>
    </w:rPr>
  </w:style>
  <w:style w:type="paragraph" w:customStyle="1" w:styleId="34">
    <w:name w:val="4表头、图头格式"/>
    <w:basedOn w:val="35"/>
    <w:qFormat/>
    <w:uiPriority w:val="0"/>
    <w:rPr>
      <w:b/>
    </w:rPr>
  </w:style>
  <w:style w:type="paragraph" w:customStyle="1" w:styleId="35">
    <w:name w:val="4表格内正文"/>
    <w:basedOn w:val="36"/>
    <w:qFormat/>
    <w:uiPriority w:val="0"/>
    <w:pPr>
      <w:spacing w:line="240" w:lineRule="auto"/>
      <w:ind w:firstLine="0" w:firstLineChars="0"/>
      <w:jc w:val="center"/>
    </w:pPr>
    <w:rPr>
      <w:sz w:val="21"/>
    </w:rPr>
  </w:style>
  <w:style w:type="paragraph" w:customStyle="1" w:styleId="36">
    <w:name w:val="4正文格式"/>
    <w:basedOn w:val="1"/>
    <w:qFormat/>
    <w:uiPriority w:val="0"/>
    <w:pPr>
      <w:spacing w:line="360" w:lineRule="auto"/>
      <w:ind w:firstLine="200" w:firstLineChars="200"/>
      <w:jc w:val="left"/>
    </w:pPr>
    <w:rPr>
      <w:sz w:val="24"/>
    </w:rPr>
  </w:style>
  <w:style w:type="character" w:customStyle="1" w:styleId="37">
    <w:name w:val="4级标题 Char"/>
    <w:qFormat/>
    <w:uiPriority w:val="0"/>
    <w:rPr>
      <w:b/>
    </w:rPr>
  </w:style>
  <w:style w:type="paragraph" w:customStyle="1" w:styleId="38">
    <w:name w:val="4表头、图头"/>
    <w:basedOn w:val="35"/>
    <w:qFormat/>
    <w:uiPriority w:val="0"/>
    <w:rPr>
      <w:rFonts w:cs="黑体"/>
      <w:b/>
      <w:kern w:val="2"/>
      <w:szCs w:val="16"/>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microsoft.com/office/2011/relationships/people" Target="people.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wmf"/><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wmf"/><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91</Pages>
  <Words>124</Words>
  <Characters>147</Characters>
  <Lines>470</Lines>
  <Paragraphs>132</Paragraphs>
  <TotalTime>26</TotalTime>
  <ScaleCrop>false</ScaleCrop>
  <LinksUpToDate>false</LinksUpToDate>
  <CharactersWithSpaces>187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2026-01-14T17:21:00Z</dcterms:created>
  <dc:creator>I  DO</dc:creator>
  <cp:lastModifiedBy>I  DO</cp:lastModifiedBy>
  <dcterms:modified xsi:type="dcterms:W3CDTF">2026-02-26T07:12:16Z</dcterms:modified>
  <cp:revision>154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98799A33C3F345B8A18321588198B349_13</vt:lpwstr>
  </property>
  <property fmtid="{D5CDD505-2E9C-101B-9397-08002B2CF9AE}" pid="4" name="KSOTemplateDocerSaveRecord">
    <vt:lpwstr>eyJoZGlkIjoiYmI1MmZiMzg4OGUwZGU1MDEzZDI0NTk3MjAzYWRlNzQiLCJ1c2VySWQiOiIyNTI1MDMxOTYifQ==</vt:lpwstr>
  </property>
</Properties>
</file>